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755F1" w14:textId="724B19FD" w:rsidR="00DB6719" w:rsidRPr="009C5581" w:rsidRDefault="00DB6719" w:rsidP="00A118F1">
      <w:pPr>
        <w:spacing w:after="0" w:line="240" w:lineRule="auto"/>
        <w:jc w:val="center"/>
        <w:rPr>
          <w:rFonts w:ascii="Times New Roman" w:eastAsiaTheme="majorEastAsia" w:hAnsi="Times New Roman" w:cs="Times New Roman"/>
          <w:sz w:val="60"/>
          <w:szCs w:val="60"/>
        </w:rPr>
      </w:pPr>
    </w:p>
    <w:p w14:paraId="7BD8CB20" w14:textId="77777777" w:rsidR="00DB6719" w:rsidRPr="009C5581" w:rsidRDefault="00DB6719" w:rsidP="00A118F1">
      <w:pPr>
        <w:spacing w:after="0" w:line="240" w:lineRule="auto"/>
        <w:jc w:val="center"/>
        <w:rPr>
          <w:rFonts w:ascii="Times New Roman" w:eastAsiaTheme="majorEastAsia" w:hAnsi="Times New Roman" w:cs="Times New Roman"/>
          <w:sz w:val="60"/>
          <w:szCs w:val="60"/>
        </w:rPr>
      </w:pPr>
    </w:p>
    <w:p w14:paraId="6EB65905" w14:textId="016A4541" w:rsidR="004F2587" w:rsidRDefault="00465752" w:rsidP="00A118F1">
      <w:pPr>
        <w:spacing w:after="0" w:line="240" w:lineRule="auto"/>
        <w:jc w:val="center"/>
        <w:rPr>
          <w:rFonts w:ascii="Times New Roman" w:eastAsiaTheme="majorEastAsia" w:hAnsi="Times New Roman" w:cs="Times New Roman"/>
          <w:sz w:val="60"/>
          <w:szCs w:val="60"/>
        </w:rPr>
      </w:pPr>
      <w:r>
        <w:rPr>
          <w:rFonts w:ascii="Times New Roman" w:eastAsiaTheme="majorEastAsia" w:hAnsi="Times New Roman" w:cs="Times New Roman"/>
          <w:noProof/>
          <w:sz w:val="60"/>
          <w:szCs w:val="60"/>
          <w:lang w:val="en-US"/>
        </w:rPr>
        <w:drawing>
          <wp:anchor distT="0" distB="0" distL="114300" distR="114300" simplePos="0" relativeHeight="251665418" behindDoc="0" locked="0" layoutInCell="1" allowOverlap="1" wp14:anchorId="4C25B431" wp14:editId="68EB32E9">
            <wp:simplePos x="0" y="0"/>
            <wp:positionH relativeFrom="column">
              <wp:posOffset>5141595</wp:posOffset>
            </wp:positionH>
            <wp:positionV relativeFrom="paragraph">
              <wp:posOffset>264795</wp:posOffset>
            </wp:positionV>
            <wp:extent cx="1038225" cy="916305"/>
            <wp:effectExtent l="0" t="0" r="9525" b="0"/>
            <wp:wrapThrough wrapText="bothSides">
              <wp:wrapPolygon edited="0">
                <wp:start x="0" y="0"/>
                <wp:lineTo x="0" y="21106"/>
                <wp:lineTo x="21402" y="21106"/>
                <wp:lineTo x="2140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9163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noProof/>
          <w:sz w:val="60"/>
          <w:szCs w:val="60"/>
          <w:lang w:val="en-US"/>
        </w:rPr>
        <w:drawing>
          <wp:anchor distT="0" distB="0" distL="114300" distR="114300" simplePos="0" relativeHeight="251664394" behindDoc="0" locked="0" layoutInCell="1" allowOverlap="1" wp14:anchorId="45E47E41" wp14:editId="1A888338">
            <wp:simplePos x="0" y="0"/>
            <wp:positionH relativeFrom="column">
              <wp:posOffset>236220</wp:posOffset>
            </wp:positionH>
            <wp:positionV relativeFrom="paragraph">
              <wp:posOffset>198120</wp:posOffset>
            </wp:positionV>
            <wp:extent cx="1135380" cy="982980"/>
            <wp:effectExtent l="0" t="0" r="7620" b="7620"/>
            <wp:wrapThrough wrapText="bothSides">
              <wp:wrapPolygon edited="0">
                <wp:start x="0" y="0"/>
                <wp:lineTo x="0" y="21349"/>
                <wp:lineTo x="21383" y="21349"/>
                <wp:lineTo x="2138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5380" cy="982980"/>
                    </a:xfrm>
                    <a:prstGeom prst="rect">
                      <a:avLst/>
                    </a:prstGeom>
                    <a:noFill/>
                  </pic:spPr>
                </pic:pic>
              </a:graphicData>
            </a:graphic>
            <wp14:sizeRelH relativeFrom="page">
              <wp14:pctWidth>0</wp14:pctWidth>
            </wp14:sizeRelH>
            <wp14:sizeRelV relativeFrom="page">
              <wp14:pctHeight>0</wp14:pctHeight>
            </wp14:sizeRelV>
          </wp:anchor>
        </w:drawing>
      </w:r>
    </w:p>
    <w:p w14:paraId="6DBDAEF1" w14:textId="656F33FB" w:rsidR="004F2587" w:rsidRDefault="004F2587" w:rsidP="00A118F1">
      <w:pPr>
        <w:spacing w:after="0" w:line="240" w:lineRule="auto"/>
        <w:jc w:val="center"/>
        <w:rPr>
          <w:rFonts w:ascii="Times New Roman" w:eastAsiaTheme="majorEastAsia" w:hAnsi="Times New Roman" w:cs="Times New Roman"/>
          <w:sz w:val="60"/>
          <w:szCs w:val="60"/>
        </w:rPr>
      </w:pPr>
    </w:p>
    <w:p w14:paraId="5FA03E62" w14:textId="61DE8811" w:rsidR="00465752" w:rsidRDefault="00465752" w:rsidP="00A118F1">
      <w:pPr>
        <w:spacing w:after="0" w:line="240" w:lineRule="auto"/>
        <w:jc w:val="center"/>
        <w:rPr>
          <w:rFonts w:ascii="Times New Roman" w:eastAsiaTheme="majorEastAsia" w:hAnsi="Times New Roman" w:cs="Times New Roman"/>
          <w:sz w:val="60"/>
          <w:szCs w:val="60"/>
        </w:rPr>
      </w:pPr>
    </w:p>
    <w:p w14:paraId="3116E6BE" w14:textId="77777777" w:rsidR="00346D1C" w:rsidRDefault="00346D1C" w:rsidP="00A118F1">
      <w:pPr>
        <w:spacing w:after="0" w:line="240" w:lineRule="auto"/>
        <w:jc w:val="center"/>
        <w:rPr>
          <w:rFonts w:ascii="Times New Roman" w:eastAsiaTheme="majorEastAsia" w:hAnsi="Times New Roman" w:cs="Times New Roman"/>
          <w:sz w:val="60"/>
          <w:szCs w:val="60"/>
        </w:rPr>
      </w:pPr>
    </w:p>
    <w:p w14:paraId="46F57CE4" w14:textId="483CCD64" w:rsidR="00DB6719" w:rsidRPr="00346D1C" w:rsidRDefault="00DB6719" w:rsidP="00A118F1">
      <w:pPr>
        <w:spacing w:after="0" w:line="240" w:lineRule="auto"/>
        <w:jc w:val="center"/>
        <w:rPr>
          <w:rFonts w:ascii="Georgia" w:eastAsiaTheme="majorEastAsia" w:hAnsi="Georgia" w:cs="Times New Roman"/>
          <w:b/>
          <w:sz w:val="60"/>
          <w:szCs w:val="60"/>
        </w:rPr>
      </w:pPr>
      <w:r w:rsidRPr="00346D1C">
        <w:rPr>
          <w:rFonts w:ascii="Georgia" w:eastAsiaTheme="majorEastAsia" w:hAnsi="Georgia" w:cs="Times New Roman"/>
          <w:b/>
          <w:sz w:val="60"/>
          <w:szCs w:val="60"/>
        </w:rPr>
        <w:t xml:space="preserve">Inequality Diagnostic </w:t>
      </w:r>
      <w:r w:rsidR="00705611" w:rsidRPr="00346D1C">
        <w:rPr>
          <w:rFonts w:ascii="Georgia" w:eastAsiaTheme="majorEastAsia" w:hAnsi="Georgia" w:cs="Times New Roman"/>
          <w:b/>
          <w:sz w:val="60"/>
          <w:szCs w:val="60"/>
        </w:rPr>
        <w:t>Kenya</w:t>
      </w:r>
    </w:p>
    <w:p w14:paraId="5B6408D8" w14:textId="77777777" w:rsidR="00521DEF" w:rsidRPr="00346D1C" w:rsidRDefault="00521DEF" w:rsidP="00A118F1">
      <w:pPr>
        <w:spacing w:after="0" w:line="240" w:lineRule="auto"/>
        <w:jc w:val="center"/>
        <w:rPr>
          <w:rFonts w:ascii="Georgia" w:eastAsiaTheme="majorEastAsia" w:hAnsi="Georgia" w:cs="Times New Roman"/>
          <w:sz w:val="32"/>
          <w:szCs w:val="32"/>
        </w:rPr>
      </w:pPr>
    </w:p>
    <w:p w14:paraId="52C510D1" w14:textId="6B6444B3" w:rsidR="00DB6719" w:rsidRPr="00346D1C" w:rsidRDefault="00DB6719" w:rsidP="00604455">
      <w:pPr>
        <w:spacing w:after="0" w:line="240" w:lineRule="auto"/>
        <w:jc w:val="center"/>
        <w:rPr>
          <w:rFonts w:ascii="Georgia" w:eastAsiaTheme="majorEastAsia" w:hAnsi="Georgia" w:cs="Times New Roman"/>
          <w:i/>
          <w:sz w:val="32"/>
          <w:szCs w:val="32"/>
        </w:rPr>
      </w:pPr>
      <w:r w:rsidRPr="00346D1C">
        <w:rPr>
          <w:rFonts w:ascii="Georgia" w:eastAsiaTheme="majorEastAsia" w:hAnsi="Georgia" w:cs="Times New Roman"/>
          <w:i/>
          <w:sz w:val="32"/>
          <w:szCs w:val="32"/>
        </w:rPr>
        <w:t xml:space="preserve">This Version: </w:t>
      </w:r>
      <w:r w:rsidR="003514BD" w:rsidRPr="00346D1C">
        <w:rPr>
          <w:rFonts w:ascii="Georgia" w:eastAsiaTheme="majorEastAsia" w:hAnsi="Georgia" w:cs="Times New Roman"/>
          <w:i/>
          <w:sz w:val="32"/>
          <w:szCs w:val="32"/>
        </w:rPr>
        <w:t>31</w:t>
      </w:r>
      <w:r w:rsidR="00273C50" w:rsidRPr="00346D1C">
        <w:rPr>
          <w:rFonts w:ascii="Georgia" w:eastAsiaTheme="majorEastAsia" w:hAnsi="Georgia" w:cs="Times New Roman"/>
          <w:i/>
          <w:sz w:val="32"/>
          <w:szCs w:val="32"/>
        </w:rPr>
        <w:t xml:space="preserve"> </w:t>
      </w:r>
      <w:r w:rsidR="00E8312E" w:rsidRPr="00346D1C">
        <w:rPr>
          <w:rFonts w:ascii="Georgia" w:eastAsiaTheme="majorEastAsia" w:hAnsi="Georgia" w:cs="Times New Roman"/>
          <w:i/>
          <w:sz w:val="32"/>
          <w:szCs w:val="32"/>
        </w:rPr>
        <w:t>August</w:t>
      </w:r>
      <w:r w:rsidR="00A33F30" w:rsidRPr="00346D1C">
        <w:rPr>
          <w:rFonts w:ascii="Georgia" w:eastAsiaTheme="majorEastAsia" w:hAnsi="Georgia" w:cs="Times New Roman"/>
          <w:i/>
          <w:sz w:val="32"/>
          <w:szCs w:val="32"/>
        </w:rPr>
        <w:t xml:space="preserve"> </w:t>
      </w:r>
      <w:r w:rsidRPr="00346D1C">
        <w:rPr>
          <w:rFonts w:ascii="Georgia" w:eastAsiaTheme="majorEastAsia" w:hAnsi="Georgia" w:cs="Times New Roman"/>
          <w:i/>
          <w:sz w:val="32"/>
          <w:szCs w:val="32"/>
        </w:rPr>
        <w:t>202</w:t>
      </w:r>
      <w:r w:rsidR="00831704" w:rsidRPr="00346D1C">
        <w:rPr>
          <w:rFonts w:ascii="Georgia" w:eastAsiaTheme="majorEastAsia" w:hAnsi="Georgia" w:cs="Times New Roman"/>
          <w:i/>
          <w:sz w:val="32"/>
          <w:szCs w:val="32"/>
        </w:rPr>
        <w:t>3</w:t>
      </w:r>
    </w:p>
    <w:p w14:paraId="6D230188" w14:textId="77777777" w:rsidR="00DB6719" w:rsidRPr="009C5581" w:rsidRDefault="00DB6719" w:rsidP="00A118F1">
      <w:pPr>
        <w:spacing w:after="0" w:line="240" w:lineRule="auto"/>
        <w:jc w:val="center"/>
        <w:rPr>
          <w:rFonts w:ascii="Times New Roman" w:eastAsiaTheme="majorEastAsia" w:hAnsi="Times New Roman" w:cs="Times New Roman"/>
          <w:sz w:val="48"/>
          <w:szCs w:val="48"/>
        </w:rPr>
      </w:pPr>
    </w:p>
    <w:p w14:paraId="72FEB5EA" w14:textId="17F6C8DC" w:rsidR="00DB6719" w:rsidRPr="009C5581" w:rsidRDefault="00346D1C" w:rsidP="00A118F1">
      <w:pPr>
        <w:spacing w:after="0" w:line="240" w:lineRule="auto"/>
        <w:jc w:val="center"/>
        <w:rPr>
          <w:rFonts w:ascii="Times New Roman" w:eastAsiaTheme="majorEastAsia" w:hAnsi="Times New Roman" w:cs="Times New Roman"/>
          <w:sz w:val="48"/>
          <w:szCs w:val="48"/>
        </w:rPr>
      </w:pPr>
      <w:r>
        <w:rPr>
          <w:rFonts w:ascii="Times New Roman" w:eastAsiaTheme="majorEastAsia" w:hAnsi="Times New Roman" w:cs="Times New Roman"/>
          <w:noProof/>
          <w:sz w:val="48"/>
          <w:szCs w:val="48"/>
          <w:lang w:val="en-US"/>
        </w:rPr>
        <mc:AlternateContent>
          <mc:Choice Requires="wps">
            <w:drawing>
              <wp:anchor distT="0" distB="0" distL="114300" distR="114300" simplePos="0" relativeHeight="251667466" behindDoc="0" locked="0" layoutInCell="1" allowOverlap="1" wp14:anchorId="71844EAD" wp14:editId="433C5EEA">
                <wp:simplePos x="0" y="0"/>
                <wp:positionH relativeFrom="column">
                  <wp:posOffset>228600</wp:posOffset>
                </wp:positionH>
                <wp:positionV relativeFrom="paragraph">
                  <wp:posOffset>96520</wp:posOffset>
                </wp:positionV>
                <wp:extent cx="5951220" cy="0"/>
                <wp:effectExtent l="0" t="19050" r="49530" b="38100"/>
                <wp:wrapNone/>
                <wp:docPr id="216" name="Straight Connector 216"/>
                <wp:cNvGraphicFramePr/>
                <a:graphic xmlns:a="http://schemas.openxmlformats.org/drawingml/2006/main">
                  <a:graphicData uri="http://schemas.microsoft.com/office/word/2010/wordprocessingShape">
                    <wps:wsp>
                      <wps:cNvCnPr/>
                      <wps:spPr>
                        <a:xfrm>
                          <a:off x="0" y="0"/>
                          <a:ext cx="5951220" cy="0"/>
                        </a:xfrm>
                        <a:prstGeom prst="line">
                          <a:avLst/>
                        </a:prstGeom>
                        <a:ln w="539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9D332" id="Straight Connector 216" o:spid="_x0000_s1026" style="position:absolute;z-index:251667466;visibility:visible;mso-wrap-style:square;mso-wrap-distance-left:9pt;mso-wrap-distance-top:0;mso-wrap-distance-right:9pt;mso-wrap-distance-bottom:0;mso-position-horizontal:absolute;mso-position-horizontal-relative:text;mso-position-vertical:absolute;mso-position-vertical-relative:text" from="18pt,7.6pt" to="486.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" strokecolor="#7030a0" strokeweight="4.25pt">
                <v:stroke joinstyle="miter"/>
              </v:line>
            </w:pict>
          </mc:Fallback>
        </mc:AlternateContent>
      </w:r>
    </w:p>
    <w:p w14:paraId="3095C76C" w14:textId="77777777" w:rsidR="00DB6719" w:rsidRPr="009C5581" w:rsidRDefault="00DB6719" w:rsidP="00A118F1">
      <w:pPr>
        <w:spacing w:after="0" w:line="240" w:lineRule="auto"/>
        <w:jc w:val="center"/>
        <w:rPr>
          <w:rFonts w:ascii="Times New Roman" w:eastAsiaTheme="majorEastAsia" w:hAnsi="Times New Roman" w:cs="Times New Roman"/>
          <w:sz w:val="48"/>
          <w:szCs w:val="48"/>
        </w:rPr>
      </w:pPr>
    </w:p>
    <w:p w14:paraId="7D1045FC" w14:textId="77777777" w:rsidR="00DB6719" w:rsidRPr="009C5581" w:rsidRDefault="00DB6719" w:rsidP="00A118F1">
      <w:pPr>
        <w:spacing w:after="0" w:line="240" w:lineRule="auto"/>
        <w:jc w:val="center"/>
        <w:rPr>
          <w:rFonts w:ascii="Times New Roman" w:eastAsiaTheme="majorEastAsia" w:hAnsi="Times New Roman" w:cs="Times New Roman"/>
          <w:sz w:val="48"/>
          <w:szCs w:val="48"/>
        </w:rPr>
      </w:pPr>
    </w:p>
    <w:p w14:paraId="332FD380" w14:textId="77777777" w:rsidR="00DB6719" w:rsidRPr="009C5581" w:rsidRDefault="00DB6719" w:rsidP="00A118F1">
      <w:pPr>
        <w:spacing w:after="0" w:line="240" w:lineRule="auto"/>
        <w:jc w:val="center"/>
        <w:rPr>
          <w:rFonts w:ascii="Times New Roman" w:eastAsiaTheme="majorEastAsia" w:hAnsi="Times New Roman" w:cs="Times New Roman"/>
          <w:sz w:val="32"/>
          <w:szCs w:val="32"/>
        </w:rPr>
      </w:pPr>
    </w:p>
    <w:p w14:paraId="545949C8" w14:textId="234581CF" w:rsidR="00465752" w:rsidRPr="00346D1C" w:rsidRDefault="00465752" w:rsidP="00A118F1">
      <w:pPr>
        <w:spacing w:after="0" w:line="240" w:lineRule="auto"/>
        <w:jc w:val="center"/>
        <w:rPr>
          <w:rFonts w:ascii="Georgia" w:eastAsiaTheme="majorEastAsia" w:hAnsi="Georgia" w:cs="Times New Roman"/>
          <w:sz w:val="32"/>
          <w:szCs w:val="32"/>
          <w:lang w:val="nl-NL"/>
        </w:rPr>
      </w:pPr>
      <w:r w:rsidRPr="00346D1C">
        <w:rPr>
          <w:rFonts w:ascii="Georgia" w:eastAsiaTheme="majorEastAsia" w:hAnsi="Georgia" w:cs="Times New Roman"/>
          <w:sz w:val="32"/>
          <w:szCs w:val="32"/>
          <w:lang w:val="nl-NL"/>
        </w:rPr>
        <w:t xml:space="preserve">Draft Report Prepared for the National Gender and Equality Commission </w:t>
      </w:r>
    </w:p>
    <w:p w14:paraId="7074F056" w14:textId="77777777" w:rsidR="00465752" w:rsidRPr="00346D1C" w:rsidRDefault="00465752" w:rsidP="00A118F1">
      <w:pPr>
        <w:spacing w:after="0" w:line="240" w:lineRule="auto"/>
        <w:jc w:val="center"/>
        <w:rPr>
          <w:rFonts w:ascii="Georgia" w:eastAsiaTheme="majorEastAsia" w:hAnsi="Georgia" w:cs="Times New Roman"/>
          <w:sz w:val="32"/>
          <w:szCs w:val="32"/>
          <w:lang w:val="nl-NL"/>
        </w:rPr>
      </w:pPr>
    </w:p>
    <w:p w14:paraId="27F8BBB7" w14:textId="5A52151A" w:rsidR="00A44B39" w:rsidRPr="00346D1C" w:rsidRDefault="00465752" w:rsidP="00A118F1">
      <w:pPr>
        <w:spacing w:after="0" w:line="240" w:lineRule="auto"/>
        <w:jc w:val="center"/>
        <w:rPr>
          <w:rFonts w:ascii="Georgia" w:eastAsiaTheme="majorEastAsia" w:hAnsi="Georgia" w:cs="Times New Roman"/>
          <w:sz w:val="24"/>
          <w:szCs w:val="24"/>
          <w:lang w:val="nl-NL"/>
        </w:rPr>
      </w:pPr>
      <w:r w:rsidRPr="00346D1C">
        <w:rPr>
          <w:rFonts w:ascii="Georgia" w:eastAsiaTheme="majorEastAsia" w:hAnsi="Georgia" w:cs="Times New Roman"/>
          <w:sz w:val="24"/>
          <w:szCs w:val="24"/>
          <w:lang w:val="nl-NL"/>
        </w:rPr>
        <w:t xml:space="preserve">With </w:t>
      </w:r>
      <w:r w:rsidR="00A44B39" w:rsidRPr="00346D1C">
        <w:rPr>
          <w:rFonts w:ascii="Georgia" w:eastAsiaTheme="majorEastAsia" w:hAnsi="Georgia" w:cs="Times New Roman"/>
          <w:sz w:val="24"/>
          <w:szCs w:val="24"/>
          <w:lang w:val="nl-NL"/>
        </w:rPr>
        <w:t>financial and techn</w:t>
      </w:r>
      <w:r w:rsidR="003F0B18">
        <w:rPr>
          <w:rFonts w:ascii="Georgia" w:eastAsiaTheme="majorEastAsia" w:hAnsi="Georgia" w:cs="Times New Roman"/>
          <w:sz w:val="24"/>
          <w:szCs w:val="24"/>
          <w:lang w:val="nl-NL"/>
        </w:rPr>
        <w:t xml:space="preserve">ical </w:t>
      </w:r>
      <w:r w:rsidR="00A44B39" w:rsidRPr="00346D1C">
        <w:rPr>
          <w:rFonts w:ascii="Georgia" w:eastAsiaTheme="majorEastAsia" w:hAnsi="Georgia" w:cs="Times New Roman"/>
          <w:sz w:val="24"/>
          <w:szCs w:val="24"/>
          <w:lang w:val="nl-NL"/>
        </w:rPr>
        <w:t xml:space="preserve">support from </w:t>
      </w:r>
      <w:r w:rsidRPr="00346D1C">
        <w:rPr>
          <w:rFonts w:ascii="Georgia" w:eastAsiaTheme="majorEastAsia" w:hAnsi="Georgia" w:cs="Times New Roman"/>
          <w:sz w:val="24"/>
          <w:szCs w:val="24"/>
          <w:lang w:val="nl-NL"/>
        </w:rPr>
        <w:t xml:space="preserve">GIZ </w:t>
      </w:r>
    </w:p>
    <w:p w14:paraId="36DE3E6C" w14:textId="77777777" w:rsidR="00465752" w:rsidRPr="00346D1C" w:rsidRDefault="00465752" w:rsidP="00A118F1">
      <w:pPr>
        <w:spacing w:after="0" w:line="240" w:lineRule="auto"/>
        <w:jc w:val="center"/>
        <w:rPr>
          <w:rFonts w:ascii="Georgia" w:eastAsiaTheme="majorEastAsia" w:hAnsi="Georgia" w:cs="Times New Roman"/>
          <w:sz w:val="32"/>
          <w:szCs w:val="32"/>
          <w:lang w:val="nl-NL"/>
        </w:rPr>
      </w:pPr>
    </w:p>
    <w:p w14:paraId="0F27665B" w14:textId="70332E7E" w:rsidR="00F76FF2" w:rsidRPr="00346D1C" w:rsidRDefault="00A44B39" w:rsidP="00A118F1">
      <w:pPr>
        <w:spacing w:after="0" w:line="240" w:lineRule="auto"/>
        <w:jc w:val="center"/>
        <w:rPr>
          <w:rFonts w:ascii="Georgia" w:eastAsiaTheme="majorEastAsia" w:hAnsi="Georgia" w:cs="Times New Roman"/>
          <w:lang w:val="nl-NL"/>
        </w:rPr>
      </w:pPr>
      <w:r w:rsidRPr="00346D1C">
        <w:rPr>
          <w:rFonts w:ascii="Georgia" w:eastAsiaTheme="majorEastAsia" w:hAnsi="Georgia" w:cs="Times New Roman"/>
          <w:lang w:val="nl-NL"/>
        </w:rPr>
        <w:t xml:space="preserve">Consultancy work by </w:t>
      </w:r>
      <w:r w:rsidR="006B5521" w:rsidRPr="00346D1C">
        <w:rPr>
          <w:rFonts w:ascii="Georgia" w:eastAsiaTheme="majorEastAsia" w:hAnsi="Georgia" w:cs="Times New Roman"/>
          <w:lang w:val="nl-NL"/>
        </w:rPr>
        <w:t>Niek de Jong</w:t>
      </w:r>
    </w:p>
    <w:p w14:paraId="3AF73E7E" w14:textId="24D7A645" w:rsidR="009D4A33" w:rsidRPr="00346D1C" w:rsidRDefault="006B5521" w:rsidP="00A118F1">
      <w:pPr>
        <w:spacing w:after="0" w:line="240" w:lineRule="auto"/>
        <w:jc w:val="center"/>
        <w:rPr>
          <w:rFonts w:ascii="Georgia" w:eastAsiaTheme="majorEastAsia" w:hAnsi="Georgia" w:cs="Times New Roman"/>
        </w:rPr>
      </w:pPr>
      <w:r w:rsidRPr="00346D1C">
        <w:rPr>
          <w:rFonts w:ascii="Georgia" w:eastAsiaTheme="majorEastAsia" w:hAnsi="Georgia" w:cs="Times New Roman"/>
        </w:rPr>
        <w:t>ERBS</w:t>
      </w:r>
      <w:r w:rsidR="00F76FF2" w:rsidRPr="00346D1C">
        <w:rPr>
          <w:rFonts w:ascii="Georgia" w:eastAsiaTheme="majorEastAsia" w:hAnsi="Georgia" w:cs="Times New Roman"/>
        </w:rPr>
        <w:t>, Erasmus University Rotterdam</w:t>
      </w:r>
    </w:p>
    <w:p w14:paraId="5E67DA44" w14:textId="2D26985C" w:rsidR="00D42DDE" w:rsidRPr="009C5581" w:rsidRDefault="00D50C82" w:rsidP="00A118F1">
      <w:pPr>
        <w:spacing w:after="0" w:line="240" w:lineRule="auto"/>
        <w:rPr>
          <w:rFonts w:ascii="Times New Roman" w:eastAsiaTheme="majorEastAsia" w:hAnsi="Times New Roman" w:cs="Times New Roman"/>
          <w:sz w:val="32"/>
          <w:szCs w:val="32"/>
        </w:rPr>
      </w:pPr>
      <w:r w:rsidRPr="00D50C82">
        <w:rPr>
          <w:rFonts w:ascii="Times New Roman" w:eastAsiaTheme="majorEastAsia" w:hAnsi="Times New Roman" w:cs="Times New Roman"/>
          <w:noProof/>
          <w:sz w:val="32"/>
          <w:szCs w:val="32"/>
          <w:lang w:val="en-US"/>
        </w:rPr>
        <w:drawing>
          <wp:anchor distT="0" distB="0" distL="114300" distR="114300" simplePos="0" relativeHeight="251668490" behindDoc="0" locked="0" layoutInCell="1" allowOverlap="1" wp14:anchorId="44508CC4" wp14:editId="38CD255D">
            <wp:simplePos x="0" y="0"/>
            <wp:positionH relativeFrom="column">
              <wp:posOffset>893445</wp:posOffset>
            </wp:positionH>
            <wp:positionV relativeFrom="paragraph">
              <wp:posOffset>234950</wp:posOffset>
            </wp:positionV>
            <wp:extent cx="4194810" cy="1095375"/>
            <wp:effectExtent l="0" t="0" r="0" b="9525"/>
            <wp:wrapThrough wrapText="bothSides">
              <wp:wrapPolygon edited="0">
                <wp:start x="0" y="0"/>
                <wp:lineTo x="0" y="21412"/>
                <wp:lineTo x="21482" y="21412"/>
                <wp:lineTo x="21482" y="0"/>
                <wp:lineTo x="0" y="0"/>
              </wp:wrapPolygon>
            </wp:wrapThrough>
            <wp:docPr id="218" name="Picture 218" descr="C:\Users\Paul Kuria\AppData\Local\Microsoft\Windows\INetCache\Content.Outlook\9PUT2AAI\GDC + GIZ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Kuria\AppData\Local\Microsoft\Windows\INetCache\Content.Outlook\9PUT2AAI\GDC + GIZ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481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13C4C" w14:textId="53563470" w:rsidR="00D42DDE" w:rsidRDefault="00D42DDE" w:rsidP="00A118F1">
      <w:pPr>
        <w:spacing w:after="0" w:line="240" w:lineRule="auto"/>
        <w:rPr>
          <w:rFonts w:ascii="Times New Roman" w:eastAsiaTheme="majorEastAsia" w:hAnsi="Times New Roman" w:cs="Times New Roman"/>
          <w:sz w:val="32"/>
          <w:szCs w:val="32"/>
        </w:rPr>
      </w:pPr>
    </w:p>
    <w:p w14:paraId="7309C373" w14:textId="00E90F4D" w:rsidR="00346D1C" w:rsidRDefault="00346D1C" w:rsidP="00A118F1">
      <w:pPr>
        <w:spacing w:after="0" w:line="240" w:lineRule="auto"/>
        <w:rPr>
          <w:rFonts w:ascii="Times New Roman" w:eastAsiaTheme="majorEastAsia" w:hAnsi="Times New Roman" w:cs="Times New Roman"/>
          <w:sz w:val="32"/>
          <w:szCs w:val="32"/>
        </w:rPr>
      </w:pPr>
    </w:p>
    <w:p w14:paraId="4AEC1F6B" w14:textId="57D83B89" w:rsidR="00346D1C" w:rsidRDefault="00346D1C" w:rsidP="00A118F1">
      <w:pPr>
        <w:spacing w:after="0" w:line="240" w:lineRule="auto"/>
        <w:rPr>
          <w:rFonts w:ascii="Times New Roman" w:eastAsiaTheme="majorEastAsia" w:hAnsi="Times New Roman" w:cs="Times New Roman"/>
          <w:sz w:val="32"/>
          <w:szCs w:val="32"/>
        </w:rPr>
      </w:pPr>
    </w:p>
    <w:p w14:paraId="4B66862A" w14:textId="77777777" w:rsidR="00346D1C" w:rsidRPr="00346D1C" w:rsidRDefault="00346D1C" w:rsidP="00346D1C">
      <w:pPr>
        <w:rPr>
          <w:rFonts w:ascii="Times New Roman" w:eastAsiaTheme="majorEastAsia" w:hAnsi="Times New Roman" w:cs="Times New Roman"/>
          <w:sz w:val="32"/>
          <w:szCs w:val="32"/>
        </w:rPr>
      </w:pPr>
    </w:p>
    <w:p w14:paraId="10728B9C" w14:textId="77777777" w:rsidR="00D50C82" w:rsidRDefault="00D50C82" w:rsidP="00346D1C">
      <w:pPr>
        <w:tabs>
          <w:tab w:val="left" w:pos="1425"/>
        </w:tabs>
        <w:rPr>
          <w:rFonts w:ascii="Georgia" w:eastAsiaTheme="majorEastAsia" w:hAnsi="Georgia" w:cs="Times New Roman"/>
        </w:rPr>
      </w:pPr>
    </w:p>
    <w:p w14:paraId="1D70CDD7" w14:textId="111FEA77" w:rsidR="00346D1C" w:rsidRPr="00346D1C" w:rsidRDefault="00346D1C" w:rsidP="00346D1C">
      <w:pPr>
        <w:tabs>
          <w:tab w:val="left" w:pos="1425"/>
        </w:tabs>
        <w:rPr>
          <w:rFonts w:ascii="Georgia" w:eastAsiaTheme="majorEastAsia" w:hAnsi="Georgia" w:cs="Times New Roman"/>
        </w:rPr>
      </w:pPr>
      <w:r w:rsidRPr="00346D1C">
        <w:rPr>
          <w:rFonts w:ascii="Georgia" w:eastAsiaTheme="majorEastAsia" w:hAnsi="Georgia" w:cs="Times New Roman"/>
        </w:rPr>
        <w:t>Sept 2023</w:t>
      </w:r>
    </w:p>
    <w:p w14:paraId="26BC7A15" w14:textId="3C2072E8" w:rsidR="00346D1C" w:rsidRPr="00346D1C" w:rsidRDefault="00346D1C" w:rsidP="00346D1C">
      <w:pPr>
        <w:tabs>
          <w:tab w:val="left" w:pos="1425"/>
        </w:tabs>
        <w:rPr>
          <w:rFonts w:ascii="Times New Roman" w:eastAsiaTheme="majorEastAsia" w:hAnsi="Times New Roman" w:cs="Times New Roman"/>
          <w:sz w:val="32"/>
          <w:szCs w:val="32"/>
        </w:rPr>
        <w:sectPr w:rsidR="00346D1C" w:rsidRPr="00346D1C" w:rsidSect="004F2587">
          <w:headerReference w:type="even" r:id="rId14"/>
          <w:headerReference w:type="default" r:id="rId15"/>
          <w:footerReference w:type="even" r:id="rId16"/>
          <w:footerReference w:type="default" r:id="rId17"/>
          <w:headerReference w:type="first" r:id="rId18"/>
          <w:footerReference w:type="first" r:id="rId19"/>
          <w:pgSz w:w="11906" w:h="16838" w:code="9"/>
          <w:pgMar w:top="1008" w:right="1008" w:bottom="1008" w:left="1008" w:header="720" w:footer="720" w:gutter="0"/>
          <w:pgNumType w:fmt="upperRoman" w:start="1"/>
          <w:cols w:space="720"/>
          <w:titlePg/>
          <w:docGrid w:linePitch="360"/>
        </w:sectPr>
      </w:pPr>
      <w:r>
        <w:rPr>
          <w:rFonts w:ascii="Times New Roman" w:eastAsiaTheme="majorEastAsia" w:hAnsi="Times New Roman" w:cs="Times New Roman"/>
          <w:sz w:val="32"/>
          <w:szCs w:val="32"/>
        </w:rPr>
        <w:tab/>
      </w:r>
    </w:p>
    <w:p w14:paraId="1290FD11" w14:textId="713CB2D1" w:rsidR="00DB6719" w:rsidRPr="00346D1C" w:rsidRDefault="00DB6719" w:rsidP="00A118F1">
      <w:pPr>
        <w:spacing w:after="0" w:line="240" w:lineRule="auto"/>
        <w:rPr>
          <w:rFonts w:ascii="Georgia" w:eastAsiaTheme="majorEastAsia" w:hAnsi="Georgia" w:cs="Times New Roman"/>
          <w:sz w:val="32"/>
          <w:szCs w:val="32"/>
        </w:rPr>
      </w:pPr>
      <w:r w:rsidRPr="00346D1C">
        <w:rPr>
          <w:rFonts w:ascii="Georgia" w:eastAsiaTheme="majorEastAsia" w:hAnsi="Georgia" w:cs="Times New Roman"/>
          <w:sz w:val="32"/>
          <w:szCs w:val="32"/>
        </w:rPr>
        <w:lastRenderedPageBreak/>
        <w:t>Table of Contents</w:t>
      </w:r>
    </w:p>
    <w:sdt>
      <w:sdtPr>
        <w:rPr>
          <w:rFonts w:ascii="Georgia" w:eastAsiaTheme="minorHAnsi" w:hAnsi="Georgia" w:cs="Times New Roman"/>
          <w:color w:val="auto"/>
          <w:sz w:val="22"/>
          <w:szCs w:val="22"/>
          <w:lang w:val="en-GB"/>
        </w:rPr>
        <w:id w:val="-225219602"/>
        <w:docPartObj>
          <w:docPartGallery w:val="Table of Contents"/>
          <w:docPartUnique/>
        </w:docPartObj>
      </w:sdtPr>
      <w:sdtEndPr>
        <w:rPr>
          <w:noProof/>
          <w:sz w:val="24"/>
          <w:szCs w:val="24"/>
        </w:rPr>
      </w:sdtEndPr>
      <w:sdtContent>
        <w:p w14:paraId="4DE9301E" w14:textId="2348F27E" w:rsidR="00E66043" w:rsidRPr="00346D1C" w:rsidRDefault="00E66043" w:rsidP="005B509D">
          <w:pPr>
            <w:pStyle w:val="TOCHeading"/>
            <w:spacing w:before="0" w:line="240" w:lineRule="auto"/>
            <w:rPr>
              <w:rFonts w:ascii="Georgia" w:hAnsi="Georgia" w:cs="Times New Roman"/>
              <w:lang w:val="en-GB"/>
            </w:rPr>
          </w:pPr>
        </w:p>
        <w:p w14:paraId="57D9E53A" w14:textId="77777777" w:rsidR="00A118F1" w:rsidRPr="00346D1C" w:rsidRDefault="00A118F1" w:rsidP="00CC70CB">
          <w:pPr>
            <w:pStyle w:val="TOC1"/>
            <w:rPr>
              <w:rFonts w:ascii="Georgia" w:hAnsi="Georgia"/>
            </w:rPr>
          </w:pPr>
        </w:p>
        <w:p w14:paraId="0F063A2B" w14:textId="625FFDF9" w:rsidR="00E77037" w:rsidRDefault="00E66043">
          <w:pPr>
            <w:pStyle w:val="TOC1"/>
            <w:rPr>
              <w:rFonts w:eastAsiaTheme="minorEastAsia"/>
              <w:noProof/>
              <w:lang w:val="en-US"/>
            </w:rPr>
          </w:pPr>
          <w:r w:rsidRPr="00DE5A1E">
            <w:rPr>
              <w:rFonts w:ascii="Georgia" w:hAnsi="Georgia" w:cs="Times New Roman"/>
              <w:sz w:val="24"/>
              <w:szCs w:val="24"/>
            </w:rPr>
            <w:fldChar w:fldCharType="begin"/>
          </w:r>
          <w:r w:rsidRPr="00DE5A1E">
            <w:rPr>
              <w:rFonts w:ascii="Georgia" w:hAnsi="Georgia" w:cs="Times New Roman"/>
              <w:sz w:val="24"/>
              <w:szCs w:val="24"/>
            </w:rPr>
            <w:instrText xml:space="preserve"> TOC \o "1-3" \h \z \u </w:instrText>
          </w:r>
          <w:r w:rsidRPr="00DE5A1E">
            <w:rPr>
              <w:rFonts w:ascii="Georgia" w:hAnsi="Georgia" w:cs="Times New Roman"/>
              <w:sz w:val="24"/>
              <w:szCs w:val="24"/>
            </w:rPr>
            <w:fldChar w:fldCharType="separate"/>
          </w:r>
          <w:hyperlink w:anchor="_Toc145928774" w:history="1">
            <w:r w:rsidR="00E77037" w:rsidRPr="00E31CBE">
              <w:rPr>
                <w:rStyle w:val="Hyperlink"/>
                <w:rFonts w:ascii="Georgia" w:hAnsi="Georgia" w:cs="Times New Roman"/>
                <w:b/>
                <w:bCs/>
                <w:noProof/>
              </w:rPr>
              <w:t>List of Acronyms</w:t>
            </w:r>
            <w:r w:rsidR="00E77037">
              <w:rPr>
                <w:noProof/>
                <w:webHidden/>
              </w:rPr>
              <w:tab/>
            </w:r>
            <w:r w:rsidR="00E77037">
              <w:rPr>
                <w:noProof/>
                <w:webHidden/>
              </w:rPr>
              <w:fldChar w:fldCharType="begin"/>
            </w:r>
            <w:r w:rsidR="00E77037">
              <w:rPr>
                <w:noProof/>
                <w:webHidden/>
              </w:rPr>
              <w:instrText xml:space="preserve"> PAGEREF _Toc145928774 \h </w:instrText>
            </w:r>
            <w:r w:rsidR="00E77037">
              <w:rPr>
                <w:noProof/>
                <w:webHidden/>
              </w:rPr>
            </w:r>
            <w:r w:rsidR="00E77037">
              <w:rPr>
                <w:noProof/>
                <w:webHidden/>
              </w:rPr>
              <w:fldChar w:fldCharType="separate"/>
            </w:r>
            <w:r w:rsidR="00E77037">
              <w:rPr>
                <w:noProof/>
                <w:webHidden/>
              </w:rPr>
              <w:t>III</w:t>
            </w:r>
            <w:r w:rsidR="00E77037">
              <w:rPr>
                <w:noProof/>
                <w:webHidden/>
              </w:rPr>
              <w:fldChar w:fldCharType="end"/>
            </w:r>
          </w:hyperlink>
        </w:p>
        <w:p w14:paraId="7CF234EC" w14:textId="346ACCA0" w:rsidR="00E77037" w:rsidRDefault="00000000">
          <w:pPr>
            <w:pStyle w:val="TOC1"/>
            <w:rPr>
              <w:rFonts w:eastAsiaTheme="minorEastAsia"/>
              <w:noProof/>
              <w:lang w:val="en-US"/>
            </w:rPr>
          </w:pPr>
          <w:hyperlink w:anchor="_Toc145928775" w:history="1">
            <w:r w:rsidR="00E77037" w:rsidRPr="00E31CBE">
              <w:rPr>
                <w:rStyle w:val="Hyperlink"/>
                <w:rFonts w:ascii="Georgia" w:hAnsi="Georgia" w:cs="Times New Roman"/>
                <w:b/>
                <w:bCs/>
                <w:noProof/>
              </w:rPr>
              <w:t>Glossary of Terms</w:t>
            </w:r>
            <w:r w:rsidR="00E77037">
              <w:rPr>
                <w:noProof/>
                <w:webHidden/>
              </w:rPr>
              <w:tab/>
            </w:r>
            <w:r w:rsidR="00E77037">
              <w:rPr>
                <w:noProof/>
                <w:webHidden/>
              </w:rPr>
              <w:fldChar w:fldCharType="begin"/>
            </w:r>
            <w:r w:rsidR="00E77037">
              <w:rPr>
                <w:noProof/>
                <w:webHidden/>
              </w:rPr>
              <w:instrText xml:space="preserve"> PAGEREF _Toc145928775 \h </w:instrText>
            </w:r>
            <w:r w:rsidR="00E77037">
              <w:rPr>
                <w:noProof/>
                <w:webHidden/>
              </w:rPr>
            </w:r>
            <w:r w:rsidR="00E77037">
              <w:rPr>
                <w:noProof/>
                <w:webHidden/>
              </w:rPr>
              <w:fldChar w:fldCharType="separate"/>
            </w:r>
            <w:r w:rsidR="00E77037">
              <w:rPr>
                <w:noProof/>
                <w:webHidden/>
              </w:rPr>
              <w:t>IV</w:t>
            </w:r>
            <w:r w:rsidR="00E77037">
              <w:rPr>
                <w:noProof/>
                <w:webHidden/>
              </w:rPr>
              <w:fldChar w:fldCharType="end"/>
            </w:r>
          </w:hyperlink>
        </w:p>
        <w:p w14:paraId="72E52F80" w14:textId="14E74D6F" w:rsidR="00E77037" w:rsidRDefault="00000000">
          <w:pPr>
            <w:pStyle w:val="TOC1"/>
            <w:rPr>
              <w:rFonts w:eastAsiaTheme="minorEastAsia"/>
              <w:noProof/>
              <w:lang w:val="en-US"/>
            </w:rPr>
          </w:pPr>
          <w:hyperlink w:anchor="_Toc145928776" w:history="1">
            <w:r w:rsidR="00E77037" w:rsidRPr="00E31CBE">
              <w:rPr>
                <w:rStyle w:val="Hyperlink"/>
                <w:rFonts w:ascii="Georgia" w:hAnsi="Georgia" w:cs="Times New Roman"/>
                <w:b/>
                <w:bCs/>
                <w:noProof/>
              </w:rPr>
              <w:t>Foreword</w:t>
            </w:r>
            <w:r w:rsidR="00E77037">
              <w:rPr>
                <w:noProof/>
                <w:webHidden/>
              </w:rPr>
              <w:tab/>
            </w:r>
            <w:r w:rsidR="00E77037">
              <w:rPr>
                <w:noProof/>
                <w:webHidden/>
              </w:rPr>
              <w:fldChar w:fldCharType="begin"/>
            </w:r>
            <w:r w:rsidR="00E77037">
              <w:rPr>
                <w:noProof/>
                <w:webHidden/>
              </w:rPr>
              <w:instrText xml:space="preserve"> PAGEREF _Toc145928776 \h </w:instrText>
            </w:r>
            <w:r w:rsidR="00E77037">
              <w:rPr>
                <w:noProof/>
                <w:webHidden/>
              </w:rPr>
            </w:r>
            <w:r w:rsidR="00E77037">
              <w:rPr>
                <w:noProof/>
                <w:webHidden/>
              </w:rPr>
              <w:fldChar w:fldCharType="separate"/>
            </w:r>
            <w:r w:rsidR="00E77037">
              <w:rPr>
                <w:noProof/>
                <w:webHidden/>
              </w:rPr>
              <w:t>VI</w:t>
            </w:r>
            <w:r w:rsidR="00E77037">
              <w:rPr>
                <w:noProof/>
                <w:webHidden/>
              </w:rPr>
              <w:fldChar w:fldCharType="end"/>
            </w:r>
          </w:hyperlink>
        </w:p>
        <w:p w14:paraId="5D5C45BF" w14:textId="33C660A5" w:rsidR="00E77037" w:rsidRDefault="00000000">
          <w:pPr>
            <w:pStyle w:val="TOC1"/>
            <w:rPr>
              <w:rFonts w:eastAsiaTheme="minorEastAsia"/>
              <w:noProof/>
              <w:lang w:val="en-US"/>
            </w:rPr>
          </w:pPr>
          <w:hyperlink w:anchor="_Toc145928777" w:history="1">
            <w:r w:rsidR="00E77037" w:rsidRPr="00E31CBE">
              <w:rPr>
                <w:rStyle w:val="Hyperlink"/>
                <w:rFonts w:ascii="Georgia" w:hAnsi="Georgia" w:cs="Times New Roman"/>
                <w:b/>
                <w:bCs/>
                <w:noProof/>
              </w:rPr>
              <w:t>Acknowledgement</w:t>
            </w:r>
            <w:r w:rsidR="00E77037">
              <w:rPr>
                <w:noProof/>
                <w:webHidden/>
              </w:rPr>
              <w:tab/>
            </w:r>
            <w:r w:rsidR="00E77037">
              <w:rPr>
                <w:noProof/>
                <w:webHidden/>
              </w:rPr>
              <w:fldChar w:fldCharType="begin"/>
            </w:r>
            <w:r w:rsidR="00E77037">
              <w:rPr>
                <w:noProof/>
                <w:webHidden/>
              </w:rPr>
              <w:instrText xml:space="preserve"> PAGEREF _Toc145928777 \h </w:instrText>
            </w:r>
            <w:r w:rsidR="00E77037">
              <w:rPr>
                <w:noProof/>
                <w:webHidden/>
              </w:rPr>
            </w:r>
            <w:r w:rsidR="00E77037">
              <w:rPr>
                <w:noProof/>
                <w:webHidden/>
              </w:rPr>
              <w:fldChar w:fldCharType="separate"/>
            </w:r>
            <w:r w:rsidR="00E77037">
              <w:rPr>
                <w:noProof/>
                <w:webHidden/>
              </w:rPr>
              <w:t>VII</w:t>
            </w:r>
            <w:r w:rsidR="00E77037">
              <w:rPr>
                <w:noProof/>
                <w:webHidden/>
              </w:rPr>
              <w:fldChar w:fldCharType="end"/>
            </w:r>
          </w:hyperlink>
        </w:p>
        <w:p w14:paraId="37ECA128" w14:textId="12329DC0" w:rsidR="00E77037" w:rsidRDefault="00000000">
          <w:pPr>
            <w:pStyle w:val="TOC1"/>
            <w:rPr>
              <w:rFonts w:eastAsiaTheme="minorEastAsia"/>
              <w:noProof/>
              <w:lang w:val="en-US"/>
            </w:rPr>
          </w:pPr>
          <w:hyperlink w:anchor="_Toc145928778" w:history="1">
            <w:r w:rsidR="00E77037" w:rsidRPr="00E31CBE">
              <w:rPr>
                <w:rStyle w:val="Hyperlink"/>
                <w:rFonts w:ascii="Georgia" w:hAnsi="Georgia" w:cs="Times New Roman"/>
                <w:b/>
                <w:bCs/>
                <w:noProof/>
              </w:rPr>
              <w:t>Executive Summary</w:t>
            </w:r>
            <w:r w:rsidR="00E77037">
              <w:rPr>
                <w:noProof/>
                <w:webHidden/>
              </w:rPr>
              <w:tab/>
            </w:r>
            <w:r w:rsidR="00E77037">
              <w:rPr>
                <w:noProof/>
                <w:webHidden/>
              </w:rPr>
              <w:fldChar w:fldCharType="begin"/>
            </w:r>
            <w:r w:rsidR="00E77037">
              <w:rPr>
                <w:noProof/>
                <w:webHidden/>
              </w:rPr>
              <w:instrText xml:space="preserve"> PAGEREF _Toc145928778 \h </w:instrText>
            </w:r>
            <w:r w:rsidR="00E77037">
              <w:rPr>
                <w:noProof/>
                <w:webHidden/>
              </w:rPr>
            </w:r>
            <w:r w:rsidR="00E77037">
              <w:rPr>
                <w:noProof/>
                <w:webHidden/>
              </w:rPr>
              <w:fldChar w:fldCharType="separate"/>
            </w:r>
            <w:r w:rsidR="00E77037">
              <w:rPr>
                <w:noProof/>
                <w:webHidden/>
              </w:rPr>
              <w:t>IX</w:t>
            </w:r>
            <w:r w:rsidR="00E77037">
              <w:rPr>
                <w:noProof/>
                <w:webHidden/>
              </w:rPr>
              <w:fldChar w:fldCharType="end"/>
            </w:r>
          </w:hyperlink>
        </w:p>
        <w:p w14:paraId="0BEF3D2C" w14:textId="1265607C" w:rsidR="00E77037" w:rsidRDefault="00000000">
          <w:pPr>
            <w:pStyle w:val="TOC1"/>
            <w:rPr>
              <w:rFonts w:eastAsiaTheme="minorEastAsia"/>
              <w:noProof/>
              <w:lang w:val="en-US"/>
            </w:rPr>
          </w:pPr>
          <w:hyperlink w:anchor="_Toc145928779" w:history="1">
            <w:r w:rsidR="00E77037" w:rsidRPr="00E31CBE">
              <w:rPr>
                <w:rStyle w:val="Hyperlink"/>
                <w:rFonts w:ascii="Georgia" w:hAnsi="Georgia" w:cs="Times New Roman"/>
                <w:b/>
                <w:bCs/>
                <w:noProof/>
              </w:rPr>
              <w:t>Overview: Macroeconomic development in Kenya</w:t>
            </w:r>
            <w:r w:rsidR="00E77037">
              <w:rPr>
                <w:noProof/>
                <w:webHidden/>
              </w:rPr>
              <w:tab/>
            </w:r>
            <w:r w:rsidR="00E77037">
              <w:rPr>
                <w:noProof/>
                <w:webHidden/>
              </w:rPr>
              <w:fldChar w:fldCharType="begin"/>
            </w:r>
            <w:r w:rsidR="00E77037">
              <w:rPr>
                <w:noProof/>
                <w:webHidden/>
              </w:rPr>
              <w:instrText xml:space="preserve"> PAGEREF _Toc145928779 \h </w:instrText>
            </w:r>
            <w:r w:rsidR="00E77037">
              <w:rPr>
                <w:noProof/>
                <w:webHidden/>
              </w:rPr>
            </w:r>
            <w:r w:rsidR="00E77037">
              <w:rPr>
                <w:noProof/>
                <w:webHidden/>
              </w:rPr>
              <w:fldChar w:fldCharType="separate"/>
            </w:r>
            <w:r w:rsidR="00E77037">
              <w:rPr>
                <w:noProof/>
                <w:webHidden/>
              </w:rPr>
              <w:t>XVI</w:t>
            </w:r>
            <w:r w:rsidR="00E77037">
              <w:rPr>
                <w:noProof/>
                <w:webHidden/>
              </w:rPr>
              <w:fldChar w:fldCharType="end"/>
            </w:r>
          </w:hyperlink>
        </w:p>
        <w:p w14:paraId="740A78F4" w14:textId="35FC649B" w:rsidR="00E77037" w:rsidRDefault="00000000">
          <w:pPr>
            <w:pStyle w:val="TOC1"/>
            <w:tabs>
              <w:tab w:val="left" w:pos="440"/>
            </w:tabs>
            <w:rPr>
              <w:rFonts w:eastAsiaTheme="minorEastAsia"/>
              <w:noProof/>
              <w:lang w:val="en-US"/>
            </w:rPr>
          </w:pPr>
          <w:hyperlink w:anchor="_Toc145928780" w:history="1">
            <w:r w:rsidR="00E77037" w:rsidRPr="00E31CBE">
              <w:rPr>
                <w:rStyle w:val="Hyperlink"/>
                <w:rFonts w:ascii="Georgia" w:eastAsia="Constantia" w:hAnsi="Georgia" w:cs="Times New Roman"/>
                <w:b/>
                <w:bCs/>
                <w:noProof/>
                <w:lang w:eastAsia="en-GB"/>
              </w:rPr>
              <w:t>1.</w:t>
            </w:r>
            <w:r w:rsidR="00E77037">
              <w:rPr>
                <w:rFonts w:eastAsiaTheme="minorEastAsia"/>
                <w:noProof/>
                <w:lang w:val="en-US"/>
              </w:rPr>
              <w:tab/>
            </w:r>
            <w:r w:rsidR="00E77037" w:rsidRPr="00E31CBE">
              <w:rPr>
                <w:rStyle w:val="Hyperlink"/>
                <w:rFonts w:ascii="Georgia" w:eastAsia="Constantia" w:hAnsi="Georgia" w:cs="Times New Roman"/>
                <w:b/>
                <w:bCs/>
                <w:noProof/>
                <w:lang w:eastAsia="en-GB"/>
              </w:rPr>
              <w:t xml:space="preserve">Causes and </w:t>
            </w:r>
            <w:r w:rsidR="00E77037" w:rsidRPr="00E31CBE">
              <w:rPr>
                <w:rStyle w:val="Hyperlink"/>
                <w:rFonts w:ascii="Georgia" w:hAnsi="Georgia" w:cs="Times New Roman"/>
                <w:b/>
                <w:bCs/>
                <w:noProof/>
              </w:rPr>
              <w:t>drivers</w:t>
            </w:r>
            <w:r w:rsidR="00E77037" w:rsidRPr="00E31CBE">
              <w:rPr>
                <w:rStyle w:val="Hyperlink"/>
                <w:rFonts w:ascii="Georgia" w:eastAsia="Constantia" w:hAnsi="Georgia" w:cs="Times New Roman"/>
                <w:b/>
                <w:bCs/>
                <w:noProof/>
                <w:lang w:eastAsia="en-GB"/>
              </w:rPr>
              <w:t xml:space="preserve"> of inequality</w:t>
            </w:r>
            <w:r w:rsidR="00E77037">
              <w:rPr>
                <w:noProof/>
                <w:webHidden/>
              </w:rPr>
              <w:tab/>
            </w:r>
            <w:r w:rsidR="00E77037">
              <w:rPr>
                <w:noProof/>
                <w:webHidden/>
              </w:rPr>
              <w:fldChar w:fldCharType="begin"/>
            </w:r>
            <w:r w:rsidR="00E77037">
              <w:rPr>
                <w:noProof/>
                <w:webHidden/>
              </w:rPr>
              <w:instrText xml:space="preserve"> PAGEREF _Toc145928780 \h </w:instrText>
            </w:r>
            <w:r w:rsidR="00E77037">
              <w:rPr>
                <w:noProof/>
                <w:webHidden/>
              </w:rPr>
            </w:r>
            <w:r w:rsidR="00E77037">
              <w:rPr>
                <w:noProof/>
                <w:webHidden/>
              </w:rPr>
              <w:fldChar w:fldCharType="separate"/>
            </w:r>
            <w:r w:rsidR="00E77037">
              <w:rPr>
                <w:noProof/>
                <w:webHidden/>
              </w:rPr>
              <w:t>1</w:t>
            </w:r>
            <w:r w:rsidR="00E77037">
              <w:rPr>
                <w:noProof/>
                <w:webHidden/>
              </w:rPr>
              <w:fldChar w:fldCharType="end"/>
            </w:r>
          </w:hyperlink>
        </w:p>
        <w:p w14:paraId="50CF1CC7" w14:textId="49DE467B" w:rsidR="00E77037" w:rsidRDefault="00000000">
          <w:pPr>
            <w:pStyle w:val="TOC2"/>
            <w:rPr>
              <w:rFonts w:eastAsiaTheme="minorEastAsia"/>
              <w:noProof/>
              <w:lang w:val="en-US"/>
            </w:rPr>
          </w:pPr>
          <w:hyperlink w:anchor="_Toc145928781" w:history="1">
            <w:r w:rsidR="00E77037" w:rsidRPr="00E31CBE">
              <w:rPr>
                <w:rStyle w:val="Hyperlink"/>
                <w:rFonts w:ascii="Georgia" w:eastAsia="Constantia" w:hAnsi="Georgia" w:cs="Times New Roman"/>
                <w:noProof/>
                <w:lang w:eastAsia="en-GB"/>
              </w:rPr>
              <w:t>1.1</w:t>
            </w:r>
            <w:r w:rsidR="00E77037">
              <w:rPr>
                <w:rFonts w:eastAsiaTheme="minorEastAsia"/>
                <w:noProof/>
                <w:lang w:val="en-US"/>
              </w:rPr>
              <w:tab/>
            </w:r>
            <w:r w:rsidR="00E77037" w:rsidRPr="00E31CBE">
              <w:rPr>
                <w:rStyle w:val="Hyperlink"/>
                <w:rFonts w:ascii="Georgia" w:eastAsia="Constantia" w:hAnsi="Georgia" w:cs="Times New Roman"/>
                <w:noProof/>
                <w:lang w:eastAsia="en-GB"/>
              </w:rPr>
              <w:t>Labour market developments</w:t>
            </w:r>
            <w:r w:rsidR="00E77037">
              <w:rPr>
                <w:noProof/>
                <w:webHidden/>
              </w:rPr>
              <w:tab/>
            </w:r>
            <w:r w:rsidR="00E77037">
              <w:rPr>
                <w:noProof/>
                <w:webHidden/>
              </w:rPr>
              <w:fldChar w:fldCharType="begin"/>
            </w:r>
            <w:r w:rsidR="00E77037">
              <w:rPr>
                <w:noProof/>
                <w:webHidden/>
              </w:rPr>
              <w:instrText xml:space="preserve"> PAGEREF _Toc145928781 \h </w:instrText>
            </w:r>
            <w:r w:rsidR="00E77037">
              <w:rPr>
                <w:noProof/>
                <w:webHidden/>
              </w:rPr>
            </w:r>
            <w:r w:rsidR="00E77037">
              <w:rPr>
                <w:noProof/>
                <w:webHidden/>
              </w:rPr>
              <w:fldChar w:fldCharType="separate"/>
            </w:r>
            <w:r w:rsidR="00E77037">
              <w:rPr>
                <w:noProof/>
                <w:webHidden/>
              </w:rPr>
              <w:t>1</w:t>
            </w:r>
            <w:r w:rsidR="00E77037">
              <w:rPr>
                <w:noProof/>
                <w:webHidden/>
              </w:rPr>
              <w:fldChar w:fldCharType="end"/>
            </w:r>
          </w:hyperlink>
        </w:p>
        <w:p w14:paraId="348FED1D" w14:textId="6AE6FC02" w:rsidR="00E77037" w:rsidRDefault="00000000">
          <w:pPr>
            <w:pStyle w:val="TOC2"/>
            <w:rPr>
              <w:rFonts w:eastAsiaTheme="minorEastAsia"/>
              <w:noProof/>
              <w:lang w:val="en-US"/>
            </w:rPr>
          </w:pPr>
          <w:hyperlink w:anchor="_Toc145928782" w:history="1">
            <w:r w:rsidR="00E77037" w:rsidRPr="00E31CBE">
              <w:rPr>
                <w:rStyle w:val="Hyperlink"/>
                <w:rFonts w:ascii="Georgia" w:eastAsia="Constantia" w:hAnsi="Georgia" w:cs="Times New Roman"/>
                <w:noProof/>
                <w:lang w:eastAsia="en-GB"/>
              </w:rPr>
              <w:t>1.2</w:t>
            </w:r>
            <w:r w:rsidR="00E77037">
              <w:rPr>
                <w:rFonts w:eastAsiaTheme="minorEastAsia"/>
                <w:noProof/>
                <w:lang w:val="en-US"/>
              </w:rPr>
              <w:tab/>
            </w:r>
            <w:r w:rsidR="00E77037" w:rsidRPr="00E31CBE">
              <w:rPr>
                <w:rStyle w:val="Hyperlink"/>
                <w:rFonts w:ascii="Georgia" w:eastAsia="Constantia" w:hAnsi="Georgia" w:cs="Times New Roman"/>
                <w:noProof/>
                <w:lang w:eastAsia="en-GB"/>
              </w:rPr>
              <w:t>Taxes, social spending and access to education and health services</w:t>
            </w:r>
            <w:r w:rsidR="00E77037">
              <w:rPr>
                <w:noProof/>
                <w:webHidden/>
              </w:rPr>
              <w:tab/>
            </w:r>
            <w:r w:rsidR="00E77037">
              <w:rPr>
                <w:noProof/>
                <w:webHidden/>
              </w:rPr>
              <w:fldChar w:fldCharType="begin"/>
            </w:r>
            <w:r w:rsidR="00E77037">
              <w:rPr>
                <w:noProof/>
                <w:webHidden/>
              </w:rPr>
              <w:instrText xml:space="preserve"> PAGEREF _Toc145928782 \h </w:instrText>
            </w:r>
            <w:r w:rsidR="00E77037">
              <w:rPr>
                <w:noProof/>
                <w:webHidden/>
              </w:rPr>
            </w:r>
            <w:r w:rsidR="00E77037">
              <w:rPr>
                <w:noProof/>
                <w:webHidden/>
              </w:rPr>
              <w:fldChar w:fldCharType="separate"/>
            </w:r>
            <w:r w:rsidR="00E77037">
              <w:rPr>
                <w:noProof/>
                <w:webHidden/>
              </w:rPr>
              <w:t>5</w:t>
            </w:r>
            <w:r w:rsidR="00E77037">
              <w:rPr>
                <w:noProof/>
                <w:webHidden/>
              </w:rPr>
              <w:fldChar w:fldCharType="end"/>
            </w:r>
          </w:hyperlink>
        </w:p>
        <w:p w14:paraId="10883DD1" w14:textId="0A97DAF2" w:rsidR="00E77037" w:rsidRDefault="00000000">
          <w:pPr>
            <w:pStyle w:val="TOC2"/>
            <w:rPr>
              <w:rFonts w:eastAsiaTheme="minorEastAsia"/>
              <w:noProof/>
              <w:lang w:val="en-US"/>
            </w:rPr>
          </w:pPr>
          <w:hyperlink w:anchor="_Toc145928783" w:history="1">
            <w:r w:rsidR="00E77037" w:rsidRPr="00E31CBE">
              <w:rPr>
                <w:rStyle w:val="Hyperlink"/>
                <w:rFonts w:ascii="Georgia" w:eastAsia="Constantia" w:hAnsi="Georgia" w:cs="Times New Roman"/>
                <w:noProof/>
                <w:lang w:eastAsia="en-GB"/>
              </w:rPr>
              <w:t>1.3</w:t>
            </w:r>
            <w:r w:rsidR="00E77037">
              <w:rPr>
                <w:rFonts w:eastAsiaTheme="minorEastAsia"/>
                <w:noProof/>
                <w:lang w:val="en-US"/>
              </w:rPr>
              <w:tab/>
            </w:r>
            <w:r w:rsidR="00E77037" w:rsidRPr="00E31CBE">
              <w:rPr>
                <w:rStyle w:val="Hyperlink"/>
                <w:rFonts w:ascii="Georgia" w:eastAsia="Constantia" w:hAnsi="Georgia" w:cs="Times New Roman"/>
                <w:noProof/>
                <w:lang w:eastAsia="en-GB"/>
              </w:rPr>
              <w:t>Gender</w:t>
            </w:r>
            <w:r w:rsidR="00E77037">
              <w:rPr>
                <w:noProof/>
                <w:webHidden/>
              </w:rPr>
              <w:tab/>
            </w:r>
            <w:r w:rsidR="00E77037">
              <w:rPr>
                <w:noProof/>
                <w:webHidden/>
              </w:rPr>
              <w:fldChar w:fldCharType="begin"/>
            </w:r>
            <w:r w:rsidR="00E77037">
              <w:rPr>
                <w:noProof/>
                <w:webHidden/>
              </w:rPr>
              <w:instrText xml:space="preserve"> PAGEREF _Toc145928783 \h </w:instrText>
            </w:r>
            <w:r w:rsidR="00E77037">
              <w:rPr>
                <w:noProof/>
                <w:webHidden/>
              </w:rPr>
            </w:r>
            <w:r w:rsidR="00E77037">
              <w:rPr>
                <w:noProof/>
                <w:webHidden/>
              </w:rPr>
              <w:fldChar w:fldCharType="separate"/>
            </w:r>
            <w:r w:rsidR="00E77037">
              <w:rPr>
                <w:noProof/>
                <w:webHidden/>
              </w:rPr>
              <w:t>12</w:t>
            </w:r>
            <w:r w:rsidR="00E77037">
              <w:rPr>
                <w:noProof/>
                <w:webHidden/>
              </w:rPr>
              <w:fldChar w:fldCharType="end"/>
            </w:r>
          </w:hyperlink>
        </w:p>
        <w:p w14:paraId="55B82AF4" w14:textId="175B11AE" w:rsidR="00E77037" w:rsidRDefault="00000000">
          <w:pPr>
            <w:pStyle w:val="TOC1"/>
            <w:tabs>
              <w:tab w:val="left" w:pos="440"/>
            </w:tabs>
            <w:rPr>
              <w:rFonts w:eastAsiaTheme="minorEastAsia"/>
              <w:noProof/>
              <w:lang w:val="en-US"/>
            </w:rPr>
          </w:pPr>
          <w:hyperlink w:anchor="_Toc145928784" w:history="1">
            <w:r w:rsidR="00E77037" w:rsidRPr="00E31CBE">
              <w:rPr>
                <w:rStyle w:val="Hyperlink"/>
                <w:rFonts w:ascii="Georgia" w:eastAsia="Constantia" w:hAnsi="Georgia" w:cs="Times New Roman"/>
                <w:b/>
                <w:bCs/>
                <w:noProof/>
                <w:lang w:eastAsia="en-GB"/>
              </w:rPr>
              <w:t>2.</w:t>
            </w:r>
            <w:r w:rsidR="00E77037">
              <w:rPr>
                <w:rFonts w:eastAsiaTheme="minorEastAsia"/>
                <w:noProof/>
                <w:lang w:val="en-US"/>
              </w:rPr>
              <w:tab/>
            </w:r>
            <w:r w:rsidR="00E77037" w:rsidRPr="00E31CBE">
              <w:rPr>
                <w:rStyle w:val="Hyperlink"/>
                <w:rFonts w:ascii="Georgia" w:eastAsia="Constantia" w:hAnsi="Georgia" w:cs="Times New Roman"/>
                <w:b/>
                <w:bCs/>
                <w:noProof/>
                <w:lang w:eastAsia="en-GB"/>
              </w:rPr>
              <w:t>Inequality in the political and societal discourse</w:t>
            </w:r>
            <w:r w:rsidR="00E77037">
              <w:rPr>
                <w:noProof/>
                <w:webHidden/>
              </w:rPr>
              <w:tab/>
            </w:r>
            <w:r w:rsidR="00E77037">
              <w:rPr>
                <w:noProof/>
                <w:webHidden/>
              </w:rPr>
              <w:fldChar w:fldCharType="begin"/>
            </w:r>
            <w:r w:rsidR="00E77037">
              <w:rPr>
                <w:noProof/>
                <w:webHidden/>
              </w:rPr>
              <w:instrText xml:space="preserve"> PAGEREF _Toc145928784 \h </w:instrText>
            </w:r>
            <w:r w:rsidR="00E77037">
              <w:rPr>
                <w:noProof/>
                <w:webHidden/>
              </w:rPr>
            </w:r>
            <w:r w:rsidR="00E77037">
              <w:rPr>
                <w:noProof/>
                <w:webHidden/>
              </w:rPr>
              <w:fldChar w:fldCharType="separate"/>
            </w:r>
            <w:r w:rsidR="00E77037">
              <w:rPr>
                <w:noProof/>
                <w:webHidden/>
              </w:rPr>
              <w:t>15</w:t>
            </w:r>
            <w:r w:rsidR="00E77037">
              <w:rPr>
                <w:noProof/>
                <w:webHidden/>
              </w:rPr>
              <w:fldChar w:fldCharType="end"/>
            </w:r>
          </w:hyperlink>
        </w:p>
        <w:p w14:paraId="1554BD0B" w14:textId="18A1B631" w:rsidR="00E77037" w:rsidRDefault="00000000">
          <w:pPr>
            <w:pStyle w:val="TOC2"/>
            <w:rPr>
              <w:rFonts w:eastAsiaTheme="minorEastAsia"/>
              <w:noProof/>
              <w:lang w:val="en-US"/>
            </w:rPr>
          </w:pPr>
          <w:hyperlink w:anchor="_Toc145928785" w:history="1">
            <w:r w:rsidR="00E77037" w:rsidRPr="00E31CBE">
              <w:rPr>
                <w:rStyle w:val="Hyperlink"/>
                <w:rFonts w:ascii="Georgia" w:hAnsi="Georgia" w:cs="Times New Roman"/>
                <w:noProof/>
              </w:rPr>
              <w:t>2.1</w:t>
            </w:r>
            <w:r w:rsidR="00E77037">
              <w:rPr>
                <w:rFonts w:eastAsiaTheme="minorEastAsia"/>
                <w:noProof/>
                <w:lang w:val="en-US"/>
              </w:rPr>
              <w:tab/>
            </w:r>
            <w:r w:rsidR="00E77037" w:rsidRPr="00E31CBE">
              <w:rPr>
                <w:rStyle w:val="Hyperlink"/>
                <w:rFonts w:ascii="Georgia" w:hAnsi="Georgia" w:cs="Times New Roman"/>
                <w:noProof/>
                <w:shd w:val="clear" w:color="auto" w:fill="FFFFFF"/>
              </w:rPr>
              <w:t>Existing policies and strategies</w:t>
            </w:r>
            <w:r w:rsidR="00E77037">
              <w:rPr>
                <w:noProof/>
                <w:webHidden/>
              </w:rPr>
              <w:tab/>
            </w:r>
            <w:r w:rsidR="00E77037">
              <w:rPr>
                <w:noProof/>
                <w:webHidden/>
              </w:rPr>
              <w:fldChar w:fldCharType="begin"/>
            </w:r>
            <w:r w:rsidR="00E77037">
              <w:rPr>
                <w:noProof/>
                <w:webHidden/>
              </w:rPr>
              <w:instrText xml:space="preserve"> PAGEREF _Toc145928785 \h </w:instrText>
            </w:r>
            <w:r w:rsidR="00E77037">
              <w:rPr>
                <w:noProof/>
                <w:webHidden/>
              </w:rPr>
            </w:r>
            <w:r w:rsidR="00E77037">
              <w:rPr>
                <w:noProof/>
                <w:webHidden/>
              </w:rPr>
              <w:fldChar w:fldCharType="separate"/>
            </w:r>
            <w:r w:rsidR="00E77037">
              <w:rPr>
                <w:noProof/>
                <w:webHidden/>
              </w:rPr>
              <w:t>15</w:t>
            </w:r>
            <w:r w:rsidR="00E77037">
              <w:rPr>
                <w:noProof/>
                <w:webHidden/>
              </w:rPr>
              <w:fldChar w:fldCharType="end"/>
            </w:r>
          </w:hyperlink>
        </w:p>
        <w:p w14:paraId="6EE4FFC6" w14:textId="420F6390" w:rsidR="00E77037" w:rsidRDefault="00000000">
          <w:pPr>
            <w:pStyle w:val="TOC2"/>
            <w:rPr>
              <w:rFonts w:eastAsiaTheme="minorEastAsia"/>
              <w:noProof/>
              <w:lang w:val="en-US"/>
            </w:rPr>
          </w:pPr>
          <w:hyperlink w:anchor="_Toc145928786" w:history="1">
            <w:r w:rsidR="00E77037" w:rsidRPr="00E31CBE">
              <w:rPr>
                <w:rStyle w:val="Hyperlink"/>
                <w:rFonts w:ascii="Georgia" w:hAnsi="Georgia" w:cs="Times New Roman"/>
                <w:noProof/>
              </w:rPr>
              <w:t>2.2</w:t>
            </w:r>
            <w:r w:rsidR="00E77037">
              <w:rPr>
                <w:rFonts w:eastAsiaTheme="minorEastAsia"/>
                <w:noProof/>
                <w:lang w:val="en-US"/>
              </w:rPr>
              <w:tab/>
            </w:r>
            <w:r w:rsidR="00E77037" w:rsidRPr="00E31CBE">
              <w:rPr>
                <w:rStyle w:val="Hyperlink"/>
                <w:rFonts w:ascii="Georgia" w:hAnsi="Georgia" w:cs="Times New Roman"/>
                <w:noProof/>
                <w:shd w:val="clear" w:color="auto" w:fill="FFFFFF"/>
              </w:rPr>
              <w:t>The political and societal discourse</w:t>
            </w:r>
            <w:r w:rsidR="00E77037">
              <w:rPr>
                <w:noProof/>
                <w:webHidden/>
              </w:rPr>
              <w:tab/>
            </w:r>
            <w:r w:rsidR="00E77037">
              <w:rPr>
                <w:noProof/>
                <w:webHidden/>
              </w:rPr>
              <w:fldChar w:fldCharType="begin"/>
            </w:r>
            <w:r w:rsidR="00E77037">
              <w:rPr>
                <w:noProof/>
                <w:webHidden/>
              </w:rPr>
              <w:instrText xml:space="preserve"> PAGEREF _Toc145928786 \h </w:instrText>
            </w:r>
            <w:r w:rsidR="00E77037">
              <w:rPr>
                <w:noProof/>
                <w:webHidden/>
              </w:rPr>
            </w:r>
            <w:r w:rsidR="00E77037">
              <w:rPr>
                <w:noProof/>
                <w:webHidden/>
              </w:rPr>
              <w:fldChar w:fldCharType="separate"/>
            </w:r>
            <w:r w:rsidR="00E77037">
              <w:rPr>
                <w:noProof/>
                <w:webHidden/>
              </w:rPr>
              <w:t>17</w:t>
            </w:r>
            <w:r w:rsidR="00E77037">
              <w:rPr>
                <w:noProof/>
                <w:webHidden/>
              </w:rPr>
              <w:fldChar w:fldCharType="end"/>
            </w:r>
          </w:hyperlink>
        </w:p>
        <w:p w14:paraId="62353248" w14:textId="24AF606F" w:rsidR="00E77037" w:rsidRDefault="00000000">
          <w:pPr>
            <w:pStyle w:val="TOC2"/>
            <w:rPr>
              <w:rFonts w:eastAsiaTheme="minorEastAsia"/>
              <w:noProof/>
              <w:lang w:val="en-US"/>
            </w:rPr>
          </w:pPr>
          <w:hyperlink w:anchor="_Toc145928787" w:history="1">
            <w:r w:rsidR="00E77037" w:rsidRPr="00E31CBE">
              <w:rPr>
                <w:rStyle w:val="Hyperlink"/>
                <w:rFonts w:ascii="Georgia" w:hAnsi="Georgia" w:cs="Times New Roman"/>
                <w:noProof/>
              </w:rPr>
              <w:t>2.3</w:t>
            </w:r>
            <w:r w:rsidR="00E77037">
              <w:rPr>
                <w:rFonts w:eastAsiaTheme="minorEastAsia"/>
                <w:noProof/>
                <w:lang w:val="en-US"/>
              </w:rPr>
              <w:tab/>
            </w:r>
            <w:r w:rsidR="00E77037" w:rsidRPr="00E31CBE">
              <w:rPr>
                <w:rStyle w:val="Hyperlink"/>
                <w:rFonts w:ascii="Georgia" w:hAnsi="Georgia" w:cs="Times New Roman"/>
                <w:noProof/>
                <w:shd w:val="clear" w:color="auto" w:fill="FFFFFF"/>
              </w:rPr>
              <w:t>Donor support and strategies</w:t>
            </w:r>
            <w:r w:rsidR="00E77037">
              <w:rPr>
                <w:noProof/>
                <w:webHidden/>
              </w:rPr>
              <w:tab/>
            </w:r>
            <w:r w:rsidR="00E77037">
              <w:rPr>
                <w:noProof/>
                <w:webHidden/>
              </w:rPr>
              <w:fldChar w:fldCharType="begin"/>
            </w:r>
            <w:r w:rsidR="00E77037">
              <w:rPr>
                <w:noProof/>
                <w:webHidden/>
              </w:rPr>
              <w:instrText xml:space="preserve"> PAGEREF _Toc145928787 \h </w:instrText>
            </w:r>
            <w:r w:rsidR="00E77037">
              <w:rPr>
                <w:noProof/>
                <w:webHidden/>
              </w:rPr>
            </w:r>
            <w:r w:rsidR="00E77037">
              <w:rPr>
                <w:noProof/>
                <w:webHidden/>
              </w:rPr>
              <w:fldChar w:fldCharType="separate"/>
            </w:r>
            <w:r w:rsidR="00E77037">
              <w:rPr>
                <w:noProof/>
                <w:webHidden/>
              </w:rPr>
              <w:t>19</w:t>
            </w:r>
            <w:r w:rsidR="00E77037">
              <w:rPr>
                <w:noProof/>
                <w:webHidden/>
              </w:rPr>
              <w:fldChar w:fldCharType="end"/>
            </w:r>
          </w:hyperlink>
        </w:p>
        <w:p w14:paraId="2DD6EEF7" w14:textId="16CC4216" w:rsidR="00E77037" w:rsidRDefault="00000000">
          <w:pPr>
            <w:pStyle w:val="TOC1"/>
            <w:tabs>
              <w:tab w:val="left" w:pos="440"/>
            </w:tabs>
            <w:rPr>
              <w:rFonts w:eastAsiaTheme="minorEastAsia"/>
              <w:noProof/>
              <w:lang w:val="en-US"/>
            </w:rPr>
          </w:pPr>
          <w:hyperlink w:anchor="_Toc145928788" w:history="1">
            <w:r w:rsidR="00E77037" w:rsidRPr="00E31CBE">
              <w:rPr>
                <w:rStyle w:val="Hyperlink"/>
                <w:rFonts w:ascii="Georgia" w:eastAsia="Constantia" w:hAnsi="Georgia" w:cs="Times New Roman"/>
                <w:b/>
                <w:bCs/>
                <w:noProof/>
                <w:lang w:eastAsia="en-GB"/>
              </w:rPr>
              <w:t>3.</w:t>
            </w:r>
            <w:r w:rsidR="00E77037">
              <w:rPr>
                <w:rFonts w:eastAsiaTheme="minorEastAsia"/>
                <w:noProof/>
                <w:lang w:val="en-US"/>
              </w:rPr>
              <w:tab/>
            </w:r>
            <w:r w:rsidR="00E77037" w:rsidRPr="00E31CBE">
              <w:rPr>
                <w:rStyle w:val="Hyperlink"/>
                <w:rFonts w:ascii="Georgia" w:eastAsia="Constantia" w:hAnsi="Georgia" w:cs="Times New Roman"/>
                <w:b/>
                <w:bCs/>
                <w:noProof/>
                <w:lang w:eastAsia="en-GB"/>
              </w:rPr>
              <w:t>Policy options</w:t>
            </w:r>
            <w:r w:rsidR="00E77037">
              <w:rPr>
                <w:noProof/>
                <w:webHidden/>
              </w:rPr>
              <w:tab/>
            </w:r>
            <w:r w:rsidR="00E77037">
              <w:rPr>
                <w:noProof/>
                <w:webHidden/>
              </w:rPr>
              <w:fldChar w:fldCharType="begin"/>
            </w:r>
            <w:r w:rsidR="00E77037">
              <w:rPr>
                <w:noProof/>
                <w:webHidden/>
              </w:rPr>
              <w:instrText xml:space="preserve"> PAGEREF _Toc145928788 \h </w:instrText>
            </w:r>
            <w:r w:rsidR="00E77037">
              <w:rPr>
                <w:noProof/>
                <w:webHidden/>
              </w:rPr>
            </w:r>
            <w:r w:rsidR="00E77037">
              <w:rPr>
                <w:noProof/>
                <w:webHidden/>
              </w:rPr>
              <w:fldChar w:fldCharType="separate"/>
            </w:r>
            <w:r w:rsidR="00E77037">
              <w:rPr>
                <w:noProof/>
                <w:webHidden/>
              </w:rPr>
              <w:t>21</w:t>
            </w:r>
            <w:r w:rsidR="00E77037">
              <w:rPr>
                <w:noProof/>
                <w:webHidden/>
              </w:rPr>
              <w:fldChar w:fldCharType="end"/>
            </w:r>
          </w:hyperlink>
        </w:p>
        <w:p w14:paraId="299A4868" w14:textId="7C014F5C" w:rsidR="00E77037" w:rsidRDefault="00000000">
          <w:pPr>
            <w:pStyle w:val="TOC2"/>
            <w:rPr>
              <w:rFonts w:eastAsiaTheme="minorEastAsia"/>
              <w:noProof/>
              <w:lang w:val="en-US"/>
            </w:rPr>
          </w:pPr>
          <w:hyperlink w:anchor="_Toc145928789" w:history="1">
            <w:r w:rsidR="00E77037" w:rsidRPr="00E31CBE">
              <w:rPr>
                <w:rStyle w:val="Hyperlink"/>
                <w:rFonts w:ascii="Georgia" w:hAnsi="Georgia" w:cs="Times New Roman"/>
                <w:noProof/>
              </w:rPr>
              <w:t>3.1</w:t>
            </w:r>
            <w:r w:rsidR="00E77037">
              <w:rPr>
                <w:rFonts w:eastAsiaTheme="minorEastAsia"/>
                <w:noProof/>
                <w:lang w:val="en-US"/>
              </w:rPr>
              <w:tab/>
            </w:r>
            <w:r w:rsidR="00E77037" w:rsidRPr="00E31CBE">
              <w:rPr>
                <w:rStyle w:val="Hyperlink"/>
                <w:rFonts w:ascii="Georgia" w:hAnsi="Georgia" w:cs="Times New Roman"/>
                <w:noProof/>
                <w:shd w:val="clear" w:color="auto" w:fill="FFFFFF"/>
              </w:rPr>
              <w:t>Labour market policies</w:t>
            </w:r>
            <w:r w:rsidR="00E77037">
              <w:rPr>
                <w:noProof/>
                <w:webHidden/>
              </w:rPr>
              <w:tab/>
            </w:r>
            <w:r w:rsidR="00E77037">
              <w:rPr>
                <w:noProof/>
                <w:webHidden/>
              </w:rPr>
              <w:fldChar w:fldCharType="begin"/>
            </w:r>
            <w:r w:rsidR="00E77037">
              <w:rPr>
                <w:noProof/>
                <w:webHidden/>
              </w:rPr>
              <w:instrText xml:space="preserve"> PAGEREF _Toc145928789 \h </w:instrText>
            </w:r>
            <w:r w:rsidR="00E77037">
              <w:rPr>
                <w:noProof/>
                <w:webHidden/>
              </w:rPr>
            </w:r>
            <w:r w:rsidR="00E77037">
              <w:rPr>
                <w:noProof/>
                <w:webHidden/>
              </w:rPr>
              <w:fldChar w:fldCharType="separate"/>
            </w:r>
            <w:r w:rsidR="00E77037">
              <w:rPr>
                <w:noProof/>
                <w:webHidden/>
              </w:rPr>
              <w:t>21</w:t>
            </w:r>
            <w:r w:rsidR="00E77037">
              <w:rPr>
                <w:noProof/>
                <w:webHidden/>
              </w:rPr>
              <w:fldChar w:fldCharType="end"/>
            </w:r>
          </w:hyperlink>
        </w:p>
        <w:p w14:paraId="1ED88CFC" w14:textId="6D7DBB3B" w:rsidR="00E77037" w:rsidRDefault="00000000">
          <w:pPr>
            <w:pStyle w:val="TOC2"/>
            <w:rPr>
              <w:rFonts w:eastAsiaTheme="minorEastAsia"/>
              <w:noProof/>
              <w:lang w:val="en-US"/>
            </w:rPr>
          </w:pPr>
          <w:hyperlink w:anchor="_Toc145928790" w:history="1">
            <w:r w:rsidR="00E77037" w:rsidRPr="00E31CBE">
              <w:rPr>
                <w:rStyle w:val="Hyperlink"/>
                <w:rFonts w:ascii="Georgia" w:hAnsi="Georgia" w:cs="Times New Roman"/>
                <w:noProof/>
              </w:rPr>
              <w:t>3.2</w:t>
            </w:r>
            <w:r w:rsidR="00E77037">
              <w:rPr>
                <w:rFonts w:eastAsiaTheme="minorEastAsia"/>
                <w:noProof/>
                <w:lang w:val="en-US"/>
              </w:rPr>
              <w:tab/>
            </w:r>
            <w:r w:rsidR="00E77037" w:rsidRPr="00E31CBE">
              <w:rPr>
                <w:rStyle w:val="Hyperlink"/>
                <w:rFonts w:ascii="Georgia" w:hAnsi="Georgia" w:cs="Times New Roman"/>
                <w:noProof/>
                <w:shd w:val="clear" w:color="auto" w:fill="FFFFFF"/>
              </w:rPr>
              <w:t>Policies for taxes and public social expenditure</w:t>
            </w:r>
            <w:r w:rsidR="00E77037">
              <w:rPr>
                <w:noProof/>
                <w:webHidden/>
              </w:rPr>
              <w:tab/>
            </w:r>
            <w:r w:rsidR="00E77037">
              <w:rPr>
                <w:noProof/>
                <w:webHidden/>
              </w:rPr>
              <w:fldChar w:fldCharType="begin"/>
            </w:r>
            <w:r w:rsidR="00E77037">
              <w:rPr>
                <w:noProof/>
                <w:webHidden/>
              </w:rPr>
              <w:instrText xml:space="preserve"> PAGEREF _Toc145928790 \h </w:instrText>
            </w:r>
            <w:r w:rsidR="00E77037">
              <w:rPr>
                <w:noProof/>
                <w:webHidden/>
              </w:rPr>
            </w:r>
            <w:r w:rsidR="00E77037">
              <w:rPr>
                <w:noProof/>
                <w:webHidden/>
              </w:rPr>
              <w:fldChar w:fldCharType="separate"/>
            </w:r>
            <w:r w:rsidR="00E77037">
              <w:rPr>
                <w:noProof/>
                <w:webHidden/>
              </w:rPr>
              <w:t>22</w:t>
            </w:r>
            <w:r w:rsidR="00E77037">
              <w:rPr>
                <w:noProof/>
                <w:webHidden/>
              </w:rPr>
              <w:fldChar w:fldCharType="end"/>
            </w:r>
          </w:hyperlink>
        </w:p>
        <w:p w14:paraId="74A552CC" w14:textId="329F098A" w:rsidR="00E77037" w:rsidRDefault="00000000">
          <w:pPr>
            <w:pStyle w:val="TOC2"/>
            <w:rPr>
              <w:rFonts w:eastAsiaTheme="minorEastAsia"/>
              <w:noProof/>
              <w:lang w:val="en-US"/>
            </w:rPr>
          </w:pPr>
          <w:hyperlink w:anchor="_Toc145928791" w:history="1">
            <w:r w:rsidR="00E77037" w:rsidRPr="00E31CBE">
              <w:rPr>
                <w:rStyle w:val="Hyperlink"/>
                <w:rFonts w:ascii="Georgia" w:eastAsia="Constantia" w:hAnsi="Georgia" w:cs="Times New Roman"/>
                <w:noProof/>
                <w:lang w:eastAsia="en-GB"/>
              </w:rPr>
              <w:t>3.3</w:t>
            </w:r>
            <w:r w:rsidR="00E77037">
              <w:rPr>
                <w:rFonts w:eastAsiaTheme="minorEastAsia"/>
                <w:noProof/>
                <w:lang w:val="en-US"/>
              </w:rPr>
              <w:tab/>
            </w:r>
            <w:r w:rsidR="00E77037" w:rsidRPr="00E31CBE">
              <w:rPr>
                <w:rStyle w:val="Hyperlink"/>
                <w:rFonts w:ascii="Georgia" w:eastAsia="Constantia" w:hAnsi="Georgia" w:cs="Times New Roman"/>
                <w:noProof/>
                <w:lang w:eastAsia="en-GB"/>
              </w:rPr>
              <w:t>Gender</w:t>
            </w:r>
            <w:r w:rsidR="00E77037">
              <w:rPr>
                <w:noProof/>
                <w:webHidden/>
              </w:rPr>
              <w:tab/>
            </w:r>
            <w:r w:rsidR="00E77037">
              <w:rPr>
                <w:noProof/>
                <w:webHidden/>
              </w:rPr>
              <w:fldChar w:fldCharType="begin"/>
            </w:r>
            <w:r w:rsidR="00E77037">
              <w:rPr>
                <w:noProof/>
                <w:webHidden/>
              </w:rPr>
              <w:instrText xml:space="preserve"> PAGEREF _Toc145928791 \h </w:instrText>
            </w:r>
            <w:r w:rsidR="00E77037">
              <w:rPr>
                <w:noProof/>
                <w:webHidden/>
              </w:rPr>
            </w:r>
            <w:r w:rsidR="00E77037">
              <w:rPr>
                <w:noProof/>
                <w:webHidden/>
              </w:rPr>
              <w:fldChar w:fldCharType="separate"/>
            </w:r>
            <w:r w:rsidR="00E77037">
              <w:rPr>
                <w:noProof/>
                <w:webHidden/>
              </w:rPr>
              <w:t>23</w:t>
            </w:r>
            <w:r w:rsidR="00E77037">
              <w:rPr>
                <w:noProof/>
                <w:webHidden/>
              </w:rPr>
              <w:fldChar w:fldCharType="end"/>
            </w:r>
          </w:hyperlink>
        </w:p>
        <w:p w14:paraId="05663F3E" w14:textId="2FC7C7C9" w:rsidR="00E77037" w:rsidRDefault="00000000">
          <w:pPr>
            <w:pStyle w:val="TOC1"/>
            <w:rPr>
              <w:rFonts w:eastAsiaTheme="minorEastAsia"/>
              <w:noProof/>
              <w:lang w:val="en-US"/>
            </w:rPr>
          </w:pPr>
          <w:hyperlink w:anchor="_Toc145928792" w:history="1">
            <w:r w:rsidR="00E77037" w:rsidRPr="00E31CBE">
              <w:rPr>
                <w:rStyle w:val="Hyperlink"/>
                <w:rFonts w:ascii="Georgia" w:hAnsi="Georgia" w:cs="Times New Roman"/>
                <w:b/>
                <w:bCs/>
                <w:noProof/>
              </w:rPr>
              <w:t>References</w:t>
            </w:r>
            <w:r w:rsidR="00E77037">
              <w:rPr>
                <w:noProof/>
                <w:webHidden/>
              </w:rPr>
              <w:tab/>
            </w:r>
            <w:r w:rsidR="00E77037">
              <w:rPr>
                <w:noProof/>
                <w:webHidden/>
              </w:rPr>
              <w:fldChar w:fldCharType="begin"/>
            </w:r>
            <w:r w:rsidR="00E77037">
              <w:rPr>
                <w:noProof/>
                <w:webHidden/>
              </w:rPr>
              <w:instrText xml:space="preserve"> PAGEREF _Toc145928792 \h </w:instrText>
            </w:r>
            <w:r w:rsidR="00E77037">
              <w:rPr>
                <w:noProof/>
                <w:webHidden/>
              </w:rPr>
            </w:r>
            <w:r w:rsidR="00E77037">
              <w:rPr>
                <w:noProof/>
                <w:webHidden/>
              </w:rPr>
              <w:fldChar w:fldCharType="separate"/>
            </w:r>
            <w:r w:rsidR="00E77037">
              <w:rPr>
                <w:noProof/>
                <w:webHidden/>
              </w:rPr>
              <w:t>26</w:t>
            </w:r>
            <w:r w:rsidR="00E77037">
              <w:rPr>
                <w:noProof/>
                <w:webHidden/>
              </w:rPr>
              <w:fldChar w:fldCharType="end"/>
            </w:r>
          </w:hyperlink>
        </w:p>
        <w:p w14:paraId="3E94ECFD" w14:textId="0D8F06F9" w:rsidR="00E77037" w:rsidRDefault="00000000">
          <w:pPr>
            <w:pStyle w:val="TOC1"/>
            <w:rPr>
              <w:rFonts w:eastAsiaTheme="minorEastAsia"/>
              <w:noProof/>
              <w:lang w:val="en-US"/>
            </w:rPr>
          </w:pPr>
          <w:hyperlink w:anchor="_Toc145928793" w:history="1">
            <w:r w:rsidR="00E77037" w:rsidRPr="00E31CBE">
              <w:rPr>
                <w:rStyle w:val="Hyperlink"/>
                <w:rFonts w:ascii="Georgia" w:hAnsi="Georgia" w:cs="Times New Roman"/>
                <w:b/>
                <w:bCs/>
                <w:noProof/>
              </w:rPr>
              <w:t>Your Comments and  Suggestions</w:t>
            </w:r>
            <w:r w:rsidR="00E77037">
              <w:rPr>
                <w:noProof/>
                <w:webHidden/>
              </w:rPr>
              <w:tab/>
            </w:r>
            <w:r w:rsidR="00E77037">
              <w:rPr>
                <w:noProof/>
                <w:webHidden/>
              </w:rPr>
              <w:fldChar w:fldCharType="begin"/>
            </w:r>
            <w:r w:rsidR="00E77037">
              <w:rPr>
                <w:noProof/>
                <w:webHidden/>
              </w:rPr>
              <w:instrText xml:space="preserve"> PAGEREF _Toc145928793 \h </w:instrText>
            </w:r>
            <w:r w:rsidR="00E77037">
              <w:rPr>
                <w:noProof/>
                <w:webHidden/>
              </w:rPr>
            </w:r>
            <w:r w:rsidR="00E77037">
              <w:rPr>
                <w:noProof/>
                <w:webHidden/>
              </w:rPr>
              <w:fldChar w:fldCharType="separate"/>
            </w:r>
            <w:r w:rsidR="00E77037">
              <w:rPr>
                <w:noProof/>
                <w:webHidden/>
              </w:rPr>
              <w:t>29</w:t>
            </w:r>
            <w:r w:rsidR="00E77037">
              <w:rPr>
                <w:noProof/>
                <w:webHidden/>
              </w:rPr>
              <w:fldChar w:fldCharType="end"/>
            </w:r>
          </w:hyperlink>
        </w:p>
        <w:p w14:paraId="725479FA" w14:textId="629FD75A" w:rsidR="00E77037" w:rsidRDefault="00000000">
          <w:pPr>
            <w:pStyle w:val="TOC1"/>
            <w:rPr>
              <w:rFonts w:eastAsiaTheme="minorEastAsia"/>
              <w:noProof/>
              <w:lang w:val="en-US"/>
            </w:rPr>
          </w:pPr>
          <w:hyperlink w:anchor="_Toc145928794" w:history="1">
            <w:r w:rsidR="00E77037" w:rsidRPr="00E31CBE">
              <w:rPr>
                <w:rStyle w:val="Hyperlink"/>
                <w:rFonts w:ascii="Georgia" w:hAnsi="Georgia" w:cs="Times New Roman"/>
                <w:b/>
                <w:bCs/>
                <w:noProof/>
              </w:rPr>
              <w:t>List of Partners:  Consultative Meeting held on 22 September 2023, Nairobi</w:t>
            </w:r>
            <w:r w:rsidR="00E77037">
              <w:rPr>
                <w:noProof/>
                <w:webHidden/>
              </w:rPr>
              <w:tab/>
            </w:r>
            <w:r w:rsidR="00E77037">
              <w:rPr>
                <w:noProof/>
                <w:webHidden/>
              </w:rPr>
              <w:fldChar w:fldCharType="begin"/>
            </w:r>
            <w:r w:rsidR="00E77037">
              <w:rPr>
                <w:noProof/>
                <w:webHidden/>
              </w:rPr>
              <w:instrText xml:space="preserve"> PAGEREF _Toc145928794 \h </w:instrText>
            </w:r>
            <w:r w:rsidR="00E77037">
              <w:rPr>
                <w:noProof/>
                <w:webHidden/>
              </w:rPr>
            </w:r>
            <w:r w:rsidR="00E77037">
              <w:rPr>
                <w:noProof/>
                <w:webHidden/>
              </w:rPr>
              <w:fldChar w:fldCharType="separate"/>
            </w:r>
            <w:r w:rsidR="00E77037">
              <w:rPr>
                <w:noProof/>
                <w:webHidden/>
              </w:rPr>
              <w:t>30</w:t>
            </w:r>
            <w:r w:rsidR="00E77037">
              <w:rPr>
                <w:noProof/>
                <w:webHidden/>
              </w:rPr>
              <w:fldChar w:fldCharType="end"/>
            </w:r>
          </w:hyperlink>
        </w:p>
        <w:p w14:paraId="2DD86462" w14:textId="75EFE5B5" w:rsidR="00E77037" w:rsidRDefault="00000000">
          <w:pPr>
            <w:pStyle w:val="TOC1"/>
            <w:rPr>
              <w:rFonts w:eastAsiaTheme="minorEastAsia"/>
              <w:noProof/>
              <w:lang w:val="en-US"/>
            </w:rPr>
          </w:pPr>
          <w:hyperlink w:anchor="_Toc145928795" w:history="1">
            <w:r w:rsidR="00E77037" w:rsidRPr="00E31CBE">
              <w:rPr>
                <w:rStyle w:val="Hyperlink"/>
                <w:rFonts w:ascii="Georgia" w:hAnsi="Georgia" w:cs="Times New Roman"/>
                <w:b/>
                <w:bCs/>
                <w:noProof/>
              </w:rPr>
              <w:t>Concept Note: The  Consultative Meeting</w:t>
            </w:r>
            <w:r w:rsidR="00E77037">
              <w:rPr>
                <w:noProof/>
                <w:webHidden/>
              </w:rPr>
              <w:tab/>
            </w:r>
            <w:r w:rsidR="00E77037">
              <w:rPr>
                <w:noProof/>
                <w:webHidden/>
              </w:rPr>
              <w:fldChar w:fldCharType="begin"/>
            </w:r>
            <w:r w:rsidR="00E77037">
              <w:rPr>
                <w:noProof/>
                <w:webHidden/>
              </w:rPr>
              <w:instrText xml:space="preserve"> PAGEREF _Toc145928795 \h </w:instrText>
            </w:r>
            <w:r w:rsidR="00E77037">
              <w:rPr>
                <w:noProof/>
                <w:webHidden/>
              </w:rPr>
            </w:r>
            <w:r w:rsidR="00E77037">
              <w:rPr>
                <w:noProof/>
                <w:webHidden/>
              </w:rPr>
              <w:fldChar w:fldCharType="separate"/>
            </w:r>
            <w:r w:rsidR="00E77037">
              <w:rPr>
                <w:noProof/>
                <w:webHidden/>
              </w:rPr>
              <w:t>31</w:t>
            </w:r>
            <w:r w:rsidR="00E77037">
              <w:rPr>
                <w:noProof/>
                <w:webHidden/>
              </w:rPr>
              <w:fldChar w:fldCharType="end"/>
            </w:r>
          </w:hyperlink>
        </w:p>
        <w:p w14:paraId="618FC11E" w14:textId="77AE0AF7" w:rsidR="00E77037" w:rsidRDefault="00000000">
          <w:pPr>
            <w:pStyle w:val="TOC1"/>
            <w:rPr>
              <w:rFonts w:eastAsiaTheme="minorEastAsia"/>
              <w:noProof/>
              <w:lang w:val="en-US"/>
            </w:rPr>
          </w:pPr>
          <w:hyperlink w:anchor="_Toc145928796" w:history="1">
            <w:r w:rsidR="00E77037" w:rsidRPr="00E31CBE">
              <w:rPr>
                <w:rStyle w:val="Hyperlink"/>
                <w:rFonts w:ascii="Georgia" w:hAnsi="Georgia" w:cs="Times New Roman"/>
                <w:b/>
                <w:bCs/>
                <w:noProof/>
              </w:rPr>
              <w:t>Agenda: The  Consultative Meeting</w:t>
            </w:r>
            <w:r w:rsidR="00E77037">
              <w:rPr>
                <w:noProof/>
                <w:webHidden/>
              </w:rPr>
              <w:tab/>
            </w:r>
            <w:r w:rsidR="00E77037">
              <w:rPr>
                <w:noProof/>
                <w:webHidden/>
              </w:rPr>
              <w:fldChar w:fldCharType="begin"/>
            </w:r>
            <w:r w:rsidR="00E77037">
              <w:rPr>
                <w:noProof/>
                <w:webHidden/>
              </w:rPr>
              <w:instrText xml:space="preserve"> PAGEREF _Toc145928796 \h </w:instrText>
            </w:r>
            <w:r w:rsidR="00E77037">
              <w:rPr>
                <w:noProof/>
                <w:webHidden/>
              </w:rPr>
            </w:r>
            <w:r w:rsidR="00E77037">
              <w:rPr>
                <w:noProof/>
                <w:webHidden/>
              </w:rPr>
              <w:fldChar w:fldCharType="separate"/>
            </w:r>
            <w:r w:rsidR="00E77037">
              <w:rPr>
                <w:noProof/>
                <w:webHidden/>
              </w:rPr>
              <w:t>32</w:t>
            </w:r>
            <w:r w:rsidR="00E77037">
              <w:rPr>
                <w:noProof/>
                <w:webHidden/>
              </w:rPr>
              <w:fldChar w:fldCharType="end"/>
            </w:r>
          </w:hyperlink>
        </w:p>
        <w:p w14:paraId="05E7D302" w14:textId="54DF211D" w:rsidR="00E66043" w:rsidRPr="00DE5A1E" w:rsidRDefault="00E66043" w:rsidP="005B509D">
          <w:pPr>
            <w:spacing w:after="0" w:line="240" w:lineRule="auto"/>
            <w:rPr>
              <w:rFonts w:ascii="Georgia" w:hAnsi="Georgia" w:cs="Times New Roman"/>
              <w:sz w:val="24"/>
              <w:szCs w:val="24"/>
            </w:rPr>
          </w:pPr>
          <w:r w:rsidRPr="00DE5A1E">
            <w:rPr>
              <w:rFonts w:ascii="Georgia" w:hAnsi="Georgia" w:cs="Times New Roman"/>
              <w:noProof/>
              <w:sz w:val="24"/>
              <w:szCs w:val="24"/>
            </w:rPr>
            <w:fldChar w:fldCharType="end"/>
          </w:r>
        </w:p>
      </w:sdtContent>
    </w:sdt>
    <w:p w14:paraId="40A4ECD8" w14:textId="58EA2CA7" w:rsidR="00DB6719" w:rsidRPr="00346D1C" w:rsidRDefault="00DB6719" w:rsidP="00A118F1">
      <w:pPr>
        <w:spacing w:after="0" w:line="240" w:lineRule="auto"/>
        <w:rPr>
          <w:rFonts w:ascii="Georgia" w:eastAsiaTheme="majorEastAsia" w:hAnsi="Georgia" w:cs="Times New Roman"/>
          <w:sz w:val="24"/>
          <w:szCs w:val="24"/>
        </w:rPr>
      </w:pPr>
      <w:r w:rsidRPr="00346D1C">
        <w:rPr>
          <w:rFonts w:ascii="Georgia" w:eastAsiaTheme="majorEastAsia" w:hAnsi="Georgia" w:cs="Times New Roman"/>
          <w:sz w:val="24"/>
          <w:szCs w:val="24"/>
        </w:rPr>
        <w:br w:type="page"/>
      </w:r>
    </w:p>
    <w:p w14:paraId="379EC8E1" w14:textId="127251B1" w:rsidR="007C2739" w:rsidRPr="00A4493C" w:rsidRDefault="007C2739" w:rsidP="007C2739">
      <w:pPr>
        <w:rPr>
          <w:rFonts w:ascii="Georgia" w:hAnsi="Georgia" w:cs="Times New Roman"/>
          <w:b/>
          <w:bCs/>
          <w:sz w:val="24"/>
          <w:szCs w:val="24"/>
          <w:lang w:eastAsia="en-GB"/>
        </w:rPr>
      </w:pPr>
      <w:bookmarkStart w:id="0" w:name="_Toc107401193"/>
      <w:r w:rsidRPr="00A4493C">
        <w:rPr>
          <w:rFonts w:ascii="Georgia" w:hAnsi="Georgia" w:cs="Times New Roman"/>
          <w:b/>
          <w:bCs/>
          <w:sz w:val="24"/>
          <w:szCs w:val="24"/>
          <w:lang w:eastAsia="en-GB"/>
        </w:rPr>
        <w:lastRenderedPageBreak/>
        <w:t>Boxes</w:t>
      </w:r>
      <w:bookmarkEnd w:id="0"/>
    </w:p>
    <w:p w14:paraId="44C95AB5" w14:textId="404FCFC2" w:rsidR="00F76FF2" w:rsidRPr="00A4493C" w:rsidRDefault="007C2739" w:rsidP="00A4493C">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r w:rsidRPr="00A4493C">
        <w:rPr>
          <w:rFonts w:ascii="Georgia" w:hAnsi="Georgia" w:cs="Times New Roman"/>
          <w:sz w:val="24"/>
          <w:szCs w:val="24"/>
          <w:lang w:eastAsia="en-GB"/>
        </w:rPr>
        <w:fldChar w:fldCharType="begin"/>
      </w:r>
      <w:r w:rsidRPr="00A4493C">
        <w:rPr>
          <w:rFonts w:ascii="Georgia" w:hAnsi="Georgia" w:cs="Times New Roman"/>
          <w:sz w:val="24"/>
          <w:szCs w:val="24"/>
          <w:lang w:eastAsia="en-GB"/>
        </w:rPr>
        <w:instrText xml:space="preserve"> TOC \h \z \c "Box" </w:instrText>
      </w:r>
      <w:r w:rsidRPr="00A4493C">
        <w:rPr>
          <w:rFonts w:ascii="Georgia" w:hAnsi="Georgia" w:cs="Times New Roman"/>
          <w:sz w:val="24"/>
          <w:szCs w:val="24"/>
          <w:lang w:eastAsia="en-GB"/>
        </w:rPr>
        <w:fldChar w:fldCharType="separate"/>
      </w:r>
      <w:hyperlink w:anchor="_Toc144414483" w:history="1">
        <w:r w:rsidR="00F76FF2" w:rsidRPr="00A4493C">
          <w:rPr>
            <w:rStyle w:val="Hyperlink"/>
            <w:rFonts w:ascii="Georgia" w:hAnsi="Georgia" w:cs="Times New Roman"/>
            <w:noProof/>
            <w:sz w:val="24"/>
            <w:szCs w:val="24"/>
          </w:rPr>
          <w:t>Box 1: Summary of causes and drivers of inequality</w:t>
        </w:r>
        <w:r w:rsidR="00F76FF2" w:rsidRPr="00A4493C">
          <w:rPr>
            <w:rFonts w:ascii="Georgia" w:hAnsi="Georgia" w:cs="Times New Roman"/>
            <w:noProof/>
            <w:webHidden/>
            <w:sz w:val="24"/>
            <w:szCs w:val="24"/>
          </w:rPr>
          <w:tab/>
        </w:r>
        <w:r w:rsidR="00F76FF2" w:rsidRPr="00A4493C">
          <w:rPr>
            <w:rFonts w:ascii="Georgia" w:hAnsi="Georgia" w:cs="Times New Roman"/>
            <w:noProof/>
            <w:webHidden/>
            <w:sz w:val="24"/>
            <w:szCs w:val="24"/>
          </w:rPr>
          <w:fldChar w:fldCharType="begin"/>
        </w:r>
        <w:r w:rsidR="00F76FF2" w:rsidRPr="00A4493C">
          <w:rPr>
            <w:rFonts w:ascii="Georgia" w:hAnsi="Georgia" w:cs="Times New Roman"/>
            <w:noProof/>
            <w:webHidden/>
            <w:sz w:val="24"/>
            <w:szCs w:val="24"/>
          </w:rPr>
          <w:instrText xml:space="preserve"> PAGEREF _Toc144414483 \h </w:instrText>
        </w:r>
        <w:r w:rsidR="00F76FF2" w:rsidRPr="00A4493C">
          <w:rPr>
            <w:rFonts w:ascii="Georgia" w:hAnsi="Georgia" w:cs="Times New Roman"/>
            <w:noProof/>
            <w:webHidden/>
            <w:sz w:val="24"/>
            <w:szCs w:val="24"/>
          </w:rPr>
        </w:r>
        <w:r w:rsidR="00F76FF2"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1</w:t>
        </w:r>
        <w:r w:rsidR="00F76FF2" w:rsidRPr="00A4493C">
          <w:rPr>
            <w:rFonts w:ascii="Georgia" w:hAnsi="Georgia" w:cs="Times New Roman"/>
            <w:noProof/>
            <w:webHidden/>
            <w:sz w:val="24"/>
            <w:szCs w:val="24"/>
          </w:rPr>
          <w:fldChar w:fldCharType="end"/>
        </w:r>
      </w:hyperlink>
    </w:p>
    <w:p w14:paraId="7BA9B51B" w14:textId="0BF26DF5" w:rsidR="00F76FF2" w:rsidRPr="00A4493C" w:rsidRDefault="00000000" w:rsidP="00A4493C">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r:id="rId20" w:anchor="_Toc144414484" w:history="1">
        <w:r w:rsidR="00F76FF2" w:rsidRPr="00A4493C">
          <w:rPr>
            <w:rStyle w:val="Hyperlink"/>
            <w:rFonts w:ascii="Georgia" w:hAnsi="Georgia" w:cs="Times New Roman"/>
            <w:noProof/>
            <w:sz w:val="24"/>
            <w:szCs w:val="24"/>
          </w:rPr>
          <w:t>Box 2: Income concepts in the fiscal incidence analysis and estimated Gini coefficients in 2015/16</w:t>
        </w:r>
        <w:r w:rsidR="00F76FF2" w:rsidRPr="00A4493C">
          <w:rPr>
            <w:rFonts w:ascii="Georgia" w:hAnsi="Georgia" w:cs="Times New Roman"/>
            <w:noProof/>
            <w:webHidden/>
            <w:sz w:val="24"/>
            <w:szCs w:val="24"/>
          </w:rPr>
          <w:tab/>
        </w:r>
        <w:r w:rsidR="00F76FF2" w:rsidRPr="00A4493C">
          <w:rPr>
            <w:rFonts w:ascii="Georgia" w:hAnsi="Georgia" w:cs="Times New Roman"/>
            <w:noProof/>
            <w:webHidden/>
            <w:sz w:val="24"/>
            <w:szCs w:val="24"/>
          </w:rPr>
          <w:fldChar w:fldCharType="begin"/>
        </w:r>
        <w:r w:rsidR="00F76FF2" w:rsidRPr="00A4493C">
          <w:rPr>
            <w:rFonts w:ascii="Georgia" w:hAnsi="Georgia" w:cs="Times New Roman"/>
            <w:noProof/>
            <w:webHidden/>
            <w:sz w:val="24"/>
            <w:szCs w:val="24"/>
          </w:rPr>
          <w:instrText xml:space="preserve"> PAGEREF _Toc144414484 \h </w:instrText>
        </w:r>
        <w:r w:rsidR="00F76FF2" w:rsidRPr="00A4493C">
          <w:rPr>
            <w:rFonts w:ascii="Georgia" w:hAnsi="Georgia" w:cs="Times New Roman"/>
            <w:noProof/>
            <w:webHidden/>
            <w:sz w:val="24"/>
            <w:szCs w:val="24"/>
          </w:rPr>
        </w:r>
        <w:r w:rsidR="00F76FF2"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6</w:t>
        </w:r>
        <w:r w:rsidR="00F76FF2" w:rsidRPr="00A4493C">
          <w:rPr>
            <w:rFonts w:ascii="Georgia" w:hAnsi="Georgia" w:cs="Times New Roman"/>
            <w:noProof/>
            <w:webHidden/>
            <w:sz w:val="24"/>
            <w:szCs w:val="24"/>
          </w:rPr>
          <w:fldChar w:fldCharType="end"/>
        </w:r>
      </w:hyperlink>
    </w:p>
    <w:p w14:paraId="3895C778" w14:textId="01712DEB" w:rsidR="00F76FF2" w:rsidRPr="00A4493C" w:rsidRDefault="00000000" w:rsidP="00A4493C">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485" w:history="1">
        <w:r w:rsidR="00F76FF2" w:rsidRPr="00A4493C">
          <w:rPr>
            <w:rStyle w:val="Hyperlink"/>
            <w:rFonts w:ascii="Georgia" w:hAnsi="Georgia" w:cs="Times New Roman"/>
            <w:noProof/>
            <w:sz w:val="24"/>
            <w:szCs w:val="24"/>
          </w:rPr>
          <w:t>Box 3: Summary of inequality in the political and societal discourse</w:t>
        </w:r>
        <w:r w:rsidR="00F76FF2" w:rsidRPr="00A4493C">
          <w:rPr>
            <w:rFonts w:ascii="Georgia" w:hAnsi="Georgia" w:cs="Times New Roman"/>
            <w:noProof/>
            <w:webHidden/>
            <w:sz w:val="24"/>
            <w:szCs w:val="24"/>
          </w:rPr>
          <w:tab/>
        </w:r>
        <w:r w:rsidR="00F76FF2" w:rsidRPr="00A4493C">
          <w:rPr>
            <w:rFonts w:ascii="Georgia" w:hAnsi="Georgia" w:cs="Times New Roman"/>
            <w:noProof/>
            <w:webHidden/>
            <w:sz w:val="24"/>
            <w:szCs w:val="24"/>
          </w:rPr>
          <w:fldChar w:fldCharType="begin"/>
        </w:r>
        <w:r w:rsidR="00F76FF2" w:rsidRPr="00A4493C">
          <w:rPr>
            <w:rFonts w:ascii="Georgia" w:hAnsi="Georgia" w:cs="Times New Roman"/>
            <w:noProof/>
            <w:webHidden/>
            <w:sz w:val="24"/>
            <w:szCs w:val="24"/>
          </w:rPr>
          <w:instrText xml:space="preserve"> PAGEREF _Toc144414485 \h </w:instrText>
        </w:r>
        <w:r w:rsidR="00F76FF2" w:rsidRPr="00A4493C">
          <w:rPr>
            <w:rFonts w:ascii="Georgia" w:hAnsi="Georgia" w:cs="Times New Roman"/>
            <w:noProof/>
            <w:webHidden/>
            <w:sz w:val="24"/>
            <w:szCs w:val="24"/>
          </w:rPr>
        </w:r>
        <w:r w:rsidR="00F76FF2"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14</w:t>
        </w:r>
        <w:r w:rsidR="00F76FF2" w:rsidRPr="00A4493C">
          <w:rPr>
            <w:rFonts w:ascii="Georgia" w:hAnsi="Georgia" w:cs="Times New Roman"/>
            <w:noProof/>
            <w:webHidden/>
            <w:sz w:val="24"/>
            <w:szCs w:val="24"/>
          </w:rPr>
          <w:fldChar w:fldCharType="end"/>
        </w:r>
      </w:hyperlink>
    </w:p>
    <w:p w14:paraId="65120768" w14:textId="5C4123AD" w:rsidR="00F76FF2" w:rsidRPr="00A4493C" w:rsidRDefault="00000000" w:rsidP="00A4493C">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486" w:history="1">
        <w:r w:rsidR="00F76FF2" w:rsidRPr="00A4493C">
          <w:rPr>
            <w:rStyle w:val="Hyperlink"/>
            <w:rFonts w:ascii="Georgia" w:hAnsi="Georgia" w:cs="Times New Roman"/>
            <w:noProof/>
            <w:sz w:val="24"/>
            <w:szCs w:val="24"/>
          </w:rPr>
          <w:t>Box 4: Summary of policy options</w:t>
        </w:r>
        <w:r w:rsidR="00F76FF2" w:rsidRPr="00A4493C">
          <w:rPr>
            <w:rFonts w:ascii="Georgia" w:hAnsi="Georgia" w:cs="Times New Roman"/>
            <w:noProof/>
            <w:webHidden/>
            <w:sz w:val="24"/>
            <w:szCs w:val="24"/>
          </w:rPr>
          <w:tab/>
        </w:r>
        <w:r w:rsidR="00F76FF2" w:rsidRPr="00A4493C">
          <w:rPr>
            <w:rFonts w:ascii="Georgia" w:hAnsi="Georgia" w:cs="Times New Roman"/>
            <w:noProof/>
            <w:webHidden/>
            <w:sz w:val="24"/>
            <w:szCs w:val="24"/>
          </w:rPr>
          <w:fldChar w:fldCharType="begin"/>
        </w:r>
        <w:r w:rsidR="00F76FF2" w:rsidRPr="00A4493C">
          <w:rPr>
            <w:rFonts w:ascii="Georgia" w:hAnsi="Georgia" w:cs="Times New Roman"/>
            <w:noProof/>
            <w:webHidden/>
            <w:sz w:val="24"/>
            <w:szCs w:val="24"/>
          </w:rPr>
          <w:instrText xml:space="preserve"> PAGEREF _Toc144414486 \h </w:instrText>
        </w:r>
        <w:r w:rsidR="00F76FF2" w:rsidRPr="00A4493C">
          <w:rPr>
            <w:rFonts w:ascii="Georgia" w:hAnsi="Georgia" w:cs="Times New Roman"/>
            <w:noProof/>
            <w:webHidden/>
            <w:sz w:val="24"/>
            <w:szCs w:val="24"/>
          </w:rPr>
        </w:r>
        <w:r w:rsidR="00F76FF2"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20</w:t>
        </w:r>
        <w:r w:rsidR="00F76FF2" w:rsidRPr="00A4493C">
          <w:rPr>
            <w:rFonts w:ascii="Georgia" w:hAnsi="Georgia" w:cs="Times New Roman"/>
            <w:noProof/>
            <w:webHidden/>
            <w:sz w:val="24"/>
            <w:szCs w:val="24"/>
          </w:rPr>
          <w:fldChar w:fldCharType="end"/>
        </w:r>
      </w:hyperlink>
    </w:p>
    <w:p w14:paraId="2B90170A" w14:textId="7FB2FF30" w:rsidR="007C2739" w:rsidRPr="00A4493C" w:rsidRDefault="007C2739" w:rsidP="007C2739">
      <w:pPr>
        <w:spacing w:after="120" w:line="240" w:lineRule="auto"/>
        <w:contextualSpacing/>
        <w:rPr>
          <w:rFonts w:ascii="Georgia" w:hAnsi="Georgia" w:cs="Times New Roman"/>
          <w:sz w:val="24"/>
          <w:szCs w:val="24"/>
          <w:lang w:eastAsia="en-GB"/>
        </w:rPr>
      </w:pPr>
      <w:r w:rsidRPr="00A4493C">
        <w:rPr>
          <w:rFonts w:ascii="Georgia" w:hAnsi="Georgia" w:cs="Times New Roman"/>
          <w:sz w:val="24"/>
          <w:szCs w:val="24"/>
          <w:lang w:eastAsia="en-GB"/>
        </w:rPr>
        <w:fldChar w:fldCharType="end"/>
      </w:r>
    </w:p>
    <w:p w14:paraId="51D0B1D9" w14:textId="77777777" w:rsidR="007C2739" w:rsidRPr="00A4493C" w:rsidRDefault="007C2739" w:rsidP="007C2739">
      <w:pPr>
        <w:rPr>
          <w:rFonts w:ascii="Georgia" w:hAnsi="Georgia" w:cs="Times New Roman"/>
          <w:b/>
          <w:bCs/>
          <w:sz w:val="24"/>
          <w:szCs w:val="24"/>
          <w:lang w:eastAsia="en-GB"/>
        </w:rPr>
      </w:pPr>
      <w:bookmarkStart w:id="1" w:name="_Toc107401194"/>
      <w:r w:rsidRPr="00A4493C">
        <w:rPr>
          <w:rFonts w:ascii="Georgia" w:hAnsi="Georgia" w:cs="Times New Roman"/>
          <w:b/>
          <w:bCs/>
          <w:sz w:val="24"/>
          <w:szCs w:val="24"/>
          <w:lang w:eastAsia="en-GB"/>
        </w:rPr>
        <w:t>Figures</w:t>
      </w:r>
      <w:bookmarkEnd w:id="1"/>
    </w:p>
    <w:p w14:paraId="2343F9B1" w14:textId="5D549255" w:rsidR="001623C4" w:rsidRPr="00A4493C" w:rsidRDefault="007C2739" w:rsidP="00DE5A1E">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r w:rsidRPr="00A4493C">
        <w:rPr>
          <w:rFonts w:ascii="Georgia" w:eastAsia="Constantia" w:hAnsi="Georgia" w:cs="Times New Roman"/>
          <w:sz w:val="24"/>
          <w:szCs w:val="24"/>
          <w:lang w:eastAsia="en-GB"/>
        </w:rPr>
        <w:fldChar w:fldCharType="begin"/>
      </w:r>
      <w:r w:rsidRPr="00A4493C">
        <w:rPr>
          <w:rFonts w:ascii="Georgia" w:eastAsia="Constantia" w:hAnsi="Georgia" w:cs="Times New Roman"/>
          <w:sz w:val="24"/>
          <w:szCs w:val="24"/>
          <w:lang w:eastAsia="en-GB"/>
        </w:rPr>
        <w:instrText xml:space="preserve"> TOC \h \z \c "Figure" </w:instrText>
      </w:r>
      <w:r w:rsidRPr="00A4493C">
        <w:rPr>
          <w:rFonts w:ascii="Georgia" w:eastAsia="Constantia" w:hAnsi="Georgia" w:cs="Times New Roman"/>
          <w:sz w:val="24"/>
          <w:szCs w:val="24"/>
          <w:lang w:eastAsia="en-GB"/>
        </w:rPr>
        <w:fldChar w:fldCharType="separate"/>
      </w:r>
      <w:hyperlink w:anchor="_Toc144414573" w:history="1">
        <w:r w:rsidR="001623C4" w:rsidRPr="00A4493C">
          <w:rPr>
            <w:rStyle w:val="Hyperlink"/>
            <w:rFonts w:ascii="Georgia" w:hAnsi="Georgia" w:cs="Times New Roman"/>
            <w:noProof/>
            <w:sz w:val="24"/>
            <w:szCs w:val="24"/>
          </w:rPr>
          <w:t>Figure 1: Development of GDP, 2000-2021</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_Toc144414573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XV</w:t>
        </w:r>
        <w:r w:rsidR="001623C4" w:rsidRPr="00A4493C">
          <w:rPr>
            <w:rFonts w:ascii="Georgia" w:hAnsi="Georgia" w:cs="Times New Roman"/>
            <w:noProof/>
            <w:webHidden/>
            <w:sz w:val="24"/>
            <w:szCs w:val="24"/>
          </w:rPr>
          <w:fldChar w:fldCharType="end"/>
        </w:r>
      </w:hyperlink>
    </w:p>
    <w:p w14:paraId="01CEB12E" w14:textId="658F3D03" w:rsidR="001623C4" w:rsidRPr="00A4493C" w:rsidRDefault="00000000">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574" w:history="1">
        <w:r w:rsidR="001623C4" w:rsidRPr="00A4493C">
          <w:rPr>
            <w:rStyle w:val="Hyperlink"/>
            <w:rFonts w:ascii="Georgia" w:hAnsi="Georgia" w:cs="Times New Roman"/>
            <w:noProof/>
            <w:sz w:val="24"/>
            <w:szCs w:val="24"/>
          </w:rPr>
          <w:t>Figure 2: Poverty incidence per county, 2015</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_Toc144414574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XVI</w:t>
        </w:r>
        <w:r w:rsidR="001623C4" w:rsidRPr="00A4493C">
          <w:rPr>
            <w:rFonts w:ascii="Georgia" w:hAnsi="Georgia" w:cs="Times New Roman"/>
            <w:noProof/>
            <w:webHidden/>
            <w:sz w:val="24"/>
            <w:szCs w:val="24"/>
          </w:rPr>
          <w:fldChar w:fldCharType="end"/>
        </w:r>
      </w:hyperlink>
    </w:p>
    <w:p w14:paraId="716FD5D3" w14:textId="6D284AF4" w:rsidR="001623C4" w:rsidRPr="00A4493C" w:rsidRDefault="00000000">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575" w:history="1">
        <w:r w:rsidR="001623C4" w:rsidRPr="00A4493C">
          <w:rPr>
            <w:rStyle w:val="Hyperlink"/>
            <w:rFonts w:ascii="Georgia" w:hAnsi="Georgia" w:cs="Times New Roman"/>
            <w:noProof/>
            <w:sz w:val="24"/>
            <w:szCs w:val="24"/>
          </w:rPr>
          <w:t>Figure 3: Shares of total income, 1994, 2005 and 2015</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_Toc144414575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XVII</w:t>
        </w:r>
        <w:r w:rsidR="001623C4" w:rsidRPr="00A4493C">
          <w:rPr>
            <w:rFonts w:ascii="Georgia" w:hAnsi="Georgia" w:cs="Times New Roman"/>
            <w:noProof/>
            <w:webHidden/>
            <w:sz w:val="24"/>
            <w:szCs w:val="24"/>
          </w:rPr>
          <w:fldChar w:fldCharType="end"/>
        </w:r>
      </w:hyperlink>
    </w:p>
    <w:p w14:paraId="6A6AEE9F" w14:textId="7CD907FE" w:rsidR="001623C4" w:rsidRPr="00A4493C" w:rsidRDefault="00000000">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576" w:history="1">
        <w:r w:rsidR="001623C4" w:rsidRPr="00A4493C">
          <w:rPr>
            <w:rStyle w:val="Hyperlink"/>
            <w:rFonts w:ascii="Georgia" w:hAnsi="Georgia" w:cs="Times New Roman"/>
            <w:noProof/>
            <w:sz w:val="24"/>
            <w:szCs w:val="24"/>
          </w:rPr>
          <w:t>Figure 4: Gini coefficient by county, 2015/16</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_Toc144414576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XIX</w:t>
        </w:r>
        <w:r w:rsidR="001623C4" w:rsidRPr="00A4493C">
          <w:rPr>
            <w:rFonts w:ascii="Georgia" w:hAnsi="Georgia" w:cs="Times New Roman"/>
            <w:noProof/>
            <w:webHidden/>
            <w:sz w:val="24"/>
            <w:szCs w:val="24"/>
          </w:rPr>
          <w:fldChar w:fldCharType="end"/>
        </w:r>
      </w:hyperlink>
    </w:p>
    <w:p w14:paraId="23513AFB" w14:textId="0BBFBBEF" w:rsidR="001623C4" w:rsidRPr="00A4493C" w:rsidRDefault="00000000">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577" w:history="1">
        <w:r w:rsidR="001623C4" w:rsidRPr="00A4493C">
          <w:rPr>
            <w:rStyle w:val="Hyperlink"/>
            <w:rFonts w:ascii="Georgia" w:hAnsi="Georgia" w:cs="Times New Roman"/>
            <w:noProof/>
            <w:sz w:val="24"/>
            <w:szCs w:val="24"/>
          </w:rPr>
          <w:t>Figure 5: Employment by sector and gender, 2000-2019</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_Toc144414577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2</w:t>
        </w:r>
        <w:r w:rsidR="001623C4" w:rsidRPr="00A4493C">
          <w:rPr>
            <w:rFonts w:ascii="Georgia" w:hAnsi="Georgia" w:cs="Times New Roman"/>
            <w:noProof/>
            <w:webHidden/>
            <w:sz w:val="24"/>
            <w:szCs w:val="24"/>
          </w:rPr>
          <w:fldChar w:fldCharType="end"/>
        </w:r>
      </w:hyperlink>
    </w:p>
    <w:p w14:paraId="7E507444" w14:textId="7BB53976" w:rsidR="001623C4" w:rsidRPr="00A4493C" w:rsidRDefault="00000000">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578" w:history="1">
        <w:r w:rsidR="001623C4" w:rsidRPr="00A4493C">
          <w:rPr>
            <w:rStyle w:val="Hyperlink"/>
            <w:rFonts w:ascii="Georgia" w:hAnsi="Georgia" w:cs="Times New Roman"/>
            <w:noProof/>
            <w:sz w:val="24"/>
            <w:szCs w:val="24"/>
          </w:rPr>
          <w:t>Figure 6: Labour force participation and unemployment by gender, 2000-2021</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_Toc144414578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2</w:t>
        </w:r>
        <w:r w:rsidR="001623C4" w:rsidRPr="00A4493C">
          <w:rPr>
            <w:rFonts w:ascii="Georgia" w:hAnsi="Georgia" w:cs="Times New Roman"/>
            <w:noProof/>
            <w:webHidden/>
            <w:sz w:val="24"/>
            <w:szCs w:val="24"/>
          </w:rPr>
          <w:fldChar w:fldCharType="end"/>
        </w:r>
      </w:hyperlink>
    </w:p>
    <w:p w14:paraId="6F8940AC" w14:textId="72E1E27F" w:rsidR="001623C4" w:rsidRPr="00A4493C" w:rsidRDefault="00000000">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579" w:history="1">
        <w:r w:rsidR="001623C4" w:rsidRPr="00A4493C">
          <w:rPr>
            <w:rStyle w:val="Hyperlink"/>
            <w:rFonts w:ascii="Georgia" w:hAnsi="Georgia" w:cs="Times New Roman"/>
            <w:noProof/>
            <w:sz w:val="24"/>
            <w:szCs w:val="24"/>
          </w:rPr>
          <w:t>Figure 7: Wage employment and vulnerable employment, by gender, 2000-2021</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_Toc144414579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4</w:t>
        </w:r>
        <w:r w:rsidR="001623C4" w:rsidRPr="00A4493C">
          <w:rPr>
            <w:rFonts w:ascii="Georgia" w:hAnsi="Georgia" w:cs="Times New Roman"/>
            <w:noProof/>
            <w:webHidden/>
            <w:sz w:val="24"/>
            <w:szCs w:val="24"/>
          </w:rPr>
          <w:fldChar w:fldCharType="end"/>
        </w:r>
      </w:hyperlink>
    </w:p>
    <w:p w14:paraId="7F82FCF1" w14:textId="4CCDAD98" w:rsidR="001623C4" w:rsidRPr="00A4493C" w:rsidRDefault="00000000">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580" w:history="1">
        <w:r w:rsidR="001623C4" w:rsidRPr="00A4493C">
          <w:rPr>
            <w:rStyle w:val="Hyperlink"/>
            <w:rFonts w:ascii="Georgia" w:hAnsi="Georgia" w:cs="Times New Roman"/>
            <w:noProof/>
            <w:sz w:val="24"/>
            <w:szCs w:val="24"/>
          </w:rPr>
          <w:t>Figure 8: Coverage of social insurance and social assistance by income quintile, 2005 and 2015</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_Toc144414580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8</w:t>
        </w:r>
        <w:r w:rsidR="001623C4" w:rsidRPr="00A4493C">
          <w:rPr>
            <w:rFonts w:ascii="Georgia" w:hAnsi="Georgia" w:cs="Times New Roman"/>
            <w:noProof/>
            <w:webHidden/>
            <w:sz w:val="24"/>
            <w:szCs w:val="24"/>
          </w:rPr>
          <w:fldChar w:fldCharType="end"/>
        </w:r>
      </w:hyperlink>
    </w:p>
    <w:p w14:paraId="5F2EB07F" w14:textId="7887155A" w:rsidR="001623C4" w:rsidRPr="00A4493C" w:rsidRDefault="00000000">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581" w:history="1">
        <w:r w:rsidR="001623C4" w:rsidRPr="00A4493C">
          <w:rPr>
            <w:rStyle w:val="Hyperlink"/>
            <w:rFonts w:ascii="Georgia" w:hAnsi="Georgia" w:cs="Times New Roman"/>
            <w:noProof/>
            <w:sz w:val="24"/>
            <w:szCs w:val="24"/>
          </w:rPr>
          <w:t>Figure 9: Completion rates by income quintile, 2014</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_Toc144414581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10</w:t>
        </w:r>
        <w:r w:rsidR="001623C4" w:rsidRPr="00A4493C">
          <w:rPr>
            <w:rFonts w:ascii="Georgia" w:hAnsi="Georgia" w:cs="Times New Roman"/>
            <w:noProof/>
            <w:webHidden/>
            <w:sz w:val="24"/>
            <w:szCs w:val="24"/>
          </w:rPr>
          <w:fldChar w:fldCharType="end"/>
        </w:r>
      </w:hyperlink>
    </w:p>
    <w:p w14:paraId="1D35D739" w14:textId="6A8D294D" w:rsidR="001623C4" w:rsidRPr="00A4493C" w:rsidRDefault="00000000">
      <w:pPr>
        <w:pStyle w:val="TableofFigures"/>
        <w:tabs>
          <w:tab w:val="right" w:leader="dot" w:pos="9350"/>
        </w:tabs>
        <w:rPr>
          <w:rFonts w:ascii="Georgia" w:eastAsiaTheme="minorEastAsia" w:hAnsi="Georgia" w:cs="Times New Roman"/>
          <w:noProof/>
          <w:kern w:val="2"/>
          <w:sz w:val="24"/>
          <w:szCs w:val="24"/>
          <w:lang w:eastAsia="en-GB"/>
          <w14:ligatures w14:val="standardContextual"/>
        </w:rPr>
      </w:pPr>
      <w:hyperlink w:anchor="_Toc144414582" w:history="1">
        <w:r w:rsidR="001623C4" w:rsidRPr="00A4493C">
          <w:rPr>
            <w:rStyle w:val="Hyperlink"/>
            <w:rFonts w:ascii="Georgia" w:hAnsi="Georgia" w:cs="Times New Roman"/>
            <w:noProof/>
            <w:sz w:val="24"/>
            <w:szCs w:val="24"/>
          </w:rPr>
          <w:t>Figure 10</w:t>
        </w:r>
        <w:r w:rsidR="001623C4" w:rsidRPr="00A4493C">
          <w:rPr>
            <w:rStyle w:val="Hyperlink"/>
            <w:rFonts w:ascii="Georgia" w:hAnsi="Georgia" w:cs="Times New Roman"/>
            <w:smallCaps/>
            <w:noProof/>
            <w:sz w:val="24"/>
            <w:szCs w:val="24"/>
          </w:rPr>
          <w:t xml:space="preserve">: </w:t>
        </w:r>
        <w:r w:rsidR="001623C4" w:rsidRPr="00A4493C">
          <w:rPr>
            <w:rStyle w:val="Hyperlink"/>
            <w:rFonts w:ascii="Georgia" w:hAnsi="Georgia" w:cs="Times New Roman"/>
            <w:iCs/>
            <w:noProof/>
            <w:sz w:val="24"/>
            <w:szCs w:val="24"/>
          </w:rPr>
          <w:t>Timeline of selected key national policy strategies and programmes, 2008-2023</w:t>
        </w:r>
        <w:r w:rsidR="001623C4" w:rsidRPr="00A4493C">
          <w:rPr>
            <w:rFonts w:ascii="Georgia" w:hAnsi="Georgia" w:cs="Times New Roman"/>
            <w:noProof/>
            <w:webHidden/>
            <w:sz w:val="24"/>
            <w:szCs w:val="24"/>
          </w:rPr>
          <w:tab/>
        </w:r>
        <w:r w:rsidR="001623C4" w:rsidRPr="00A4493C">
          <w:rPr>
            <w:rFonts w:ascii="Georgia" w:hAnsi="Georgia" w:cs="Times New Roman"/>
            <w:noProof/>
            <w:webHidden/>
            <w:sz w:val="24"/>
            <w:szCs w:val="24"/>
          </w:rPr>
          <w:fldChar w:fldCharType="begin"/>
        </w:r>
        <w:r w:rsidR="001623C4" w:rsidRPr="00A4493C">
          <w:rPr>
            <w:rFonts w:ascii="Georgia" w:hAnsi="Georgia" w:cs="Times New Roman"/>
            <w:noProof/>
            <w:webHidden/>
            <w:sz w:val="24"/>
            <w:szCs w:val="24"/>
          </w:rPr>
          <w:instrText xml:space="preserve"> PAGEREF _Toc144414582 \h </w:instrText>
        </w:r>
        <w:r w:rsidR="001623C4" w:rsidRPr="00A4493C">
          <w:rPr>
            <w:rFonts w:ascii="Georgia" w:hAnsi="Georgia" w:cs="Times New Roman"/>
            <w:noProof/>
            <w:webHidden/>
            <w:sz w:val="24"/>
            <w:szCs w:val="24"/>
          </w:rPr>
        </w:r>
        <w:r w:rsidR="001623C4"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16</w:t>
        </w:r>
        <w:r w:rsidR="001623C4" w:rsidRPr="00A4493C">
          <w:rPr>
            <w:rFonts w:ascii="Georgia" w:hAnsi="Georgia" w:cs="Times New Roman"/>
            <w:noProof/>
            <w:webHidden/>
            <w:sz w:val="24"/>
            <w:szCs w:val="24"/>
          </w:rPr>
          <w:fldChar w:fldCharType="end"/>
        </w:r>
      </w:hyperlink>
    </w:p>
    <w:p w14:paraId="4E468902" w14:textId="358E6C71" w:rsidR="007C2739" w:rsidRPr="00A4493C" w:rsidRDefault="007C2739" w:rsidP="007C2739">
      <w:pPr>
        <w:spacing w:after="120" w:line="240" w:lineRule="auto"/>
        <w:contextualSpacing/>
        <w:rPr>
          <w:rFonts w:ascii="Georgia" w:eastAsia="Constantia" w:hAnsi="Georgia" w:cs="Times New Roman"/>
          <w:sz w:val="24"/>
          <w:szCs w:val="24"/>
          <w:lang w:eastAsia="en-GB"/>
        </w:rPr>
      </w:pPr>
      <w:r w:rsidRPr="00A4493C">
        <w:rPr>
          <w:rFonts w:ascii="Georgia" w:eastAsia="Constantia" w:hAnsi="Georgia" w:cs="Times New Roman"/>
          <w:sz w:val="24"/>
          <w:szCs w:val="24"/>
          <w:lang w:eastAsia="en-GB"/>
        </w:rPr>
        <w:fldChar w:fldCharType="end"/>
      </w:r>
    </w:p>
    <w:p w14:paraId="0302F828" w14:textId="77777777" w:rsidR="007C2739" w:rsidRPr="00A4493C" w:rsidRDefault="007C2739" w:rsidP="007C2739">
      <w:pPr>
        <w:rPr>
          <w:rFonts w:ascii="Georgia" w:hAnsi="Georgia" w:cs="Times New Roman"/>
          <w:b/>
          <w:bCs/>
          <w:sz w:val="24"/>
          <w:szCs w:val="24"/>
          <w:lang w:eastAsia="en-GB"/>
        </w:rPr>
      </w:pPr>
      <w:bookmarkStart w:id="2" w:name="_Toc107401195"/>
      <w:r w:rsidRPr="00A4493C">
        <w:rPr>
          <w:rFonts w:ascii="Georgia" w:hAnsi="Georgia" w:cs="Times New Roman"/>
          <w:b/>
          <w:bCs/>
          <w:sz w:val="24"/>
          <w:szCs w:val="24"/>
          <w:lang w:eastAsia="en-GB"/>
        </w:rPr>
        <w:t>Tables</w:t>
      </w:r>
      <w:bookmarkEnd w:id="2"/>
    </w:p>
    <w:p w14:paraId="0C3C8D8A" w14:textId="0C26FEF5" w:rsidR="007D5EA5" w:rsidRPr="00A4493C" w:rsidRDefault="007C2739" w:rsidP="00DE5A1E">
      <w:pPr>
        <w:pStyle w:val="TableofFigures"/>
        <w:tabs>
          <w:tab w:val="right" w:leader="dot" w:pos="9350"/>
        </w:tabs>
        <w:rPr>
          <w:rFonts w:ascii="Georgia" w:eastAsiaTheme="minorEastAsia" w:hAnsi="Georgia" w:cs="Times New Roman"/>
          <w:noProof/>
          <w:sz w:val="24"/>
          <w:szCs w:val="24"/>
          <w:lang w:eastAsia="en-GB"/>
        </w:rPr>
      </w:pPr>
      <w:r w:rsidRPr="00A4493C">
        <w:rPr>
          <w:rFonts w:ascii="Georgia" w:eastAsia="Constantia" w:hAnsi="Georgia" w:cs="Times New Roman"/>
          <w:sz w:val="24"/>
          <w:szCs w:val="24"/>
          <w:lang w:eastAsia="en-GB"/>
        </w:rPr>
        <w:fldChar w:fldCharType="begin"/>
      </w:r>
      <w:r w:rsidRPr="00A4493C">
        <w:rPr>
          <w:rFonts w:ascii="Georgia" w:eastAsia="Constantia" w:hAnsi="Georgia" w:cs="Times New Roman"/>
          <w:sz w:val="24"/>
          <w:szCs w:val="24"/>
          <w:lang w:eastAsia="en-GB"/>
        </w:rPr>
        <w:instrText xml:space="preserve"> TOC \h \z \c "Table" </w:instrText>
      </w:r>
      <w:r w:rsidRPr="00A4493C">
        <w:rPr>
          <w:rFonts w:ascii="Georgia" w:eastAsia="Constantia" w:hAnsi="Georgia" w:cs="Times New Roman"/>
          <w:sz w:val="24"/>
          <w:szCs w:val="24"/>
          <w:lang w:eastAsia="en-GB"/>
        </w:rPr>
        <w:fldChar w:fldCharType="separate"/>
      </w:r>
      <w:hyperlink w:anchor="_Toc137745020" w:history="1">
        <w:r w:rsidR="007D5EA5" w:rsidRPr="00A4493C">
          <w:rPr>
            <w:rStyle w:val="Hyperlink"/>
            <w:rFonts w:ascii="Georgia" w:hAnsi="Georgia" w:cs="Times New Roman"/>
            <w:noProof/>
            <w:sz w:val="24"/>
            <w:szCs w:val="24"/>
          </w:rPr>
          <w:t>Table 1: Overview of selected macroeconomic indicators, 2000-2021</w:t>
        </w:r>
        <w:r w:rsidR="007D5EA5" w:rsidRPr="00A4493C">
          <w:rPr>
            <w:rFonts w:ascii="Georgia" w:hAnsi="Georgia" w:cs="Times New Roman"/>
            <w:noProof/>
            <w:webHidden/>
            <w:sz w:val="24"/>
            <w:szCs w:val="24"/>
          </w:rPr>
          <w:tab/>
        </w:r>
        <w:r w:rsidR="007D5EA5" w:rsidRPr="00A4493C">
          <w:rPr>
            <w:rFonts w:ascii="Georgia" w:hAnsi="Georgia" w:cs="Times New Roman"/>
            <w:noProof/>
            <w:webHidden/>
            <w:sz w:val="24"/>
            <w:szCs w:val="24"/>
          </w:rPr>
          <w:fldChar w:fldCharType="begin"/>
        </w:r>
        <w:r w:rsidR="007D5EA5" w:rsidRPr="00A4493C">
          <w:rPr>
            <w:rFonts w:ascii="Georgia" w:hAnsi="Georgia" w:cs="Times New Roman"/>
            <w:noProof/>
            <w:webHidden/>
            <w:sz w:val="24"/>
            <w:szCs w:val="24"/>
          </w:rPr>
          <w:instrText xml:space="preserve"> PAGEREF _Toc137745020 \h </w:instrText>
        </w:r>
        <w:r w:rsidR="007D5EA5" w:rsidRPr="00A4493C">
          <w:rPr>
            <w:rFonts w:ascii="Georgia" w:hAnsi="Georgia" w:cs="Times New Roman"/>
            <w:noProof/>
            <w:webHidden/>
            <w:sz w:val="24"/>
            <w:szCs w:val="24"/>
          </w:rPr>
        </w:r>
        <w:r w:rsidR="007D5EA5"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XIV</w:t>
        </w:r>
        <w:r w:rsidR="007D5EA5" w:rsidRPr="00A4493C">
          <w:rPr>
            <w:rFonts w:ascii="Georgia" w:hAnsi="Georgia" w:cs="Times New Roman"/>
            <w:noProof/>
            <w:webHidden/>
            <w:sz w:val="24"/>
            <w:szCs w:val="24"/>
          </w:rPr>
          <w:fldChar w:fldCharType="end"/>
        </w:r>
      </w:hyperlink>
    </w:p>
    <w:p w14:paraId="0A0E9F2F" w14:textId="290BE3AF" w:rsidR="007D5EA5" w:rsidRPr="00A4493C" w:rsidRDefault="00000000">
      <w:pPr>
        <w:pStyle w:val="TableofFigures"/>
        <w:tabs>
          <w:tab w:val="right" w:leader="dot" w:pos="9350"/>
        </w:tabs>
        <w:rPr>
          <w:rFonts w:ascii="Georgia" w:eastAsiaTheme="minorEastAsia" w:hAnsi="Georgia" w:cs="Times New Roman"/>
          <w:noProof/>
          <w:sz w:val="24"/>
          <w:szCs w:val="24"/>
          <w:lang w:eastAsia="en-GB"/>
        </w:rPr>
      </w:pPr>
      <w:hyperlink w:anchor="_Toc137745021" w:history="1">
        <w:r w:rsidR="007D5EA5" w:rsidRPr="00A4493C">
          <w:rPr>
            <w:rStyle w:val="Hyperlink"/>
            <w:rFonts w:ascii="Georgia" w:hAnsi="Georgia" w:cs="Times New Roman"/>
            <w:noProof/>
            <w:sz w:val="24"/>
            <w:szCs w:val="24"/>
          </w:rPr>
          <w:t>Table 2: Inequality indices of per capita expenditure, 1994, 2005/06 and 2015/16</w:t>
        </w:r>
        <w:r w:rsidR="007D5EA5" w:rsidRPr="00A4493C">
          <w:rPr>
            <w:rFonts w:ascii="Georgia" w:hAnsi="Georgia" w:cs="Times New Roman"/>
            <w:noProof/>
            <w:webHidden/>
            <w:sz w:val="24"/>
            <w:szCs w:val="24"/>
          </w:rPr>
          <w:tab/>
        </w:r>
        <w:r w:rsidR="007D5EA5" w:rsidRPr="00A4493C">
          <w:rPr>
            <w:rFonts w:ascii="Georgia" w:hAnsi="Georgia" w:cs="Times New Roman"/>
            <w:noProof/>
            <w:webHidden/>
            <w:sz w:val="24"/>
            <w:szCs w:val="24"/>
          </w:rPr>
          <w:fldChar w:fldCharType="begin"/>
        </w:r>
        <w:r w:rsidR="007D5EA5" w:rsidRPr="00A4493C">
          <w:rPr>
            <w:rFonts w:ascii="Georgia" w:hAnsi="Georgia" w:cs="Times New Roman"/>
            <w:noProof/>
            <w:webHidden/>
            <w:sz w:val="24"/>
            <w:szCs w:val="24"/>
          </w:rPr>
          <w:instrText xml:space="preserve"> PAGEREF _Toc137745021 \h </w:instrText>
        </w:r>
        <w:r w:rsidR="007D5EA5" w:rsidRPr="00A4493C">
          <w:rPr>
            <w:rFonts w:ascii="Georgia" w:hAnsi="Georgia" w:cs="Times New Roman"/>
            <w:noProof/>
            <w:webHidden/>
            <w:sz w:val="24"/>
            <w:szCs w:val="24"/>
          </w:rPr>
        </w:r>
        <w:r w:rsidR="007D5EA5"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XVIII</w:t>
        </w:r>
        <w:r w:rsidR="007D5EA5" w:rsidRPr="00A4493C">
          <w:rPr>
            <w:rFonts w:ascii="Georgia" w:hAnsi="Georgia" w:cs="Times New Roman"/>
            <w:noProof/>
            <w:webHidden/>
            <w:sz w:val="24"/>
            <w:szCs w:val="24"/>
          </w:rPr>
          <w:fldChar w:fldCharType="end"/>
        </w:r>
      </w:hyperlink>
    </w:p>
    <w:p w14:paraId="6DFD8A1C" w14:textId="1FF379E0" w:rsidR="007D5EA5" w:rsidRPr="00A4493C" w:rsidRDefault="00000000">
      <w:pPr>
        <w:pStyle w:val="TableofFigures"/>
        <w:tabs>
          <w:tab w:val="right" w:leader="dot" w:pos="9350"/>
        </w:tabs>
        <w:rPr>
          <w:rFonts w:ascii="Georgia" w:eastAsiaTheme="minorEastAsia" w:hAnsi="Georgia" w:cs="Times New Roman"/>
          <w:noProof/>
          <w:sz w:val="24"/>
          <w:szCs w:val="24"/>
          <w:lang w:eastAsia="en-GB"/>
        </w:rPr>
      </w:pPr>
      <w:hyperlink w:anchor="_Toc137745022" w:history="1">
        <w:r w:rsidR="007D5EA5" w:rsidRPr="00A4493C">
          <w:rPr>
            <w:rStyle w:val="Hyperlink"/>
            <w:rFonts w:ascii="Georgia" w:hAnsi="Georgia" w:cs="Times New Roman"/>
            <w:noProof/>
            <w:sz w:val="24"/>
            <w:szCs w:val="24"/>
          </w:rPr>
          <w:t>Table 3: Labour market indicators, 2000-2021</w:t>
        </w:r>
        <w:r w:rsidR="007D5EA5" w:rsidRPr="00A4493C">
          <w:rPr>
            <w:rFonts w:ascii="Georgia" w:hAnsi="Georgia" w:cs="Times New Roman"/>
            <w:noProof/>
            <w:webHidden/>
            <w:sz w:val="24"/>
            <w:szCs w:val="24"/>
          </w:rPr>
          <w:tab/>
        </w:r>
        <w:r w:rsidR="007D5EA5" w:rsidRPr="00A4493C">
          <w:rPr>
            <w:rFonts w:ascii="Georgia" w:hAnsi="Georgia" w:cs="Times New Roman"/>
            <w:noProof/>
            <w:webHidden/>
            <w:sz w:val="24"/>
            <w:szCs w:val="24"/>
          </w:rPr>
          <w:fldChar w:fldCharType="begin"/>
        </w:r>
        <w:r w:rsidR="007D5EA5" w:rsidRPr="00A4493C">
          <w:rPr>
            <w:rFonts w:ascii="Georgia" w:hAnsi="Georgia" w:cs="Times New Roman"/>
            <w:noProof/>
            <w:webHidden/>
            <w:sz w:val="24"/>
            <w:szCs w:val="24"/>
          </w:rPr>
          <w:instrText xml:space="preserve"> PAGEREF _Toc137745022 \h </w:instrText>
        </w:r>
        <w:r w:rsidR="007D5EA5" w:rsidRPr="00A4493C">
          <w:rPr>
            <w:rFonts w:ascii="Georgia" w:hAnsi="Georgia" w:cs="Times New Roman"/>
            <w:noProof/>
            <w:webHidden/>
            <w:sz w:val="24"/>
            <w:szCs w:val="24"/>
          </w:rPr>
        </w:r>
        <w:r w:rsidR="007D5EA5"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1</w:t>
        </w:r>
        <w:r w:rsidR="007D5EA5" w:rsidRPr="00A4493C">
          <w:rPr>
            <w:rFonts w:ascii="Georgia" w:hAnsi="Georgia" w:cs="Times New Roman"/>
            <w:noProof/>
            <w:webHidden/>
            <w:sz w:val="24"/>
            <w:szCs w:val="24"/>
          </w:rPr>
          <w:fldChar w:fldCharType="end"/>
        </w:r>
      </w:hyperlink>
    </w:p>
    <w:p w14:paraId="32A8391F" w14:textId="7A3C47B4" w:rsidR="007D5EA5" w:rsidRPr="00A4493C" w:rsidRDefault="00000000">
      <w:pPr>
        <w:pStyle w:val="TableofFigures"/>
        <w:tabs>
          <w:tab w:val="right" w:leader="dot" w:pos="9350"/>
        </w:tabs>
        <w:rPr>
          <w:rFonts w:ascii="Georgia" w:eastAsiaTheme="minorEastAsia" w:hAnsi="Georgia" w:cs="Times New Roman"/>
          <w:noProof/>
          <w:sz w:val="24"/>
          <w:szCs w:val="24"/>
          <w:lang w:eastAsia="en-GB"/>
        </w:rPr>
      </w:pPr>
      <w:hyperlink w:anchor="_Toc137745023" w:history="1">
        <w:r w:rsidR="007D5EA5" w:rsidRPr="00A4493C">
          <w:rPr>
            <w:rStyle w:val="Hyperlink"/>
            <w:rFonts w:ascii="Georgia" w:hAnsi="Georgia" w:cs="Times New Roman"/>
            <w:noProof/>
            <w:sz w:val="24"/>
            <w:szCs w:val="24"/>
          </w:rPr>
          <w:t>Table 4: Tax revenue indicators</w:t>
        </w:r>
        <w:r w:rsidR="007D5EA5" w:rsidRPr="00A4493C">
          <w:rPr>
            <w:rFonts w:ascii="Georgia" w:hAnsi="Georgia" w:cs="Times New Roman"/>
            <w:noProof/>
            <w:webHidden/>
            <w:sz w:val="24"/>
            <w:szCs w:val="24"/>
          </w:rPr>
          <w:tab/>
        </w:r>
        <w:r w:rsidR="007D5EA5" w:rsidRPr="00A4493C">
          <w:rPr>
            <w:rFonts w:ascii="Georgia" w:hAnsi="Georgia" w:cs="Times New Roman"/>
            <w:noProof/>
            <w:webHidden/>
            <w:sz w:val="24"/>
            <w:szCs w:val="24"/>
          </w:rPr>
          <w:fldChar w:fldCharType="begin"/>
        </w:r>
        <w:r w:rsidR="007D5EA5" w:rsidRPr="00A4493C">
          <w:rPr>
            <w:rFonts w:ascii="Georgia" w:hAnsi="Georgia" w:cs="Times New Roman"/>
            <w:noProof/>
            <w:webHidden/>
            <w:sz w:val="24"/>
            <w:szCs w:val="24"/>
          </w:rPr>
          <w:instrText xml:space="preserve"> PAGEREF _Toc137745023 \h </w:instrText>
        </w:r>
        <w:r w:rsidR="007D5EA5" w:rsidRPr="00A4493C">
          <w:rPr>
            <w:rFonts w:ascii="Georgia" w:hAnsi="Georgia" w:cs="Times New Roman"/>
            <w:noProof/>
            <w:webHidden/>
            <w:sz w:val="24"/>
            <w:szCs w:val="24"/>
          </w:rPr>
        </w:r>
        <w:r w:rsidR="007D5EA5"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5</w:t>
        </w:r>
        <w:r w:rsidR="007D5EA5" w:rsidRPr="00A4493C">
          <w:rPr>
            <w:rFonts w:ascii="Georgia" w:hAnsi="Georgia" w:cs="Times New Roman"/>
            <w:noProof/>
            <w:webHidden/>
            <w:sz w:val="24"/>
            <w:szCs w:val="24"/>
          </w:rPr>
          <w:fldChar w:fldCharType="end"/>
        </w:r>
      </w:hyperlink>
    </w:p>
    <w:p w14:paraId="7AA41FB8" w14:textId="7DF18F85" w:rsidR="007D5EA5" w:rsidRPr="00A4493C" w:rsidRDefault="00000000">
      <w:pPr>
        <w:pStyle w:val="TableofFigures"/>
        <w:tabs>
          <w:tab w:val="right" w:leader="dot" w:pos="9350"/>
        </w:tabs>
        <w:rPr>
          <w:rFonts w:ascii="Georgia" w:eastAsiaTheme="minorEastAsia" w:hAnsi="Georgia" w:cs="Times New Roman"/>
          <w:noProof/>
          <w:sz w:val="24"/>
          <w:szCs w:val="24"/>
          <w:lang w:eastAsia="en-GB"/>
        </w:rPr>
      </w:pPr>
      <w:hyperlink w:anchor="_Toc137745024" w:history="1">
        <w:r w:rsidR="007D5EA5" w:rsidRPr="00A4493C">
          <w:rPr>
            <w:rStyle w:val="Hyperlink"/>
            <w:rFonts w:ascii="Georgia" w:hAnsi="Georgia" w:cs="Times New Roman"/>
            <w:noProof/>
            <w:sz w:val="24"/>
            <w:szCs w:val="24"/>
          </w:rPr>
          <w:t>Table 5: Inequality indices of per capita expe</w:t>
        </w:r>
        <w:r w:rsidR="00A4493C">
          <w:rPr>
            <w:rStyle w:val="Hyperlink"/>
            <w:rFonts w:ascii="Georgia" w:hAnsi="Georgia" w:cs="Times New Roman"/>
            <w:noProof/>
            <w:sz w:val="24"/>
            <w:szCs w:val="24"/>
          </w:rPr>
          <w:t>nditure, by gender, 1994, 2005/</w:t>
        </w:r>
        <w:r w:rsidR="007D5EA5" w:rsidRPr="00A4493C">
          <w:rPr>
            <w:rStyle w:val="Hyperlink"/>
            <w:rFonts w:ascii="Georgia" w:hAnsi="Georgia" w:cs="Times New Roman"/>
            <w:noProof/>
            <w:sz w:val="24"/>
            <w:szCs w:val="24"/>
          </w:rPr>
          <w:t>6 and 2015/16</w:t>
        </w:r>
        <w:r w:rsidR="007D5EA5" w:rsidRPr="00A4493C">
          <w:rPr>
            <w:rFonts w:ascii="Georgia" w:hAnsi="Georgia" w:cs="Times New Roman"/>
            <w:noProof/>
            <w:webHidden/>
            <w:sz w:val="24"/>
            <w:szCs w:val="24"/>
          </w:rPr>
          <w:tab/>
        </w:r>
        <w:r w:rsidR="007D5EA5" w:rsidRPr="00A4493C">
          <w:rPr>
            <w:rFonts w:ascii="Georgia" w:hAnsi="Georgia" w:cs="Times New Roman"/>
            <w:noProof/>
            <w:webHidden/>
            <w:sz w:val="24"/>
            <w:szCs w:val="24"/>
          </w:rPr>
          <w:fldChar w:fldCharType="begin"/>
        </w:r>
        <w:r w:rsidR="007D5EA5" w:rsidRPr="00A4493C">
          <w:rPr>
            <w:rFonts w:ascii="Georgia" w:hAnsi="Georgia" w:cs="Times New Roman"/>
            <w:noProof/>
            <w:webHidden/>
            <w:sz w:val="24"/>
            <w:szCs w:val="24"/>
          </w:rPr>
          <w:instrText xml:space="preserve"> PAGEREF _Toc137745024 \h </w:instrText>
        </w:r>
        <w:r w:rsidR="007D5EA5" w:rsidRPr="00A4493C">
          <w:rPr>
            <w:rFonts w:ascii="Georgia" w:hAnsi="Georgia" w:cs="Times New Roman"/>
            <w:noProof/>
            <w:webHidden/>
            <w:sz w:val="24"/>
            <w:szCs w:val="24"/>
          </w:rPr>
        </w:r>
        <w:r w:rsidR="007D5EA5"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11</w:t>
        </w:r>
        <w:r w:rsidR="007D5EA5" w:rsidRPr="00A4493C">
          <w:rPr>
            <w:rFonts w:ascii="Georgia" w:hAnsi="Georgia" w:cs="Times New Roman"/>
            <w:noProof/>
            <w:webHidden/>
            <w:sz w:val="24"/>
            <w:szCs w:val="24"/>
          </w:rPr>
          <w:fldChar w:fldCharType="end"/>
        </w:r>
      </w:hyperlink>
    </w:p>
    <w:p w14:paraId="0561BE4C" w14:textId="16871917" w:rsidR="007D5EA5" w:rsidRPr="00A4493C" w:rsidRDefault="00000000">
      <w:pPr>
        <w:pStyle w:val="TableofFigures"/>
        <w:tabs>
          <w:tab w:val="right" w:leader="dot" w:pos="9350"/>
        </w:tabs>
        <w:rPr>
          <w:rFonts w:ascii="Georgia" w:eastAsiaTheme="minorEastAsia" w:hAnsi="Georgia" w:cs="Times New Roman"/>
          <w:noProof/>
          <w:sz w:val="24"/>
          <w:szCs w:val="24"/>
          <w:lang w:eastAsia="en-GB"/>
        </w:rPr>
      </w:pPr>
      <w:hyperlink w:anchor="_Toc137745025" w:history="1">
        <w:r w:rsidR="007D5EA5" w:rsidRPr="00A4493C">
          <w:rPr>
            <w:rStyle w:val="Hyperlink"/>
            <w:rFonts w:ascii="Georgia" w:hAnsi="Georgia" w:cs="Times New Roman"/>
            <w:noProof/>
            <w:sz w:val="24"/>
            <w:szCs w:val="24"/>
          </w:rPr>
          <w:t>Table 6: Male and female shares of post-primary TVET students, 1994-2015/16 (percent of total)</w:t>
        </w:r>
        <w:r w:rsidR="007D5EA5" w:rsidRPr="00A4493C">
          <w:rPr>
            <w:rFonts w:ascii="Georgia" w:hAnsi="Georgia" w:cs="Times New Roman"/>
            <w:noProof/>
            <w:webHidden/>
            <w:sz w:val="24"/>
            <w:szCs w:val="24"/>
          </w:rPr>
          <w:tab/>
        </w:r>
        <w:r w:rsidR="007D5EA5" w:rsidRPr="00A4493C">
          <w:rPr>
            <w:rFonts w:ascii="Georgia" w:hAnsi="Georgia" w:cs="Times New Roman"/>
            <w:noProof/>
            <w:webHidden/>
            <w:sz w:val="24"/>
            <w:szCs w:val="24"/>
          </w:rPr>
          <w:fldChar w:fldCharType="begin"/>
        </w:r>
        <w:r w:rsidR="007D5EA5" w:rsidRPr="00A4493C">
          <w:rPr>
            <w:rFonts w:ascii="Georgia" w:hAnsi="Georgia" w:cs="Times New Roman"/>
            <w:noProof/>
            <w:webHidden/>
            <w:sz w:val="24"/>
            <w:szCs w:val="24"/>
          </w:rPr>
          <w:instrText xml:space="preserve"> PAGEREF _Toc137745025 \h </w:instrText>
        </w:r>
        <w:r w:rsidR="007D5EA5" w:rsidRPr="00A4493C">
          <w:rPr>
            <w:rFonts w:ascii="Georgia" w:hAnsi="Georgia" w:cs="Times New Roman"/>
            <w:noProof/>
            <w:webHidden/>
            <w:sz w:val="24"/>
            <w:szCs w:val="24"/>
          </w:rPr>
        </w:r>
        <w:r w:rsidR="007D5EA5"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12</w:t>
        </w:r>
        <w:r w:rsidR="007D5EA5" w:rsidRPr="00A4493C">
          <w:rPr>
            <w:rFonts w:ascii="Georgia" w:hAnsi="Georgia" w:cs="Times New Roman"/>
            <w:noProof/>
            <w:webHidden/>
            <w:sz w:val="24"/>
            <w:szCs w:val="24"/>
          </w:rPr>
          <w:fldChar w:fldCharType="end"/>
        </w:r>
      </w:hyperlink>
    </w:p>
    <w:p w14:paraId="11CE252E" w14:textId="6A1B4E88" w:rsidR="007D5EA5" w:rsidRPr="00A4493C" w:rsidRDefault="00000000">
      <w:pPr>
        <w:pStyle w:val="TableofFigures"/>
        <w:tabs>
          <w:tab w:val="right" w:leader="dot" w:pos="9350"/>
        </w:tabs>
        <w:rPr>
          <w:rFonts w:ascii="Georgia" w:eastAsiaTheme="minorEastAsia" w:hAnsi="Georgia" w:cs="Times New Roman"/>
          <w:noProof/>
          <w:sz w:val="24"/>
          <w:szCs w:val="24"/>
          <w:lang w:eastAsia="en-GB"/>
        </w:rPr>
      </w:pPr>
      <w:hyperlink w:anchor="_Toc137745026" w:history="1">
        <w:r w:rsidR="007D5EA5" w:rsidRPr="00A4493C">
          <w:rPr>
            <w:rStyle w:val="Hyperlink"/>
            <w:rFonts w:ascii="Georgia" w:hAnsi="Georgia" w:cs="Times New Roman"/>
            <w:noProof/>
            <w:sz w:val="24"/>
            <w:szCs w:val="24"/>
          </w:rPr>
          <w:t>Table 7: Gender parity indices by category of education, 2015-2019</w:t>
        </w:r>
        <w:r w:rsidR="007D5EA5" w:rsidRPr="00A4493C">
          <w:rPr>
            <w:rFonts w:ascii="Georgia" w:hAnsi="Georgia" w:cs="Times New Roman"/>
            <w:noProof/>
            <w:webHidden/>
            <w:sz w:val="24"/>
            <w:szCs w:val="24"/>
          </w:rPr>
          <w:tab/>
        </w:r>
        <w:r w:rsidR="007D5EA5" w:rsidRPr="00A4493C">
          <w:rPr>
            <w:rFonts w:ascii="Georgia" w:hAnsi="Georgia" w:cs="Times New Roman"/>
            <w:noProof/>
            <w:webHidden/>
            <w:sz w:val="24"/>
            <w:szCs w:val="24"/>
          </w:rPr>
          <w:fldChar w:fldCharType="begin"/>
        </w:r>
        <w:r w:rsidR="007D5EA5" w:rsidRPr="00A4493C">
          <w:rPr>
            <w:rFonts w:ascii="Georgia" w:hAnsi="Georgia" w:cs="Times New Roman"/>
            <w:noProof/>
            <w:webHidden/>
            <w:sz w:val="24"/>
            <w:szCs w:val="24"/>
          </w:rPr>
          <w:instrText xml:space="preserve"> PAGEREF _Toc137745026 \h </w:instrText>
        </w:r>
        <w:r w:rsidR="007D5EA5" w:rsidRPr="00A4493C">
          <w:rPr>
            <w:rFonts w:ascii="Georgia" w:hAnsi="Georgia" w:cs="Times New Roman"/>
            <w:noProof/>
            <w:webHidden/>
            <w:sz w:val="24"/>
            <w:szCs w:val="24"/>
          </w:rPr>
        </w:r>
        <w:r w:rsidR="007D5EA5"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12</w:t>
        </w:r>
        <w:r w:rsidR="007D5EA5" w:rsidRPr="00A4493C">
          <w:rPr>
            <w:rFonts w:ascii="Georgia" w:hAnsi="Georgia" w:cs="Times New Roman"/>
            <w:noProof/>
            <w:webHidden/>
            <w:sz w:val="24"/>
            <w:szCs w:val="24"/>
          </w:rPr>
          <w:fldChar w:fldCharType="end"/>
        </w:r>
      </w:hyperlink>
    </w:p>
    <w:p w14:paraId="2C7518B3" w14:textId="12270A93" w:rsidR="007D5EA5" w:rsidRPr="00A4493C" w:rsidRDefault="00000000">
      <w:pPr>
        <w:pStyle w:val="TableofFigures"/>
        <w:tabs>
          <w:tab w:val="right" w:leader="dot" w:pos="9350"/>
        </w:tabs>
        <w:rPr>
          <w:rFonts w:ascii="Georgia" w:eastAsiaTheme="minorEastAsia" w:hAnsi="Georgia" w:cs="Times New Roman"/>
          <w:noProof/>
          <w:sz w:val="24"/>
          <w:szCs w:val="24"/>
          <w:lang w:eastAsia="en-GB"/>
        </w:rPr>
      </w:pPr>
      <w:hyperlink w:anchor="_Toc137745027" w:history="1">
        <w:r w:rsidR="007D5EA5" w:rsidRPr="00A4493C">
          <w:rPr>
            <w:rStyle w:val="Hyperlink"/>
            <w:rFonts w:ascii="Georgia" w:hAnsi="Georgia" w:cs="Times New Roman"/>
            <w:noProof/>
            <w:sz w:val="24"/>
            <w:szCs w:val="24"/>
          </w:rPr>
          <w:t>Table 8: Male and female shares of use of healthcare services, 1994-2015/16 (percent of total)</w:t>
        </w:r>
        <w:r w:rsidR="007D5EA5" w:rsidRPr="00A4493C">
          <w:rPr>
            <w:rFonts w:ascii="Georgia" w:hAnsi="Georgia" w:cs="Times New Roman"/>
            <w:noProof/>
            <w:webHidden/>
            <w:sz w:val="24"/>
            <w:szCs w:val="24"/>
          </w:rPr>
          <w:tab/>
        </w:r>
        <w:r w:rsidR="007D5EA5" w:rsidRPr="00A4493C">
          <w:rPr>
            <w:rFonts w:ascii="Georgia" w:hAnsi="Georgia" w:cs="Times New Roman"/>
            <w:noProof/>
            <w:webHidden/>
            <w:sz w:val="24"/>
            <w:szCs w:val="24"/>
          </w:rPr>
          <w:fldChar w:fldCharType="begin"/>
        </w:r>
        <w:r w:rsidR="007D5EA5" w:rsidRPr="00A4493C">
          <w:rPr>
            <w:rFonts w:ascii="Georgia" w:hAnsi="Georgia" w:cs="Times New Roman"/>
            <w:noProof/>
            <w:webHidden/>
            <w:sz w:val="24"/>
            <w:szCs w:val="24"/>
          </w:rPr>
          <w:instrText xml:space="preserve"> PAGEREF _Toc137745027 \h </w:instrText>
        </w:r>
        <w:r w:rsidR="007D5EA5" w:rsidRPr="00A4493C">
          <w:rPr>
            <w:rFonts w:ascii="Georgia" w:hAnsi="Georgia" w:cs="Times New Roman"/>
            <w:noProof/>
            <w:webHidden/>
            <w:sz w:val="24"/>
            <w:szCs w:val="24"/>
          </w:rPr>
        </w:r>
        <w:r w:rsidR="007D5EA5" w:rsidRPr="00A4493C">
          <w:rPr>
            <w:rFonts w:ascii="Georgia" w:hAnsi="Georgia" w:cs="Times New Roman"/>
            <w:noProof/>
            <w:webHidden/>
            <w:sz w:val="24"/>
            <w:szCs w:val="24"/>
          </w:rPr>
          <w:fldChar w:fldCharType="separate"/>
        </w:r>
        <w:r w:rsidR="000F6B8E" w:rsidRPr="00A4493C">
          <w:rPr>
            <w:rFonts w:ascii="Georgia" w:hAnsi="Georgia" w:cs="Times New Roman"/>
            <w:noProof/>
            <w:webHidden/>
            <w:sz w:val="24"/>
            <w:szCs w:val="24"/>
          </w:rPr>
          <w:t>13</w:t>
        </w:r>
        <w:r w:rsidR="007D5EA5" w:rsidRPr="00A4493C">
          <w:rPr>
            <w:rFonts w:ascii="Georgia" w:hAnsi="Georgia" w:cs="Times New Roman"/>
            <w:noProof/>
            <w:webHidden/>
            <w:sz w:val="24"/>
            <w:szCs w:val="24"/>
          </w:rPr>
          <w:fldChar w:fldCharType="end"/>
        </w:r>
      </w:hyperlink>
    </w:p>
    <w:p w14:paraId="54D83A6D" w14:textId="23414D57" w:rsidR="00DB6719" w:rsidRPr="00346D1C" w:rsidRDefault="007C2739" w:rsidP="008C01A1">
      <w:pPr>
        <w:rPr>
          <w:rFonts w:ascii="Georgia" w:eastAsiaTheme="majorEastAsia" w:hAnsi="Georgia" w:cs="Times New Roman"/>
          <w:sz w:val="24"/>
          <w:szCs w:val="24"/>
        </w:rPr>
      </w:pPr>
      <w:r w:rsidRPr="00A4493C">
        <w:rPr>
          <w:rFonts w:ascii="Georgia" w:eastAsia="Constantia" w:hAnsi="Georgia" w:cs="Times New Roman"/>
          <w:sz w:val="24"/>
          <w:szCs w:val="24"/>
          <w:lang w:eastAsia="en-GB"/>
        </w:rPr>
        <w:fldChar w:fldCharType="end"/>
      </w:r>
    </w:p>
    <w:p w14:paraId="188BF8C2" w14:textId="7A3B6715" w:rsidR="00DB6719" w:rsidRPr="00346D1C" w:rsidRDefault="00DB6719" w:rsidP="00A118F1">
      <w:pPr>
        <w:pStyle w:val="Heading1"/>
        <w:spacing w:before="0" w:line="240" w:lineRule="auto"/>
        <w:rPr>
          <w:rFonts w:ascii="Georgia" w:hAnsi="Georgia" w:cs="Times New Roman"/>
          <w:b/>
          <w:bCs/>
          <w:color w:val="auto"/>
        </w:rPr>
      </w:pPr>
      <w:bookmarkStart w:id="3" w:name="_Toc145928774"/>
      <w:r w:rsidRPr="00346D1C">
        <w:rPr>
          <w:rFonts w:ascii="Georgia" w:hAnsi="Georgia" w:cs="Times New Roman"/>
          <w:b/>
          <w:bCs/>
          <w:color w:val="auto"/>
        </w:rPr>
        <w:t>List of Acronyms</w:t>
      </w:r>
      <w:bookmarkEnd w:id="3"/>
    </w:p>
    <w:tbl>
      <w:tblPr>
        <w:tblStyle w:val="TableGrid"/>
        <w:tblpPr w:leftFromText="180" w:rightFromText="180" w:vertAnchor="page" w:horzAnchor="margin" w:tblpY="215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8543"/>
      </w:tblGrid>
      <w:tr w:rsidR="00C4108D" w:rsidRPr="00346D1C" w14:paraId="65BD47A4"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392161FD" w14:textId="386A8957" w:rsidR="00C4108D" w:rsidRPr="00346D1C" w:rsidRDefault="00C4108D" w:rsidP="005B509D">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AFD</w:t>
            </w:r>
          </w:p>
        </w:tc>
        <w:tc>
          <w:tcPr>
            <w:tcW w:w="4319" w:type="pct"/>
            <w:vAlign w:val="center"/>
          </w:tcPr>
          <w:p w14:paraId="50B909E4" w14:textId="7B31FB06" w:rsidR="00C4108D" w:rsidRPr="00346D1C" w:rsidRDefault="00C4108D" w:rsidP="009173B8">
            <w:pPr>
              <w:rPr>
                <w:rFonts w:ascii="Georgia" w:eastAsia="Constantia" w:hAnsi="Georgia" w:cs="Times New Roman"/>
                <w:bCs/>
                <w:sz w:val="24"/>
                <w:szCs w:val="24"/>
                <w:lang w:eastAsia="en-GB"/>
              </w:rPr>
            </w:pPr>
            <w:r w:rsidRPr="00346D1C">
              <w:rPr>
                <w:rFonts w:ascii="Georgia" w:hAnsi="Georgia" w:cs="Times New Roman"/>
                <w:i/>
                <w:iCs/>
                <w:sz w:val="24"/>
                <w:szCs w:val="24"/>
              </w:rPr>
              <w:t>Agence Française de Développement</w:t>
            </w:r>
            <w:r w:rsidR="00063629" w:rsidRPr="00346D1C">
              <w:rPr>
                <w:rFonts w:ascii="Georgia" w:hAnsi="Georgia" w:cs="Times New Roman"/>
                <w:sz w:val="24"/>
                <w:szCs w:val="24"/>
              </w:rPr>
              <w:t xml:space="preserve"> (French Development Agency)</w:t>
            </w:r>
          </w:p>
        </w:tc>
      </w:tr>
      <w:tr w:rsidR="004E73ED" w:rsidRPr="00346D1C" w14:paraId="6B0A9237"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53572578" w14:textId="08BF8AA6" w:rsidR="004E73ED" w:rsidRPr="00346D1C" w:rsidRDefault="004E73ED" w:rsidP="005B509D">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BETA</w:t>
            </w:r>
          </w:p>
        </w:tc>
        <w:tc>
          <w:tcPr>
            <w:tcW w:w="4319" w:type="pct"/>
            <w:vAlign w:val="center"/>
          </w:tcPr>
          <w:p w14:paraId="51454F93" w14:textId="7A2CFCE5" w:rsidR="004E73ED" w:rsidRPr="00346D1C" w:rsidRDefault="004E73ED" w:rsidP="009173B8">
            <w:pPr>
              <w:rPr>
                <w:rFonts w:ascii="Georgia" w:eastAsia="Constantia" w:hAnsi="Georgia" w:cs="Times New Roman"/>
                <w:bCs/>
                <w:sz w:val="24"/>
                <w:szCs w:val="24"/>
                <w:lang w:eastAsia="en-GB"/>
              </w:rPr>
            </w:pPr>
            <w:r w:rsidRPr="00346D1C">
              <w:rPr>
                <w:rFonts w:ascii="Georgia" w:eastAsia="Constantia" w:hAnsi="Georgia" w:cs="Times New Roman"/>
                <w:bCs/>
                <w:sz w:val="24"/>
                <w:szCs w:val="24"/>
                <w:lang w:eastAsia="en-GB"/>
              </w:rPr>
              <w:t>Bottom-up Economic Transformation Agenda</w:t>
            </w:r>
          </w:p>
        </w:tc>
      </w:tr>
      <w:tr w:rsidR="004558CA" w:rsidRPr="0056019D" w14:paraId="4ABB343C"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54D069CF" w14:textId="77777777" w:rsidR="004558CA" w:rsidRPr="00346D1C" w:rsidRDefault="004558CA" w:rsidP="005B509D">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BMZ</w:t>
            </w:r>
          </w:p>
        </w:tc>
        <w:tc>
          <w:tcPr>
            <w:tcW w:w="4319" w:type="pct"/>
            <w:vAlign w:val="center"/>
          </w:tcPr>
          <w:p w14:paraId="5A780DED" w14:textId="77777777" w:rsidR="004558CA" w:rsidRPr="0056019D" w:rsidRDefault="004558CA" w:rsidP="009173B8">
            <w:pPr>
              <w:rPr>
                <w:rFonts w:ascii="Georgia" w:hAnsi="Georgia" w:cs="Times New Roman"/>
                <w:sz w:val="24"/>
                <w:szCs w:val="24"/>
                <w:lang w:val="de-DE"/>
              </w:rPr>
            </w:pPr>
            <w:r w:rsidRPr="0056019D">
              <w:rPr>
                <w:rFonts w:ascii="Georgia" w:eastAsia="Constantia" w:hAnsi="Georgia" w:cs="Times New Roman"/>
                <w:bCs/>
                <w:i/>
                <w:iCs/>
                <w:sz w:val="24"/>
                <w:szCs w:val="24"/>
                <w:lang w:val="de-DE" w:eastAsia="en-GB"/>
              </w:rPr>
              <w:t>Bundesministerium für wirtschaftliche Zusammenarbeit und Entwicklung</w:t>
            </w:r>
            <w:r w:rsidRPr="0056019D">
              <w:rPr>
                <w:rFonts w:ascii="Georgia" w:eastAsia="Constantia" w:hAnsi="Georgia" w:cs="Times New Roman"/>
                <w:bCs/>
                <w:sz w:val="24"/>
                <w:szCs w:val="24"/>
                <w:lang w:val="de-DE" w:eastAsia="en-GB"/>
              </w:rPr>
              <w:t xml:space="preserve"> (Federal Ministry for Economic Cooperation and Development)</w:t>
            </w:r>
          </w:p>
        </w:tc>
      </w:tr>
      <w:tr w:rsidR="004558CA" w:rsidRPr="00346D1C" w14:paraId="271EAD92"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0ACFB44C" w14:textId="77777777" w:rsidR="004558CA" w:rsidRPr="00346D1C" w:rsidRDefault="004558CA" w:rsidP="005B509D">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CEQ</w:t>
            </w:r>
          </w:p>
        </w:tc>
        <w:tc>
          <w:tcPr>
            <w:tcW w:w="4319" w:type="pct"/>
            <w:vAlign w:val="center"/>
          </w:tcPr>
          <w:p w14:paraId="5D447A8F" w14:textId="77777777" w:rsidR="004558CA" w:rsidRPr="00346D1C" w:rsidRDefault="004558CA" w:rsidP="009173B8">
            <w:pPr>
              <w:rPr>
                <w:rFonts w:ascii="Georgia" w:hAnsi="Georgia" w:cs="Times New Roman"/>
                <w:sz w:val="24"/>
                <w:szCs w:val="24"/>
              </w:rPr>
            </w:pPr>
            <w:r w:rsidRPr="00346D1C">
              <w:rPr>
                <w:rFonts w:ascii="Georgia" w:eastAsia="Constantia" w:hAnsi="Georgia" w:cs="Times New Roman"/>
                <w:bCs/>
                <w:sz w:val="24"/>
                <w:szCs w:val="24"/>
                <w:lang w:eastAsia="en-GB"/>
              </w:rPr>
              <w:t>Commitment to Equity Institute</w:t>
            </w:r>
          </w:p>
        </w:tc>
      </w:tr>
      <w:tr w:rsidR="00562F90" w:rsidRPr="00346D1C" w14:paraId="39BA7858"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71443C7D" w14:textId="3B0F6E6E" w:rsidR="00562F90" w:rsidRPr="00346D1C" w:rsidRDefault="00562F90" w:rsidP="005B509D">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CSPS</w:t>
            </w:r>
          </w:p>
        </w:tc>
        <w:tc>
          <w:tcPr>
            <w:tcW w:w="4319" w:type="pct"/>
            <w:vAlign w:val="center"/>
          </w:tcPr>
          <w:p w14:paraId="61D1691D" w14:textId="2A212E73" w:rsidR="00562F90" w:rsidRPr="00346D1C" w:rsidRDefault="00562F90" w:rsidP="009173B8">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Civil Service Pension Scheme</w:t>
            </w:r>
          </w:p>
        </w:tc>
      </w:tr>
      <w:tr w:rsidR="00A4581C" w:rsidRPr="00346D1C" w14:paraId="2E392F24"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4D55DFAB" w14:textId="7D530252" w:rsidR="00A4581C" w:rsidRPr="00346D1C" w:rsidRDefault="00A4581C" w:rsidP="005B509D">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CT-OVC</w:t>
            </w:r>
          </w:p>
        </w:tc>
        <w:tc>
          <w:tcPr>
            <w:tcW w:w="4319" w:type="pct"/>
            <w:vAlign w:val="center"/>
          </w:tcPr>
          <w:p w14:paraId="727283DA" w14:textId="1EC0280E" w:rsidR="00A4581C" w:rsidRPr="00346D1C" w:rsidRDefault="00A4581C" w:rsidP="009173B8">
            <w:pPr>
              <w:rPr>
                <w:rFonts w:ascii="Georgia" w:hAnsi="Georgia" w:cs="Times New Roman"/>
                <w:sz w:val="24"/>
                <w:szCs w:val="24"/>
              </w:rPr>
            </w:pPr>
            <w:r w:rsidRPr="00346D1C">
              <w:rPr>
                <w:rFonts w:ascii="Georgia" w:eastAsia="Constantia" w:hAnsi="Georgia" w:cs="Times New Roman"/>
                <w:sz w:val="24"/>
                <w:szCs w:val="24"/>
                <w:lang w:eastAsia="en-GB"/>
              </w:rPr>
              <w:t>Cash Transfers to Orphans and Vulnerable Children</w:t>
            </w:r>
          </w:p>
        </w:tc>
      </w:tr>
      <w:tr w:rsidR="004558CA" w:rsidRPr="00346D1C" w14:paraId="221CC214"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5EF589E9" w14:textId="77777777" w:rsidR="004558CA" w:rsidRPr="00346D1C" w:rsidRDefault="004558CA" w:rsidP="005B509D">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CIT</w:t>
            </w:r>
          </w:p>
        </w:tc>
        <w:tc>
          <w:tcPr>
            <w:tcW w:w="4319" w:type="pct"/>
            <w:vAlign w:val="center"/>
          </w:tcPr>
          <w:p w14:paraId="0CB8A19D" w14:textId="77777777" w:rsidR="004558CA" w:rsidRPr="00346D1C" w:rsidRDefault="004558CA" w:rsidP="009173B8">
            <w:pPr>
              <w:rPr>
                <w:rFonts w:ascii="Georgia" w:hAnsi="Georgia" w:cs="Times New Roman"/>
                <w:sz w:val="24"/>
                <w:szCs w:val="24"/>
              </w:rPr>
            </w:pPr>
            <w:r w:rsidRPr="00346D1C">
              <w:rPr>
                <w:rFonts w:ascii="Georgia" w:hAnsi="Georgia" w:cs="Times New Roman"/>
                <w:sz w:val="24"/>
                <w:szCs w:val="24"/>
              </w:rPr>
              <w:t>Corporate Income Tax</w:t>
            </w:r>
          </w:p>
        </w:tc>
      </w:tr>
      <w:tr w:rsidR="00604455" w:rsidRPr="00346D1C" w14:paraId="5B2EBCE6"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3EE4ED50" w14:textId="249FF34F" w:rsidR="00604455" w:rsidRPr="00346D1C" w:rsidRDefault="00604455"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EAP</w:t>
            </w:r>
          </w:p>
        </w:tc>
        <w:tc>
          <w:tcPr>
            <w:tcW w:w="4319" w:type="pct"/>
            <w:vAlign w:val="center"/>
          </w:tcPr>
          <w:p w14:paraId="6F70F332" w14:textId="3555C87E" w:rsidR="00604455" w:rsidRPr="00346D1C" w:rsidRDefault="00604455" w:rsidP="00BA0805">
            <w:pPr>
              <w:rPr>
                <w:rFonts w:ascii="Georgia" w:eastAsia="Constantia" w:hAnsi="Georgia" w:cs="Times New Roman"/>
                <w:bCs/>
                <w:sz w:val="24"/>
                <w:szCs w:val="24"/>
                <w:lang w:eastAsia="en-GB"/>
              </w:rPr>
            </w:pPr>
            <w:r w:rsidRPr="00346D1C">
              <w:rPr>
                <w:rFonts w:ascii="Georgia" w:eastAsia="Constantia" w:hAnsi="Georgia" w:cs="Times New Roman"/>
                <w:bCs/>
                <w:sz w:val="24"/>
                <w:szCs w:val="24"/>
                <w:lang w:eastAsia="en-GB"/>
              </w:rPr>
              <w:t>Economically Active Population</w:t>
            </w:r>
          </w:p>
        </w:tc>
      </w:tr>
      <w:tr w:rsidR="004558CA" w:rsidRPr="00346D1C" w14:paraId="19F95189"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4EABEE6F"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EPL</w:t>
            </w:r>
          </w:p>
        </w:tc>
        <w:tc>
          <w:tcPr>
            <w:tcW w:w="4319" w:type="pct"/>
            <w:vAlign w:val="center"/>
          </w:tcPr>
          <w:p w14:paraId="34E6EC05"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Employment Protection Legislation</w:t>
            </w:r>
          </w:p>
        </w:tc>
      </w:tr>
      <w:tr w:rsidR="004558CA" w:rsidRPr="00346D1C" w14:paraId="6709ECBA"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0CB9C6D2"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GDC</w:t>
            </w:r>
          </w:p>
        </w:tc>
        <w:tc>
          <w:tcPr>
            <w:tcW w:w="4319" w:type="pct"/>
            <w:vAlign w:val="center"/>
          </w:tcPr>
          <w:p w14:paraId="4E0D15CB"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German Development Cooperation</w:t>
            </w:r>
          </w:p>
        </w:tc>
      </w:tr>
      <w:tr w:rsidR="004558CA" w:rsidRPr="00346D1C" w14:paraId="39979D29"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02CB8F90"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GDP</w:t>
            </w:r>
          </w:p>
        </w:tc>
        <w:tc>
          <w:tcPr>
            <w:tcW w:w="4319" w:type="pct"/>
            <w:vAlign w:val="center"/>
          </w:tcPr>
          <w:p w14:paraId="564F41AE"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Gross Domestic Product</w:t>
            </w:r>
          </w:p>
        </w:tc>
      </w:tr>
      <w:tr w:rsidR="004558CA" w:rsidRPr="00346D1C" w14:paraId="4628F5FE"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0874FC6C" w14:textId="1F942CC1" w:rsidR="004558CA" w:rsidRPr="00346D1C" w:rsidRDefault="00857A3E"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HSNP</w:t>
            </w:r>
          </w:p>
        </w:tc>
        <w:tc>
          <w:tcPr>
            <w:tcW w:w="4319" w:type="pct"/>
            <w:vAlign w:val="center"/>
          </w:tcPr>
          <w:p w14:paraId="0B047C80" w14:textId="6A2DC4E7" w:rsidR="004558CA" w:rsidRPr="00346D1C" w:rsidRDefault="00857A3E" w:rsidP="00A24E19">
            <w:pPr>
              <w:rPr>
                <w:rFonts w:ascii="Georgia" w:hAnsi="Georgia" w:cs="Times New Roman"/>
                <w:sz w:val="24"/>
                <w:szCs w:val="24"/>
                <w:lang w:eastAsia="en-GB"/>
              </w:rPr>
            </w:pPr>
            <w:r w:rsidRPr="00346D1C">
              <w:rPr>
                <w:rFonts w:ascii="Georgia" w:eastAsia="Constantia" w:hAnsi="Georgia" w:cs="Times New Roman"/>
                <w:sz w:val="24"/>
                <w:szCs w:val="24"/>
                <w:lang w:eastAsia="en-GB"/>
              </w:rPr>
              <w:t>Hunger Safety Net Programme</w:t>
            </w:r>
          </w:p>
        </w:tc>
      </w:tr>
      <w:tr w:rsidR="004558CA" w:rsidRPr="0056019D" w14:paraId="6CD8B72D"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2C71F3A8"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GIZ</w:t>
            </w:r>
          </w:p>
        </w:tc>
        <w:tc>
          <w:tcPr>
            <w:tcW w:w="4319" w:type="pct"/>
            <w:vAlign w:val="center"/>
          </w:tcPr>
          <w:p w14:paraId="2A9D3A77" w14:textId="4BFB93B8" w:rsidR="004558CA" w:rsidRPr="0056019D" w:rsidRDefault="004558CA" w:rsidP="00BD49D1">
            <w:pPr>
              <w:rPr>
                <w:rFonts w:ascii="Georgia" w:hAnsi="Georgia" w:cs="Times New Roman"/>
                <w:sz w:val="24"/>
                <w:szCs w:val="24"/>
                <w:lang w:val="de-DE" w:eastAsia="en-GB"/>
              </w:rPr>
            </w:pPr>
            <w:r w:rsidRPr="0056019D">
              <w:rPr>
                <w:rFonts w:ascii="Georgia" w:hAnsi="Georgia" w:cs="Times New Roman"/>
                <w:i/>
                <w:iCs/>
                <w:sz w:val="24"/>
                <w:szCs w:val="24"/>
                <w:lang w:val="de-DE" w:eastAsia="en-GB"/>
              </w:rPr>
              <w:t>Deutsche Gesellschaft für Internationale Zusammenarbeit</w:t>
            </w:r>
            <w:r w:rsidRPr="0056019D">
              <w:rPr>
                <w:rFonts w:ascii="Georgia" w:hAnsi="Georgia" w:cs="Times New Roman"/>
                <w:sz w:val="24"/>
                <w:szCs w:val="24"/>
                <w:lang w:val="de-DE" w:eastAsia="en-GB"/>
              </w:rPr>
              <w:t xml:space="preserve"> </w:t>
            </w:r>
            <w:r w:rsidR="00F34571" w:rsidRPr="0056019D">
              <w:rPr>
                <w:lang w:val="de-DE"/>
              </w:rPr>
              <w:t xml:space="preserve"> </w:t>
            </w:r>
            <w:r w:rsidR="00F34571" w:rsidRPr="0056019D">
              <w:rPr>
                <w:rFonts w:ascii="Georgia" w:hAnsi="Georgia" w:cs="Times New Roman"/>
                <w:sz w:val="24"/>
                <w:szCs w:val="24"/>
                <w:lang w:val="de-DE" w:eastAsia="en-GB"/>
              </w:rPr>
              <w:t>GmBH</w:t>
            </w:r>
          </w:p>
        </w:tc>
      </w:tr>
      <w:tr w:rsidR="00F34BA5" w:rsidRPr="00346D1C" w14:paraId="0A1890CB"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01BED67D" w14:textId="658F3452" w:rsidR="00F34BA5" w:rsidRPr="00346D1C" w:rsidRDefault="00F34BA5"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IDP</w:t>
            </w:r>
          </w:p>
        </w:tc>
        <w:tc>
          <w:tcPr>
            <w:tcW w:w="4319" w:type="pct"/>
            <w:vAlign w:val="center"/>
          </w:tcPr>
          <w:p w14:paraId="11371B22" w14:textId="0B8FFEF4" w:rsidR="00F34BA5" w:rsidRPr="00346D1C" w:rsidRDefault="00F34BA5" w:rsidP="00BA0805">
            <w:pPr>
              <w:pStyle w:val="CommentText"/>
              <w:rPr>
                <w:rFonts w:ascii="Georgia" w:hAnsi="Georgia" w:cs="Times New Roman"/>
                <w:sz w:val="24"/>
                <w:szCs w:val="24"/>
              </w:rPr>
            </w:pPr>
            <w:r w:rsidRPr="00346D1C">
              <w:rPr>
                <w:rFonts w:ascii="Georgia" w:hAnsi="Georgia" w:cs="Times New Roman"/>
                <w:sz w:val="24"/>
                <w:szCs w:val="24"/>
              </w:rPr>
              <w:t>Internally Displaced People</w:t>
            </w:r>
          </w:p>
        </w:tc>
      </w:tr>
      <w:tr w:rsidR="004558CA" w:rsidRPr="00346D1C" w14:paraId="26C51D5B"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7FD5F377"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ILO</w:t>
            </w:r>
          </w:p>
        </w:tc>
        <w:tc>
          <w:tcPr>
            <w:tcW w:w="4319" w:type="pct"/>
            <w:vAlign w:val="center"/>
          </w:tcPr>
          <w:p w14:paraId="4DEA0B6C" w14:textId="77777777" w:rsidR="004558CA" w:rsidRPr="00346D1C" w:rsidRDefault="004558CA" w:rsidP="00BA0805">
            <w:pPr>
              <w:pStyle w:val="CommentText"/>
              <w:rPr>
                <w:rFonts w:ascii="Georgia" w:hAnsi="Georgia" w:cs="Times New Roman"/>
                <w:sz w:val="24"/>
                <w:szCs w:val="24"/>
              </w:rPr>
            </w:pPr>
            <w:r w:rsidRPr="00346D1C">
              <w:rPr>
                <w:rFonts w:ascii="Georgia" w:hAnsi="Georgia" w:cs="Times New Roman"/>
                <w:sz w:val="24"/>
                <w:szCs w:val="24"/>
              </w:rPr>
              <w:t>International Labour Organization</w:t>
            </w:r>
          </w:p>
        </w:tc>
      </w:tr>
      <w:tr w:rsidR="00F64302" w:rsidRPr="00346D1C" w14:paraId="6701FC26"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341B23C9" w14:textId="1EF08172" w:rsidR="00F64302" w:rsidRPr="00346D1C" w:rsidRDefault="00F96AE3"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KIHBS</w:t>
            </w:r>
          </w:p>
        </w:tc>
        <w:tc>
          <w:tcPr>
            <w:tcW w:w="4319" w:type="pct"/>
            <w:vAlign w:val="center"/>
          </w:tcPr>
          <w:p w14:paraId="10389D94" w14:textId="77FB3E37" w:rsidR="00F64302" w:rsidRPr="00346D1C" w:rsidRDefault="00F96AE3" w:rsidP="00F96AE3">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Kenya Integrated Household Budget Survey</w:t>
            </w:r>
          </w:p>
        </w:tc>
      </w:tr>
      <w:tr w:rsidR="0000516F" w:rsidRPr="00346D1C" w14:paraId="7726768E"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653F668F" w14:textId="413E0874" w:rsidR="0000516F" w:rsidRPr="00346D1C" w:rsidRDefault="0000516F"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KIPPRA</w:t>
            </w:r>
          </w:p>
        </w:tc>
        <w:tc>
          <w:tcPr>
            <w:tcW w:w="4319" w:type="pct"/>
            <w:vAlign w:val="center"/>
          </w:tcPr>
          <w:p w14:paraId="4C4E6932" w14:textId="5EB6D7F9" w:rsidR="0000516F" w:rsidRPr="00346D1C" w:rsidRDefault="0000516F" w:rsidP="0000516F">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Kenya Institute for Public Policy Research and Analysis</w:t>
            </w:r>
          </w:p>
        </w:tc>
      </w:tr>
      <w:tr w:rsidR="00F64302" w:rsidRPr="00346D1C" w14:paraId="7E8848E6"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0AD5742E" w14:textId="356E62D8" w:rsidR="00F64302" w:rsidRPr="00346D1C" w:rsidRDefault="00F64302"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KNBS</w:t>
            </w:r>
          </w:p>
        </w:tc>
        <w:tc>
          <w:tcPr>
            <w:tcW w:w="4319" w:type="pct"/>
            <w:vAlign w:val="center"/>
          </w:tcPr>
          <w:p w14:paraId="39D6BFC9" w14:textId="291EB81D" w:rsidR="00F64302" w:rsidRPr="00346D1C" w:rsidRDefault="00F64302"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Kenya National Bureau of Statistics</w:t>
            </w:r>
          </w:p>
        </w:tc>
      </w:tr>
      <w:tr w:rsidR="004558CA" w:rsidRPr="00346D1C" w14:paraId="5E17280F"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3BC157F3"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LNOB</w:t>
            </w:r>
          </w:p>
        </w:tc>
        <w:tc>
          <w:tcPr>
            <w:tcW w:w="4319" w:type="pct"/>
            <w:vAlign w:val="center"/>
          </w:tcPr>
          <w:p w14:paraId="0357E5CA"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Leave No One Behind</w:t>
            </w:r>
          </w:p>
        </w:tc>
      </w:tr>
      <w:tr w:rsidR="004558CA" w:rsidRPr="00346D1C" w14:paraId="46816808"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3968B1B3"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ODA</w:t>
            </w:r>
          </w:p>
        </w:tc>
        <w:tc>
          <w:tcPr>
            <w:tcW w:w="4319" w:type="pct"/>
            <w:vAlign w:val="center"/>
          </w:tcPr>
          <w:p w14:paraId="0075E93D"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bCs/>
                <w:sz w:val="24"/>
                <w:szCs w:val="24"/>
                <w:lang w:eastAsia="en-GB"/>
              </w:rPr>
              <w:t>Official Development Assistance</w:t>
            </w:r>
          </w:p>
        </w:tc>
      </w:tr>
      <w:tr w:rsidR="004558CA" w:rsidRPr="00346D1C" w14:paraId="352AA750"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6D80CE73"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OECD</w:t>
            </w:r>
          </w:p>
        </w:tc>
        <w:tc>
          <w:tcPr>
            <w:tcW w:w="4319" w:type="pct"/>
            <w:vAlign w:val="center"/>
          </w:tcPr>
          <w:p w14:paraId="017D0B64"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Organisation for Economic Co-operation and Development</w:t>
            </w:r>
          </w:p>
        </w:tc>
      </w:tr>
      <w:tr w:rsidR="00CF3F29" w:rsidRPr="00346D1C" w14:paraId="57338A4C"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4096BD2C" w14:textId="3F2DE46C" w:rsidR="00CF3F29" w:rsidRPr="00346D1C" w:rsidRDefault="00CF3F29"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OPCT</w:t>
            </w:r>
          </w:p>
        </w:tc>
        <w:tc>
          <w:tcPr>
            <w:tcW w:w="4319" w:type="pct"/>
            <w:vAlign w:val="center"/>
          </w:tcPr>
          <w:p w14:paraId="71E41CD8" w14:textId="7FF61DAB" w:rsidR="00CF3F29" w:rsidRPr="00346D1C" w:rsidRDefault="00CF3F29" w:rsidP="00BA0805">
            <w:pPr>
              <w:rPr>
                <w:rFonts w:ascii="Georgia" w:hAnsi="Georgia" w:cs="Times New Roman"/>
                <w:sz w:val="24"/>
                <w:szCs w:val="24"/>
              </w:rPr>
            </w:pPr>
            <w:r w:rsidRPr="00346D1C">
              <w:rPr>
                <w:rFonts w:ascii="Georgia" w:eastAsia="Constantia" w:hAnsi="Georgia" w:cs="Times New Roman"/>
                <w:sz w:val="24"/>
                <w:szCs w:val="24"/>
                <w:lang w:eastAsia="en-GB"/>
              </w:rPr>
              <w:t>Older Persons Cash Transfer</w:t>
            </w:r>
          </w:p>
        </w:tc>
      </w:tr>
      <w:tr w:rsidR="00AC1C5A" w:rsidRPr="00346D1C" w14:paraId="7182F852"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4D9E9782" w14:textId="66653EB0" w:rsidR="00AC1C5A" w:rsidRPr="00346D1C" w:rsidRDefault="00AC1C5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MoH</w:t>
            </w:r>
          </w:p>
        </w:tc>
        <w:tc>
          <w:tcPr>
            <w:tcW w:w="4319" w:type="pct"/>
            <w:vAlign w:val="center"/>
          </w:tcPr>
          <w:p w14:paraId="582729FF" w14:textId="444B33FF" w:rsidR="00AC1C5A" w:rsidRPr="00346D1C" w:rsidRDefault="00AC1C5A" w:rsidP="00BA0805">
            <w:pPr>
              <w:rPr>
                <w:rFonts w:ascii="Georgia" w:hAnsi="Georgia" w:cs="Times New Roman"/>
                <w:sz w:val="24"/>
                <w:szCs w:val="24"/>
              </w:rPr>
            </w:pPr>
            <w:r w:rsidRPr="00346D1C">
              <w:rPr>
                <w:rFonts w:ascii="Georgia" w:hAnsi="Georgia" w:cs="Times New Roman"/>
                <w:sz w:val="24"/>
                <w:szCs w:val="24"/>
              </w:rPr>
              <w:t>Ministry of Health</w:t>
            </w:r>
          </w:p>
        </w:tc>
      </w:tr>
      <w:tr w:rsidR="00FA51D5" w:rsidRPr="00346D1C" w14:paraId="14ABDC69"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18486554" w14:textId="2D009FE5" w:rsidR="00FA51D5" w:rsidRPr="00346D1C" w:rsidRDefault="00544050"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w:t>
            </w:r>
            <w:r w:rsidR="00077D20" w:rsidRPr="00346D1C">
              <w:rPr>
                <w:rFonts w:ascii="Georgia" w:eastAsia="Constantia" w:hAnsi="Georgia" w:cs="Times New Roman"/>
                <w:color w:val="000000" w:themeColor="text1"/>
                <w:sz w:val="24"/>
                <w:szCs w:val="24"/>
                <w:lang w:eastAsia="en-GB"/>
              </w:rPr>
              <w:t>o</w:t>
            </w:r>
            <w:r w:rsidRPr="00346D1C">
              <w:rPr>
                <w:rFonts w:ascii="Georgia" w:eastAsia="Constantia" w:hAnsi="Georgia" w:cs="Times New Roman"/>
                <w:color w:val="000000" w:themeColor="text1"/>
                <w:sz w:val="24"/>
                <w:szCs w:val="24"/>
                <w:lang w:eastAsia="en-GB"/>
              </w:rPr>
              <w:t>L&amp;SP</w:t>
            </w:r>
          </w:p>
        </w:tc>
        <w:tc>
          <w:tcPr>
            <w:tcW w:w="4319" w:type="pct"/>
            <w:vAlign w:val="center"/>
          </w:tcPr>
          <w:p w14:paraId="2C6408A1" w14:textId="75F260A8" w:rsidR="00FA51D5" w:rsidRPr="00346D1C" w:rsidRDefault="00FA51D5" w:rsidP="00BA0805">
            <w:pPr>
              <w:rPr>
                <w:rFonts w:ascii="Georgia" w:hAnsi="Georgia" w:cs="Times New Roman"/>
                <w:sz w:val="24"/>
                <w:szCs w:val="24"/>
              </w:rPr>
            </w:pPr>
            <w:r w:rsidRPr="00346D1C">
              <w:rPr>
                <w:rFonts w:ascii="Georgia" w:hAnsi="Georgia" w:cs="Times New Roman"/>
                <w:sz w:val="24"/>
                <w:szCs w:val="24"/>
              </w:rPr>
              <w:t>Ministry of Labour and Social Protection</w:t>
            </w:r>
          </w:p>
        </w:tc>
      </w:tr>
      <w:tr w:rsidR="00947305" w:rsidRPr="00346D1C" w14:paraId="7907285B"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25121C23" w14:textId="7BEEF0FE" w:rsidR="00947305" w:rsidRPr="00346D1C" w:rsidRDefault="00947305"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MoL</w:t>
            </w:r>
          </w:p>
        </w:tc>
        <w:tc>
          <w:tcPr>
            <w:tcW w:w="4319" w:type="pct"/>
            <w:vAlign w:val="center"/>
          </w:tcPr>
          <w:p w14:paraId="42CE2250" w14:textId="7369E202" w:rsidR="00947305" w:rsidRPr="00346D1C" w:rsidRDefault="00947305" w:rsidP="00BA0805">
            <w:pPr>
              <w:rPr>
                <w:rFonts w:ascii="Georgia" w:eastAsia="Constantia" w:hAnsi="Georgia" w:cs="Times New Roman"/>
                <w:sz w:val="24"/>
                <w:szCs w:val="24"/>
                <w:lang w:eastAsia="en-GB"/>
              </w:rPr>
            </w:pPr>
            <w:r w:rsidRPr="00346D1C">
              <w:rPr>
                <w:rFonts w:ascii="Georgia" w:hAnsi="Georgia" w:cs="Times New Roman"/>
                <w:sz w:val="24"/>
                <w:szCs w:val="24"/>
              </w:rPr>
              <w:t>Ministry of Labour</w:t>
            </w:r>
          </w:p>
        </w:tc>
      </w:tr>
      <w:tr w:rsidR="00077D20" w:rsidRPr="00346D1C" w14:paraId="6B003147"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03CF23F8" w14:textId="144D8D44" w:rsidR="00077D20" w:rsidRPr="00346D1C" w:rsidRDefault="00077D20"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MTP</w:t>
            </w:r>
          </w:p>
        </w:tc>
        <w:tc>
          <w:tcPr>
            <w:tcW w:w="4319" w:type="pct"/>
            <w:vAlign w:val="center"/>
          </w:tcPr>
          <w:p w14:paraId="3CA397B8" w14:textId="5F09C691" w:rsidR="00077D20" w:rsidRPr="00346D1C" w:rsidRDefault="00077D20"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Medium-Term Plan</w:t>
            </w:r>
          </w:p>
        </w:tc>
      </w:tr>
      <w:tr w:rsidR="00CD61E9" w:rsidRPr="00346D1C" w14:paraId="1604F5CB"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3F5C217F" w14:textId="343AD13B" w:rsidR="00CD61E9" w:rsidRPr="00346D1C" w:rsidRDefault="00CD61E9"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NGEC</w:t>
            </w:r>
          </w:p>
        </w:tc>
        <w:tc>
          <w:tcPr>
            <w:tcW w:w="4319" w:type="pct"/>
            <w:vAlign w:val="center"/>
          </w:tcPr>
          <w:p w14:paraId="4C7DED49" w14:textId="036EF78F" w:rsidR="00CD61E9" w:rsidRPr="00346D1C" w:rsidRDefault="00CD61E9"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National Gender and Equality Commission</w:t>
            </w:r>
          </w:p>
        </w:tc>
      </w:tr>
      <w:tr w:rsidR="00C321EE" w:rsidRPr="00346D1C" w14:paraId="293F0863"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389C5039" w14:textId="3AD1502E" w:rsidR="00C321EE" w:rsidRPr="00346D1C" w:rsidRDefault="00562F90"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NHIF</w:t>
            </w:r>
          </w:p>
        </w:tc>
        <w:tc>
          <w:tcPr>
            <w:tcW w:w="4319" w:type="pct"/>
            <w:vAlign w:val="center"/>
          </w:tcPr>
          <w:p w14:paraId="5FBE7944" w14:textId="17EAC906" w:rsidR="00C321EE" w:rsidRPr="00346D1C" w:rsidRDefault="00562F90" w:rsidP="00BA0805">
            <w:pPr>
              <w:rPr>
                <w:rFonts w:ascii="Georgia" w:hAnsi="Georgia" w:cs="Times New Roman"/>
                <w:sz w:val="24"/>
                <w:szCs w:val="24"/>
              </w:rPr>
            </w:pPr>
            <w:r w:rsidRPr="00346D1C">
              <w:rPr>
                <w:rFonts w:ascii="Georgia" w:eastAsia="Constantia" w:hAnsi="Georgia" w:cs="Times New Roman"/>
                <w:sz w:val="24"/>
                <w:szCs w:val="24"/>
                <w:lang w:eastAsia="en-GB"/>
              </w:rPr>
              <w:t>National H</w:t>
            </w:r>
            <w:r w:rsidR="0016700A" w:rsidRPr="00346D1C">
              <w:rPr>
                <w:rFonts w:ascii="Georgia" w:eastAsia="Constantia" w:hAnsi="Georgia" w:cs="Times New Roman"/>
                <w:sz w:val="24"/>
                <w:szCs w:val="24"/>
                <w:lang w:eastAsia="en-GB"/>
              </w:rPr>
              <w:t>ospital</w:t>
            </w:r>
            <w:r w:rsidRPr="00346D1C">
              <w:rPr>
                <w:rFonts w:ascii="Georgia" w:eastAsia="Constantia" w:hAnsi="Georgia" w:cs="Times New Roman"/>
                <w:sz w:val="24"/>
                <w:szCs w:val="24"/>
                <w:lang w:eastAsia="en-GB"/>
              </w:rPr>
              <w:t xml:space="preserve"> Insurance Fund</w:t>
            </w:r>
          </w:p>
        </w:tc>
      </w:tr>
      <w:tr w:rsidR="00C321EE" w:rsidRPr="00346D1C" w14:paraId="37967D4E"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390AE614" w14:textId="56DF864F" w:rsidR="00C321EE" w:rsidRPr="00346D1C" w:rsidRDefault="00562F90"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NSSF</w:t>
            </w:r>
          </w:p>
        </w:tc>
        <w:tc>
          <w:tcPr>
            <w:tcW w:w="4319" w:type="pct"/>
            <w:vAlign w:val="center"/>
          </w:tcPr>
          <w:p w14:paraId="72295B0A" w14:textId="3EAECC6A" w:rsidR="00C321EE" w:rsidRPr="00346D1C" w:rsidRDefault="00562F90" w:rsidP="00BA0805">
            <w:pPr>
              <w:rPr>
                <w:rFonts w:ascii="Georgia" w:hAnsi="Georgia" w:cs="Times New Roman"/>
                <w:sz w:val="24"/>
                <w:szCs w:val="24"/>
              </w:rPr>
            </w:pPr>
            <w:r w:rsidRPr="00346D1C">
              <w:rPr>
                <w:rFonts w:ascii="Georgia" w:eastAsia="Constantia" w:hAnsi="Georgia" w:cs="Times New Roman"/>
                <w:sz w:val="24"/>
                <w:szCs w:val="24"/>
                <w:lang w:eastAsia="en-GB"/>
              </w:rPr>
              <w:t>National Social Security Fund</w:t>
            </w:r>
          </w:p>
        </w:tc>
      </w:tr>
      <w:tr w:rsidR="004558CA" w:rsidRPr="00346D1C" w14:paraId="2C477D89"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40617371"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PIT</w:t>
            </w:r>
          </w:p>
        </w:tc>
        <w:tc>
          <w:tcPr>
            <w:tcW w:w="4319" w:type="pct"/>
            <w:vAlign w:val="center"/>
          </w:tcPr>
          <w:p w14:paraId="7596910C" w14:textId="77777777" w:rsidR="004558CA" w:rsidRPr="00346D1C" w:rsidRDefault="004558CA" w:rsidP="00BA0805">
            <w:pPr>
              <w:rPr>
                <w:rFonts w:ascii="Georgia" w:hAnsi="Georgia" w:cs="Times New Roman"/>
                <w:sz w:val="24"/>
                <w:szCs w:val="24"/>
              </w:rPr>
            </w:pPr>
            <w:r w:rsidRPr="00346D1C">
              <w:rPr>
                <w:rFonts w:ascii="Georgia" w:hAnsi="Georgia" w:cs="Times New Roman"/>
                <w:sz w:val="24"/>
                <w:szCs w:val="24"/>
              </w:rPr>
              <w:t>Personal Income Tax</w:t>
            </w:r>
          </w:p>
        </w:tc>
      </w:tr>
      <w:tr w:rsidR="002E4C04" w:rsidRPr="00346D1C" w14:paraId="590D3D04"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131A2EF0" w14:textId="07D43255" w:rsidR="002E4C04" w:rsidRPr="00346D1C" w:rsidRDefault="002E4C04"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PWSD-CT</w:t>
            </w:r>
          </w:p>
        </w:tc>
        <w:tc>
          <w:tcPr>
            <w:tcW w:w="4319" w:type="pct"/>
            <w:vAlign w:val="center"/>
          </w:tcPr>
          <w:p w14:paraId="6E875678" w14:textId="09841F43" w:rsidR="002E4C04" w:rsidRPr="00346D1C" w:rsidRDefault="002E4C04" w:rsidP="00BA0805">
            <w:pPr>
              <w:rPr>
                <w:rFonts w:ascii="Georgia" w:hAnsi="Georgia" w:cs="Times New Roman"/>
                <w:sz w:val="24"/>
                <w:szCs w:val="24"/>
              </w:rPr>
            </w:pPr>
            <w:r w:rsidRPr="00346D1C">
              <w:rPr>
                <w:rFonts w:ascii="Georgia" w:eastAsia="Constantia" w:hAnsi="Georgia" w:cs="Times New Roman"/>
                <w:sz w:val="24"/>
                <w:szCs w:val="24"/>
                <w:lang w:eastAsia="en-GB"/>
              </w:rPr>
              <w:t>Persons with Severe Disability Cash Transfers</w:t>
            </w:r>
          </w:p>
        </w:tc>
      </w:tr>
      <w:tr w:rsidR="004558CA" w:rsidRPr="00346D1C" w14:paraId="2B07B629"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4DA7B421"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SDG</w:t>
            </w:r>
          </w:p>
        </w:tc>
        <w:tc>
          <w:tcPr>
            <w:tcW w:w="4319" w:type="pct"/>
            <w:vAlign w:val="center"/>
          </w:tcPr>
          <w:p w14:paraId="35B63B24" w14:textId="77777777" w:rsidR="004558CA" w:rsidRPr="00346D1C" w:rsidRDefault="004558CA" w:rsidP="00BA0805">
            <w:pPr>
              <w:rPr>
                <w:rFonts w:ascii="Georgia" w:hAnsi="Georgia" w:cs="Times New Roman"/>
                <w:sz w:val="24"/>
                <w:szCs w:val="24"/>
              </w:rPr>
            </w:pPr>
            <w:r w:rsidRPr="00346D1C">
              <w:rPr>
                <w:rFonts w:ascii="Georgia" w:hAnsi="Georgia" w:cs="Times New Roman"/>
                <w:sz w:val="24"/>
                <w:szCs w:val="24"/>
              </w:rPr>
              <w:t>Sustainable Development Goals</w:t>
            </w:r>
          </w:p>
        </w:tc>
      </w:tr>
      <w:tr w:rsidR="004558CA" w:rsidRPr="00346D1C" w14:paraId="6ED9CC49"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07C28DFD" w14:textId="124454F6" w:rsidR="004558CA" w:rsidRPr="00346D1C" w:rsidRDefault="00CF3F29"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UFS</w:t>
            </w:r>
            <w:r w:rsidR="00777A85" w:rsidRPr="00346D1C">
              <w:rPr>
                <w:rFonts w:ascii="Georgia" w:eastAsia="Constantia" w:hAnsi="Georgia" w:cs="Times New Roman"/>
                <w:color w:val="000000" w:themeColor="text1"/>
                <w:sz w:val="24"/>
                <w:szCs w:val="24"/>
                <w:lang w:eastAsia="en-GB"/>
              </w:rPr>
              <w:t>-CT</w:t>
            </w:r>
          </w:p>
        </w:tc>
        <w:tc>
          <w:tcPr>
            <w:tcW w:w="4319" w:type="pct"/>
            <w:vAlign w:val="center"/>
          </w:tcPr>
          <w:p w14:paraId="4DCDE512" w14:textId="462CF814" w:rsidR="004558CA" w:rsidRPr="00346D1C" w:rsidRDefault="00777A85"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Urban Food Subsidy Cash Transfer</w:t>
            </w:r>
          </w:p>
        </w:tc>
      </w:tr>
      <w:tr w:rsidR="004558CA" w:rsidRPr="00346D1C" w14:paraId="4FA9EEB7"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347F0A2D"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UNHCR</w:t>
            </w:r>
          </w:p>
        </w:tc>
        <w:tc>
          <w:tcPr>
            <w:tcW w:w="4319" w:type="pct"/>
            <w:vAlign w:val="center"/>
          </w:tcPr>
          <w:p w14:paraId="08B62B5B"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United Nations High Commissioner for Refugees</w:t>
            </w:r>
          </w:p>
        </w:tc>
      </w:tr>
      <w:tr w:rsidR="004558CA" w:rsidRPr="00346D1C" w14:paraId="4C1C8CD3"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4537C636"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UNRISD</w:t>
            </w:r>
          </w:p>
        </w:tc>
        <w:tc>
          <w:tcPr>
            <w:tcW w:w="4319" w:type="pct"/>
            <w:vAlign w:val="center"/>
          </w:tcPr>
          <w:p w14:paraId="07BBD665"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United Nations Research Institute for Social Development</w:t>
            </w:r>
          </w:p>
        </w:tc>
      </w:tr>
      <w:tr w:rsidR="004558CA" w:rsidRPr="00346D1C" w14:paraId="06B804A6"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7E5353F7"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USD</w:t>
            </w:r>
          </w:p>
        </w:tc>
        <w:tc>
          <w:tcPr>
            <w:tcW w:w="4319" w:type="pct"/>
            <w:vAlign w:val="center"/>
          </w:tcPr>
          <w:p w14:paraId="5DC91859" w14:textId="77777777" w:rsidR="004558CA" w:rsidRPr="00346D1C" w:rsidRDefault="004558CA" w:rsidP="00BA0805">
            <w:pPr>
              <w:rPr>
                <w:rFonts w:ascii="Georgia" w:eastAsia="Times New Roman" w:hAnsi="Georgia" w:cs="Times New Roman"/>
                <w:sz w:val="24"/>
                <w:szCs w:val="24"/>
              </w:rPr>
            </w:pPr>
            <w:r w:rsidRPr="00346D1C">
              <w:rPr>
                <w:rFonts w:ascii="Georgia" w:eastAsia="Constantia" w:hAnsi="Georgia" w:cs="Times New Roman"/>
                <w:sz w:val="24"/>
                <w:szCs w:val="24"/>
                <w:lang w:eastAsia="en-GB"/>
              </w:rPr>
              <w:t>United States Dollar</w:t>
            </w:r>
          </w:p>
        </w:tc>
      </w:tr>
      <w:tr w:rsidR="004558CA" w:rsidRPr="00346D1C" w14:paraId="76B23182"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5C970083"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VAT</w:t>
            </w:r>
          </w:p>
        </w:tc>
        <w:tc>
          <w:tcPr>
            <w:tcW w:w="4319" w:type="pct"/>
            <w:vAlign w:val="center"/>
          </w:tcPr>
          <w:p w14:paraId="27FB81E0"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Value-Added Tax</w:t>
            </w:r>
          </w:p>
        </w:tc>
      </w:tr>
      <w:tr w:rsidR="004558CA" w:rsidRPr="00346D1C" w14:paraId="22188F1C" w14:textId="77777777" w:rsidTr="00346D1C">
        <w:trPr>
          <w:trHeight w:val="288"/>
        </w:trPr>
        <w:tc>
          <w:tcPr>
            <w:tcW w:w="681" w:type="pct"/>
            <w:tcBorders>
              <w:top w:val="single" w:sz="4" w:space="0" w:color="FFFFFF" w:themeColor="background1"/>
              <w:bottom w:val="single" w:sz="4" w:space="0" w:color="FFFFFF" w:themeColor="background1"/>
            </w:tcBorders>
            <w:shd w:val="clear" w:color="auto" w:fill="FBE4D5" w:themeFill="accent2" w:themeFillTint="33"/>
            <w:vAlign w:val="center"/>
          </w:tcPr>
          <w:p w14:paraId="2D223ED7" w14:textId="77777777" w:rsidR="004558CA" w:rsidRPr="00346D1C" w:rsidRDefault="004558CA" w:rsidP="00BA0805">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WDI</w:t>
            </w:r>
          </w:p>
        </w:tc>
        <w:tc>
          <w:tcPr>
            <w:tcW w:w="4319" w:type="pct"/>
            <w:vAlign w:val="center"/>
          </w:tcPr>
          <w:p w14:paraId="15D18644" w14:textId="77777777" w:rsidR="004558CA" w:rsidRPr="00346D1C" w:rsidRDefault="004558CA" w:rsidP="00BA0805">
            <w:pPr>
              <w:rPr>
                <w:rFonts w:ascii="Georgia" w:eastAsia="Constantia" w:hAnsi="Georgia" w:cs="Times New Roman"/>
                <w:sz w:val="24"/>
                <w:szCs w:val="24"/>
                <w:lang w:eastAsia="en-GB"/>
              </w:rPr>
            </w:pPr>
            <w:r w:rsidRPr="00346D1C">
              <w:rPr>
                <w:rFonts w:ascii="Georgia" w:eastAsia="Constantia" w:hAnsi="Georgia" w:cs="Times New Roman"/>
                <w:sz w:val="24"/>
                <w:szCs w:val="24"/>
                <w:lang w:eastAsia="en-GB"/>
              </w:rPr>
              <w:t>World Development Indicators</w:t>
            </w:r>
          </w:p>
        </w:tc>
      </w:tr>
    </w:tbl>
    <w:p w14:paraId="12DD9A94" w14:textId="185ABBB0" w:rsidR="00DB6719" w:rsidRPr="00346D1C" w:rsidRDefault="00DB6719" w:rsidP="00A118F1">
      <w:pPr>
        <w:spacing w:after="0" w:line="240" w:lineRule="auto"/>
        <w:rPr>
          <w:rFonts w:ascii="Georgia" w:eastAsia="Constantia" w:hAnsi="Georgia" w:cs="Times New Roman"/>
          <w:sz w:val="28"/>
          <w:szCs w:val="28"/>
          <w:lang w:eastAsia="en-GB"/>
        </w:rPr>
      </w:pPr>
    </w:p>
    <w:p w14:paraId="0EC265C9" w14:textId="7B8384C6" w:rsidR="00911EA1" w:rsidRPr="00346D1C" w:rsidRDefault="00911EA1" w:rsidP="00911EA1">
      <w:pPr>
        <w:pStyle w:val="Heading1"/>
        <w:spacing w:before="0" w:line="240" w:lineRule="auto"/>
        <w:rPr>
          <w:rFonts w:ascii="Georgia" w:hAnsi="Georgia" w:cs="Times New Roman"/>
          <w:b/>
          <w:bCs/>
          <w:color w:val="auto"/>
        </w:rPr>
      </w:pPr>
      <w:bookmarkStart w:id="4" w:name="_Toc130548505"/>
    </w:p>
    <w:p w14:paraId="13215987" w14:textId="2DE89378" w:rsidR="00343B22" w:rsidRPr="00346D1C" w:rsidRDefault="00343B22" w:rsidP="00343B22">
      <w:pPr>
        <w:rPr>
          <w:rFonts w:ascii="Georgia" w:hAnsi="Georgia"/>
        </w:rPr>
      </w:pPr>
    </w:p>
    <w:p w14:paraId="4E6E1B77" w14:textId="7FD3D773" w:rsidR="004F2587" w:rsidRPr="00346D1C" w:rsidRDefault="004F2587" w:rsidP="00343B22">
      <w:pPr>
        <w:rPr>
          <w:rFonts w:ascii="Georgia" w:hAnsi="Georgia"/>
        </w:rPr>
      </w:pPr>
    </w:p>
    <w:p w14:paraId="7CFD6177" w14:textId="7FC3949F" w:rsidR="004F2587" w:rsidRPr="00346D1C" w:rsidRDefault="004F2587" w:rsidP="00343B22">
      <w:pPr>
        <w:rPr>
          <w:rFonts w:ascii="Georgia" w:hAnsi="Georgia"/>
        </w:rPr>
      </w:pPr>
    </w:p>
    <w:p w14:paraId="0D298D07" w14:textId="3A3B420A" w:rsidR="004F2587" w:rsidRPr="00346D1C" w:rsidRDefault="004F2587" w:rsidP="004F2587">
      <w:pPr>
        <w:pStyle w:val="Heading1"/>
        <w:spacing w:before="0" w:line="240" w:lineRule="auto"/>
        <w:rPr>
          <w:rFonts w:ascii="Georgia" w:hAnsi="Georgia" w:cs="Times New Roman"/>
          <w:b/>
          <w:bCs/>
          <w:color w:val="auto"/>
        </w:rPr>
      </w:pPr>
      <w:bookmarkStart w:id="5" w:name="_Toc145928775"/>
      <w:r w:rsidRPr="00346D1C">
        <w:rPr>
          <w:rFonts w:ascii="Georgia" w:hAnsi="Georgia" w:cs="Times New Roman"/>
          <w:b/>
          <w:bCs/>
          <w:color w:val="auto"/>
        </w:rPr>
        <w:t>Glossary of Terms</w:t>
      </w:r>
      <w:bookmarkEnd w:id="5"/>
    </w:p>
    <w:tbl>
      <w:tblPr>
        <w:tblStyle w:val="TableGrid"/>
        <w:tblpPr w:leftFromText="180" w:rightFromText="180" w:vertAnchor="page" w:horzAnchor="margin" w:tblpY="215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2111"/>
        <w:gridCol w:w="7779"/>
      </w:tblGrid>
      <w:tr w:rsidR="00346D1C" w:rsidRPr="00346D1C" w14:paraId="571D8F48"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01743E0E"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Consumable income</w:t>
            </w:r>
          </w:p>
        </w:tc>
        <w:tc>
          <w:tcPr>
            <w:tcW w:w="3940" w:type="pct"/>
            <w:shd w:val="clear" w:color="auto" w:fill="FBE4D5" w:themeFill="accent2" w:themeFillTint="33"/>
            <w:vAlign w:val="center"/>
          </w:tcPr>
          <w:p w14:paraId="637D406D" w14:textId="77777777" w:rsidR="00343B22" w:rsidRPr="00346D1C" w:rsidRDefault="00343B22" w:rsidP="00247E61">
            <w:pPr>
              <w:spacing w:before="120" w:after="120"/>
              <w:rPr>
                <w:rFonts w:ascii="Georgia" w:eastAsia="Constantia" w:hAnsi="Georgia" w:cs="Times New Roman"/>
                <w:bCs/>
                <w:color w:val="000000" w:themeColor="text1"/>
                <w:sz w:val="24"/>
                <w:szCs w:val="24"/>
                <w:lang w:eastAsia="en-GB"/>
              </w:rPr>
            </w:pPr>
            <w:r w:rsidRPr="00346D1C">
              <w:rPr>
                <w:rFonts w:ascii="Georgia" w:eastAsia="Constantia" w:hAnsi="Georgia" w:cs="Times New Roman"/>
                <w:color w:val="000000" w:themeColor="text1"/>
                <w:sz w:val="24"/>
                <w:szCs w:val="24"/>
                <w:lang w:eastAsia="en-GB"/>
              </w:rPr>
              <w:t>Disposable income plus the indirect subsidies received by individuals, less indirect taxes and contributions paid.</w:t>
            </w:r>
          </w:p>
        </w:tc>
      </w:tr>
      <w:tr w:rsidR="00346D1C" w:rsidRPr="00346D1C" w14:paraId="36D3D3FC"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240EA1DD"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Disposable income</w:t>
            </w:r>
          </w:p>
        </w:tc>
        <w:tc>
          <w:tcPr>
            <w:tcW w:w="3940" w:type="pct"/>
            <w:shd w:val="clear" w:color="auto" w:fill="FBE4D5" w:themeFill="accent2" w:themeFillTint="33"/>
            <w:vAlign w:val="center"/>
          </w:tcPr>
          <w:p w14:paraId="6064538E" w14:textId="77777777" w:rsidR="00343B22" w:rsidRPr="00346D1C" w:rsidRDefault="00343B22" w:rsidP="00247E61">
            <w:pPr>
              <w:spacing w:before="120" w:after="120"/>
              <w:rPr>
                <w:rFonts w:ascii="Georgia" w:hAnsi="Georgia" w:cs="Times New Roman"/>
                <w:color w:val="000000" w:themeColor="text1"/>
                <w:sz w:val="24"/>
                <w:szCs w:val="24"/>
              </w:rPr>
            </w:pPr>
            <w:r w:rsidRPr="00346D1C">
              <w:rPr>
                <w:rFonts w:ascii="Georgia" w:hAnsi="Georgia" w:cs="Times New Roman"/>
                <w:color w:val="000000" w:themeColor="text1"/>
                <w:sz w:val="24"/>
                <w:szCs w:val="24"/>
              </w:rPr>
              <w:t>Market income minus direct taxes on personal income and contributions to social security, except for the portion earmarked for old-age pensions, plus direct transfers. Or: net market income plus direct transfers.</w:t>
            </w:r>
          </w:p>
          <w:p w14:paraId="03E6583D" w14:textId="77777777" w:rsidR="00343B22" w:rsidRPr="00346D1C" w:rsidRDefault="00343B22" w:rsidP="00247E61">
            <w:pPr>
              <w:spacing w:before="120" w:after="120"/>
              <w:rPr>
                <w:rFonts w:ascii="Georgia" w:hAnsi="Georgia" w:cs="Times New Roman"/>
                <w:color w:val="000000" w:themeColor="text1"/>
                <w:sz w:val="24"/>
                <w:szCs w:val="24"/>
              </w:rPr>
            </w:pPr>
            <w:r w:rsidRPr="00346D1C">
              <w:rPr>
                <w:rFonts w:ascii="Georgia" w:hAnsi="Georgia" w:cs="Times New Roman"/>
                <w:color w:val="000000" w:themeColor="text1"/>
                <w:sz w:val="24"/>
                <w:szCs w:val="24"/>
              </w:rPr>
              <w:t>Fiscal incidence studies assume that disposable income is equal to household expenditure and use disposable income as a starting point for the estimation of the other income concepts.</w:t>
            </w:r>
          </w:p>
        </w:tc>
      </w:tr>
      <w:tr w:rsidR="00346D1C" w:rsidRPr="00346D1C" w14:paraId="692ACD9E"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77782A62"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Final income</w:t>
            </w:r>
          </w:p>
        </w:tc>
        <w:tc>
          <w:tcPr>
            <w:tcW w:w="3940" w:type="pct"/>
            <w:shd w:val="clear" w:color="auto" w:fill="FBE4D5" w:themeFill="accent2" w:themeFillTint="33"/>
            <w:vAlign w:val="center"/>
          </w:tcPr>
          <w:p w14:paraId="57FEE883" w14:textId="77777777" w:rsidR="00343B22" w:rsidRPr="00346D1C" w:rsidRDefault="00343B22" w:rsidP="00247E61">
            <w:pPr>
              <w:spacing w:before="120" w:after="120"/>
              <w:rPr>
                <w:rFonts w:ascii="Georgia" w:hAnsi="Georgia" w:cs="Times New Roman"/>
                <w:color w:val="000000" w:themeColor="text1"/>
                <w:sz w:val="24"/>
                <w:szCs w:val="24"/>
              </w:rPr>
            </w:pPr>
            <w:r w:rsidRPr="00346D1C">
              <w:rPr>
                <w:rFonts w:ascii="Georgia" w:hAnsi="Georgia" w:cs="Times New Roman"/>
                <w:color w:val="000000" w:themeColor="text1"/>
                <w:sz w:val="24"/>
                <w:szCs w:val="24"/>
              </w:rPr>
              <w:t>Consumable income plus the net monetary value of social services provided by the state. Or: consumable income plus in-kind transfers, minus co-payments and user fees for education and health services.</w:t>
            </w:r>
          </w:p>
        </w:tc>
      </w:tr>
      <w:tr w:rsidR="00346D1C" w:rsidRPr="00346D1C" w14:paraId="48E59853"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2A1F130C"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Gini coefficient or Gini index</w:t>
            </w:r>
          </w:p>
        </w:tc>
        <w:tc>
          <w:tcPr>
            <w:tcW w:w="3940" w:type="pct"/>
            <w:shd w:val="clear" w:color="auto" w:fill="FBE4D5" w:themeFill="accent2" w:themeFillTint="33"/>
            <w:vAlign w:val="center"/>
          </w:tcPr>
          <w:p w14:paraId="052A7560" w14:textId="77777777" w:rsidR="00343B22" w:rsidRPr="00346D1C" w:rsidRDefault="00343B22" w:rsidP="00247E61">
            <w:pPr>
              <w:spacing w:before="120" w:after="120"/>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Measure of inequality with values ranging from zero (perfect equality) to unity (perfect inequality). Consequently, the value of the Gini index ranges from zero to 100 (or from 0 to 1).</w:t>
            </w:r>
          </w:p>
        </w:tc>
      </w:tr>
      <w:tr w:rsidR="00346D1C" w:rsidRPr="00346D1C" w14:paraId="621504F8"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2B1187B0"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Informal employment</w:t>
            </w:r>
          </w:p>
        </w:tc>
        <w:tc>
          <w:tcPr>
            <w:tcW w:w="3940" w:type="pct"/>
            <w:shd w:val="clear" w:color="auto" w:fill="FBE4D5" w:themeFill="accent2" w:themeFillTint="33"/>
            <w:vAlign w:val="center"/>
          </w:tcPr>
          <w:p w14:paraId="5A8F351D" w14:textId="77777777" w:rsidR="00343B22" w:rsidRPr="00346D1C" w:rsidRDefault="00343B22" w:rsidP="00247E61">
            <w:pPr>
              <w:spacing w:before="120" w:after="120"/>
              <w:rPr>
                <w:rFonts w:ascii="Georgia" w:hAnsi="Georgia" w:cs="Times New Roman"/>
                <w:color w:val="000000" w:themeColor="text1"/>
                <w:sz w:val="24"/>
                <w:szCs w:val="24"/>
              </w:rPr>
            </w:pPr>
            <w:r w:rsidRPr="00346D1C">
              <w:rPr>
                <w:rFonts w:ascii="Georgia" w:hAnsi="Georgia" w:cs="Times New Roman"/>
                <w:color w:val="000000" w:themeColor="text1"/>
                <w:sz w:val="24"/>
                <w:szCs w:val="24"/>
              </w:rPr>
              <w:t xml:space="preserve">The 17th International Conference on Labour Statistics (ICLS) defined informal employment as ‘comprising the total number of informal jobs, whether carried out in formal sector enterprises, informal sector enterprises, or households, during a given reference period.’ </w:t>
            </w:r>
          </w:p>
          <w:p w14:paraId="42F592FE" w14:textId="77777777" w:rsidR="00343B22" w:rsidRPr="00346D1C" w:rsidRDefault="00343B22" w:rsidP="00247E61">
            <w:pPr>
              <w:spacing w:before="120" w:after="120"/>
              <w:rPr>
                <w:rFonts w:ascii="Georgia" w:hAnsi="Georgia" w:cs="Times New Roman"/>
                <w:color w:val="000000" w:themeColor="text1"/>
                <w:sz w:val="24"/>
                <w:szCs w:val="24"/>
              </w:rPr>
            </w:pPr>
            <w:r w:rsidRPr="00346D1C">
              <w:rPr>
                <w:rFonts w:ascii="Georgia" w:hAnsi="Georgia" w:cs="Times New Roman"/>
                <w:color w:val="000000" w:themeColor="text1"/>
                <w:sz w:val="24"/>
                <w:szCs w:val="24"/>
              </w:rPr>
              <w:t>It thus comprises the following categories of employed people: own-account workers and employers employed in their own informal sector enterprises; contributing family workers, irrespective of whether they work in formal or informal sector enterprises; employees holding informal jobs, whether employed by formal sector enterprises, informal sector enterprises, or as paid domestic workers by households; members of informal producers’ cooperatives; and own-account workers engaged in the production of goods exclusively for own final use by their household (such as subsistence farming or do-it-yourself construction of own dwellings), if considered employed according to the 13th ICLS definition of employment.</w:t>
            </w:r>
          </w:p>
        </w:tc>
      </w:tr>
      <w:tr w:rsidR="00346D1C" w:rsidRPr="00346D1C" w14:paraId="154625CB"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5B6C911B"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Labour force</w:t>
            </w:r>
          </w:p>
        </w:tc>
        <w:tc>
          <w:tcPr>
            <w:tcW w:w="3940" w:type="pct"/>
            <w:shd w:val="clear" w:color="auto" w:fill="FBE4D5" w:themeFill="accent2" w:themeFillTint="33"/>
            <w:vAlign w:val="center"/>
          </w:tcPr>
          <w:p w14:paraId="6F07B20A" w14:textId="77777777" w:rsidR="00343B22" w:rsidRPr="00346D1C" w:rsidRDefault="00343B22" w:rsidP="00247E61">
            <w:pPr>
              <w:spacing w:before="120" w:after="120"/>
              <w:rPr>
                <w:rFonts w:ascii="Georgia" w:hAnsi="Georgia" w:cs="Times New Roman"/>
                <w:color w:val="000000" w:themeColor="text1"/>
                <w:sz w:val="24"/>
                <w:szCs w:val="24"/>
              </w:rPr>
            </w:pPr>
            <w:r w:rsidRPr="00346D1C">
              <w:rPr>
                <w:rFonts w:ascii="Georgia" w:hAnsi="Georgia" w:cs="Times New Roman"/>
                <w:color w:val="000000" w:themeColor="text1"/>
                <w:sz w:val="24"/>
                <w:szCs w:val="24"/>
              </w:rPr>
              <w:t>Working age population (or potential labour force) available for economic activities, measured as the sum of the employed and the unemployed population at working age.</w:t>
            </w:r>
          </w:p>
        </w:tc>
      </w:tr>
      <w:tr w:rsidR="00346D1C" w:rsidRPr="00346D1C" w14:paraId="50CABBB8"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3F248F79"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Labour force participation rate</w:t>
            </w:r>
          </w:p>
        </w:tc>
        <w:tc>
          <w:tcPr>
            <w:tcW w:w="3940" w:type="pct"/>
            <w:shd w:val="clear" w:color="auto" w:fill="FBE4D5" w:themeFill="accent2" w:themeFillTint="33"/>
            <w:vAlign w:val="center"/>
          </w:tcPr>
          <w:p w14:paraId="78A0EDAB" w14:textId="77777777" w:rsidR="00343B22" w:rsidRPr="00346D1C" w:rsidRDefault="00343B22" w:rsidP="00247E61">
            <w:pPr>
              <w:spacing w:before="120" w:after="120"/>
              <w:rPr>
                <w:rFonts w:ascii="Georgia" w:eastAsia="Constantia" w:hAnsi="Georgia" w:cs="Times New Roman"/>
                <w:bCs/>
                <w:color w:val="000000" w:themeColor="text1"/>
                <w:sz w:val="24"/>
                <w:szCs w:val="24"/>
                <w:lang w:eastAsia="en-GB"/>
              </w:rPr>
            </w:pPr>
            <w:r w:rsidRPr="00346D1C">
              <w:rPr>
                <w:rFonts w:ascii="Georgia" w:hAnsi="Georgia" w:cs="Times New Roman"/>
                <w:color w:val="000000" w:themeColor="text1"/>
                <w:sz w:val="24"/>
                <w:szCs w:val="24"/>
              </w:rPr>
              <w:t>The sum of the employed and the unemployed population at working age measured as a fraction of the potential labour force.</w:t>
            </w:r>
          </w:p>
        </w:tc>
      </w:tr>
      <w:tr w:rsidR="00346D1C" w:rsidRPr="00346D1C" w14:paraId="4625229A"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0C9072C4"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Market income</w:t>
            </w:r>
          </w:p>
        </w:tc>
        <w:tc>
          <w:tcPr>
            <w:tcW w:w="3940" w:type="pct"/>
            <w:shd w:val="clear" w:color="auto" w:fill="FBE4D5" w:themeFill="accent2" w:themeFillTint="33"/>
            <w:vAlign w:val="center"/>
          </w:tcPr>
          <w:p w14:paraId="1C8F726B" w14:textId="77777777" w:rsidR="00343B22" w:rsidRPr="00346D1C" w:rsidRDefault="00343B22" w:rsidP="00247E61">
            <w:pPr>
              <w:spacing w:before="120" w:after="120"/>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Pre-tax gross labour income (formal or informal), own consumption, capital income, imputed rent for owner-occupied housing and private transfers such as remittances and gifts.</w:t>
            </w:r>
          </w:p>
        </w:tc>
      </w:tr>
      <w:tr w:rsidR="00346D1C" w:rsidRPr="00346D1C" w14:paraId="5D4FD933"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19AD3C79"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 xml:space="preserve">Market income plus pensions </w:t>
            </w:r>
          </w:p>
        </w:tc>
        <w:tc>
          <w:tcPr>
            <w:tcW w:w="3940" w:type="pct"/>
            <w:shd w:val="clear" w:color="auto" w:fill="FBE4D5" w:themeFill="accent2" w:themeFillTint="33"/>
            <w:vAlign w:val="center"/>
          </w:tcPr>
          <w:p w14:paraId="24173841" w14:textId="77777777" w:rsidR="00343B22" w:rsidRPr="00346D1C" w:rsidRDefault="00343B22" w:rsidP="00247E61">
            <w:pPr>
              <w:spacing w:before="120" w:after="120"/>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Market income plus contributory pensions.</w:t>
            </w:r>
          </w:p>
          <w:p w14:paraId="25F5AF39" w14:textId="75219327" w:rsidR="004F2587" w:rsidRPr="00346D1C" w:rsidRDefault="004F2587" w:rsidP="00247E61">
            <w:pPr>
              <w:spacing w:before="120" w:after="120"/>
              <w:rPr>
                <w:rFonts w:ascii="Georgia" w:eastAsia="Constantia" w:hAnsi="Georgia" w:cs="Times New Roman"/>
                <w:color w:val="000000" w:themeColor="text1"/>
                <w:sz w:val="24"/>
                <w:szCs w:val="24"/>
                <w:lang w:eastAsia="en-GB"/>
              </w:rPr>
            </w:pPr>
          </w:p>
        </w:tc>
      </w:tr>
      <w:tr w:rsidR="00346D1C" w:rsidRPr="00346D1C" w14:paraId="02CB8F38"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5B4C5BE8"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Monetary Poverty</w:t>
            </w:r>
          </w:p>
        </w:tc>
        <w:tc>
          <w:tcPr>
            <w:tcW w:w="3940" w:type="pct"/>
            <w:shd w:val="clear" w:color="auto" w:fill="FBE4D5" w:themeFill="accent2" w:themeFillTint="33"/>
            <w:vAlign w:val="center"/>
          </w:tcPr>
          <w:p w14:paraId="1B6EC014" w14:textId="77777777" w:rsidR="00343B22" w:rsidRPr="00346D1C" w:rsidRDefault="00343B22" w:rsidP="00247E61">
            <w:pPr>
              <w:spacing w:before="120" w:after="120"/>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Situation of income or expenditure falling below a pre-defined poverty line. Incidence can be measured for individuals or households.</w:t>
            </w:r>
          </w:p>
        </w:tc>
      </w:tr>
      <w:tr w:rsidR="00346D1C" w:rsidRPr="00346D1C" w14:paraId="35AC0D5E" w14:textId="77777777" w:rsidTr="00346D1C">
        <w:trPr>
          <w:trHeight w:val="288"/>
        </w:trPr>
        <w:tc>
          <w:tcPr>
            <w:tcW w:w="1060" w:type="pct"/>
            <w:tcBorders>
              <w:top w:val="single" w:sz="4" w:space="0" w:color="FFFFFF" w:themeColor="background1"/>
              <w:bottom w:val="single" w:sz="4" w:space="0" w:color="FFFFFF" w:themeColor="background1"/>
            </w:tcBorders>
            <w:shd w:val="clear" w:color="auto" w:fill="F7CAAC" w:themeFill="accent2" w:themeFillTint="66"/>
            <w:vAlign w:val="center"/>
          </w:tcPr>
          <w:p w14:paraId="5642038D" w14:textId="77777777" w:rsidR="00343B22" w:rsidRPr="00346D1C" w:rsidRDefault="00343B22" w:rsidP="00247E61">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Multidimensional Poverty</w:t>
            </w:r>
          </w:p>
        </w:tc>
        <w:tc>
          <w:tcPr>
            <w:tcW w:w="3940" w:type="pct"/>
            <w:shd w:val="clear" w:color="auto" w:fill="FBE4D5" w:themeFill="accent2" w:themeFillTint="33"/>
            <w:vAlign w:val="center"/>
          </w:tcPr>
          <w:p w14:paraId="3D8F1882" w14:textId="77777777" w:rsidR="00343B22" w:rsidRPr="00346D1C" w:rsidRDefault="00343B22" w:rsidP="00247E61">
            <w:pPr>
              <w:spacing w:before="120" w:after="120"/>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Situation in which individuals or households do not meet the pre-defined threshold level of one or more dimensions of wellbeing.</w:t>
            </w:r>
          </w:p>
        </w:tc>
      </w:tr>
    </w:tbl>
    <w:tbl>
      <w:tblPr>
        <w:tblStyle w:val="TableGrid"/>
        <w:tblpPr w:leftFromText="180" w:rightFromText="180" w:vertAnchor="page" w:horzAnchor="margin" w:tblpY="319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7621"/>
      </w:tblGrid>
      <w:tr w:rsidR="00346D1C" w:rsidRPr="00346D1C" w14:paraId="6FBB4C54" w14:textId="77777777" w:rsidTr="00F969F9">
        <w:trPr>
          <w:trHeight w:val="288"/>
        </w:trPr>
        <w:tc>
          <w:tcPr>
            <w:tcW w:w="1147" w:type="pct"/>
            <w:shd w:val="clear" w:color="auto" w:fill="F7CAAC" w:themeFill="accent2" w:themeFillTint="66"/>
            <w:vAlign w:val="center"/>
          </w:tcPr>
          <w:p w14:paraId="76D608A9" w14:textId="77777777" w:rsidR="004F2587" w:rsidRPr="00346D1C" w:rsidRDefault="004F2587" w:rsidP="00346D1C">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Net market income</w:t>
            </w:r>
          </w:p>
        </w:tc>
        <w:tc>
          <w:tcPr>
            <w:tcW w:w="3853" w:type="pct"/>
            <w:shd w:val="clear" w:color="auto" w:fill="FBE4D5" w:themeFill="accent2" w:themeFillTint="33"/>
            <w:vAlign w:val="center"/>
          </w:tcPr>
          <w:p w14:paraId="0C172A38" w14:textId="77777777" w:rsidR="004F2587" w:rsidRPr="00346D1C" w:rsidRDefault="004F2587" w:rsidP="00346D1C">
            <w:pPr>
              <w:spacing w:before="120" w:after="120"/>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Market income plus pensions minus direct taxes and social security contributions.</w:t>
            </w:r>
          </w:p>
        </w:tc>
      </w:tr>
      <w:tr w:rsidR="00346D1C" w:rsidRPr="00346D1C" w14:paraId="71756804" w14:textId="77777777" w:rsidTr="00F969F9">
        <w:trPr>
          <w:trHeight w:val="288"/>
        </w:trPr>
        <w:tc>
          <w:tcPr>
            <w:tcW w:w="1147" w:type="pct"/>
            <w:shd w:val="clear" w:color="auto" w:fill="F7CAAC" w:themeFill="accent2" w:themeFillTint="66"/>
            <w:vAlign w:val="center"/>
          </w:tcPr>
          <w:p w14:paraId="7F6C363C" w14:textId="77777777" w:rsidR="004F2587" w:rsidRPr="00346D1C" w:rsidRDefault="004F2587" w:rsidP="00346D1C">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Palma ratio</w:t>
            </w:r>
          </w:p>
        </w:tc>
        <w:tc>
          <w:tcPr>
            <w:tcW w:w="3853" w:type="pct"/>
            <w:shd w:val="clear" w:color="auto" w:fill="FBE4D5" w:themeFill="accent2" w:themeFillTint="33"/>
            <w:vAlign w:val="center"/>
          </w:tcPr>
          <w:p w14:paraId="7569A896" w14:textId="77777777" w:rsidR="004F2587" w:rsidRPr="00346D1C" w:rsidRDefault="004F2587" w:rsidP="00346D1C">
            <w:pPr>
              <w:spacing w:before="120" w:after="120"/>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The ratio of the income shares of the richest 10% and the poorest 40%. This indicator is directly relevant to the UN’s ‘leave no one behind’ (LNOB) principle which focuses on the bottom 40%.</w:t>
            </w:r>
          </w:p>
        </w:tc>
      </w:tr>
      <w:tr w:rsidR="00346D1C" w:rsidRPr="00346D1C" w14:paraId="44739AA7" w14:textId="77777777" w:rsidTr="00F969F9">
        <w:trPr>
          <w:trHeight w:val="288"/>
        </w:trPr>
        <w:tc>
          <w:tcPr>
            <w:tcW w:w="1147" w:type="pct"/>
            <w:shd w:val="clear" w:color="auto" w:fill="F7CAAC" w:themeFill="accent2" w:themeFillTint="66"/>
            <w:vAlign w:val="center"/>
          </w:tcPr>
          <w:p w14:paraId="40246673" w14:textId="77777777" w:rsidR="004F2587" w:rsidRPr="00346D1C" w:rsidRDefault="004F2587" w:rsidP="00346D1C">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Poverty line</w:t>
            </w:r>
          </w:p>
        </w:tc>
        <w:tc>
          <w:tcPr>
            <w:tcW w:w="3853" w:type="pct"/>
            <w:shd w:val="clear" w:color="auto" w:fill="FBE4D5" w:themeFill="accent2" w:themeFillTint="33"/>
            <w:vAlign w:val="center"/>
          </w:tcPr>
          <w:p w14:paraId="4F7B3380" w14:textId="77777777" w:rsidR="004F2587" w:rsidRPr="00346D1C" w:rsidRDefault="004F2587" w:rsidP="00346D1C">
            <w:pPr>
              <w:spacing w:before="120" w:after="120"/>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Threshold with which actual income or expenditure of individuals or households are compared.</w:t>
            </w:r>
          </w:p>
        </w:tc>
      </w:tr>
      <w:tr w:rsidR="00346D1C" w:rsidRPr="00346D1C" w14:paraId="1F234EEB" w14:textId="77777777" w:rsidTr="00F969F9">
        <w:trPr>
          <w:trHeight w:val="288"/>
        </w:trPr>
        <w:tc>
          <w:tcPr>
            <w:tcW w:w="1147" w:type="pct"/>
            <w:shd w:val="clear" w:color="auto" w:fill="F7CAAC" w:themeFill="accent2" w:themeFillTint="66"/>
            <w:vAlign w:val="center"/>
          </w:tcPr>
          <w:p w14:paraId="2200DAC0" w14:textId="77777777" w:rsidR="004F2587" w:rsidRPr="00346D1C" w:rsidRDefault="004F2587" w:rsidP="00346D1C">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Progressive taxes</w:t>
            </w:r>
          </w:p>
        </w:tc>
        <w:tc>
          <w:tcPr>
            <w:tcW w:w="3853" w:type="pct"/>
            <w:shd w:val="clear" w:color="auto" w:fill="FBE4D5" w:themeFill="accent2" w:themeFillTint="33"/>
            <w:vAlign w:val="center"/>
          </w:tcPr>
          <w:p w14:paraId="15D4C8AD" w14:textId="77777777" w:rsidR="004F2587" w:rsidRPr="00346D1C" w:rsidRDefault="004F2587" w:rsidP="00346D1C">
            <w:pPr>
              <w:spacing w:before="120" w:after="120"/>
              <w:rPr>
                <w:rFonts w:ascii="Georgia" w:hAnsi="Georgia" w:cs="Times New Roman"/>
                <w:color w:val="000000" w:themeColor="text1"/>
                <w:sz w:val="24"/>
                <w:szCs w:val="24"/>
                <w:lang w:eastAsia="en-GB"/>
              </w:rPr>
            </w:pPr>
            <w:r w:rsidRPr="00346D1C">
              <w:rPr>
                <w:rFonts w:ascii="Georgia" w:hAnsi="Georgia" w:cs="Times New Roman"/>
                <w:color w:val="000000" w:themeColor="text1"/>
                <w:sz w:val="24"/>
                <w:szCs w:val="24"/>
                <w:lang w:eastAsia="en-GB"/>
              </w:rPr>
              <w:t>Taxes that reduce income inequality.</w:t>
            </w:r>
          </w:p>
        </w:tc>
      </w:tr>
      <w:tr w:rsidR="00346D1C" w:rsidRPr="00346D1C" w14:paraId="25030F11" w14:textId="77777777" w:rsidTr="00F969F9">
        <w:trPr>
          <w:trHeight w:val="288"/>
        </w:trPr>
        <w:tc>
          <w:tcPr>
            <w:tcW w:w="1147" w:type="pct"/>
            <w:shd w:val="clear" w:color="auto" w:fill="F7CAAC" w:themeFill="accent2" w:themeFillTint="66"/>
            <w:vAlign w:val="center"/>
          </w:tcPr>
          <w:p w14:paraId="28975E72" w14:textId="77777777" w:rsidR="004F2587" w:rsidRPr="00346D1C" w:rsidRDefault="004F2587" w:rsidP="00346D1C">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Regressive taxes</w:t>
            </w:r>
          </w:p>
        </w:tc>
        <w:tc>
          <w:tcPr>
            <w:tcW w:w="3853" w:type="pct"/>
            <w:shd w:val="clear" w:color="auto" w:fill="FBE4D5" w:themeFill="accent2" w:themeFillTint="33"/>
            <w:vAlign w:val="center"/>
          </w:tcPr>
          <w:p w14:paraId="520F036B" w14:textId="77777777" w:rsidR="004F2587" w:rsidRPr="00346D1C" w:rsidRDefault="004F2587" w:rsidP="00346D1C">
            <w:pPr>
              <w:spacing w:before="120" w:after="120"/>
              <w:rPr>
                <w:rFonts w:ascii="Georgia" w:hAnsi="Georgia" w:cs="Times New Roman"/>
                <w:color w:val="000000" w:themeColor="text1"/>
                <w:sz w:val="24"/>
                <w:szCs w:val="24"/>
                <w:lang w:eastAsia="en-GB"/>
              </w:rPr>
            </w:pPr>
            <w:r w:rsidRPr="00346D1C">
              <w:rPr>
                <w:rFonts w:ascii="Georgia" w:hAnsi="Georgia" w:cs="Times New Roman"/>
                <w:color w:val="000000" w:themeColor="text1"/>
                <w:sz w:val="24"/>
                <w:szCs w:val="24"/>
                <w:lang w:eastAsia="en-GB"/>
              </w:rPr>
              <w:t>Taxes that increase income inequality.</w:t>
            </w:r>
          </w:p>
        </w:tc>
      </w:tr>
      <w:tr w:rsidR="00346D1C" w:rsidRPr="00346D1C" w14:paraId="674995F1" w14:textId="77777777" w:rsidTr="00F969F9">
        <w:trPr>
          <w:trHeight w:val="288"/>
        </w:trPr>
        <w:tc>
          <w:tcPr>
            <w:tcW w:w="1147" w:type="pct"/>
            <w:shd w:val="clear" w:color="auto" w:fill="F7CAAC" w:themeFill="accent2" w:themeFillTint="66"/>
            <w:vAlign w:val="center"/>
          </w:tcPr>
          <w:p w14:paraId="0165C7EF" w14:textId="77777777" w:rsidR="004F2587" w:rsidRPr="00346D1C" w:rsidRDefault="004F2587" w:rsidP="00346D1C">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Theil coefficient or Theil index</w:t>
            </w:r>
          </w:p>
        </w:tc>
        <w:tc>
          <w:tcPr>
            <w:tcW w:w="3853" w:type="pct"/>
            <w:shd w:val="clear" w:color="auto" w:fill="FBE4D5" w:themeFill="accent2" w:themeFillTint="33"/>
            <w:vAlign w:val="center"/>
          </w:tcPr>
          <w:p w14:paraId="38B3DD9D" w14:textId="77777777" w:rsidR="004F2587" w:rsidRPr="00346D1C" w:rsidRDefault="004F2587" w:rsidP="00346D1C">
            <w:pPr>
              <w:spacing w:before="120" w:after="120"/>
              <w:rPr>
                <w:rFonts w:ascii="Georgia" w:hAnsi="Georgia" w:cs="Times New Roman"/>
                <w:color w:val="000000" w:themeColor="text1"/>
                <w:sz w:val="24"/>
                <w:szCs w:val="24"/>
              </w:rPr>
            </w:pPr>
            <w:r w:rsidRPr="00346D1C">
              <w:rPr>
                <w:rFonts w:ascii="Georgia" w:hAnsi="Georgia" w:cs="Times New Roman"/>
                <w:color w:val="000000" w:themeColor="text1"/>
                <w:sz w:val="24"/>
                <w:szCs w:val="24"/>
              </w:rPr>
              <w:t>A generalized entropy measure of inequality with values ranging between zero and infinity, where lower values represent greater equality. The index gives weight to values in the tails of the distribution, emphasizing inequality at one or both extremes.</w:t>
            </w:r>
          </w:p>
        </w:tc>
      </w:tr>
      <w:tr w:rsidR="00346D1C" w:rsidRPr="00346D1C" w14:paraId="65BE804F" w14:textId="77777777" w:rsidTr="00F969F9">
        <w:trPr>
          <w:trHeight w:val="288"/>
        </w:trPr>
        <w:tc>
          <w:tcPr>
            <w:tcW w:w="1147" w:type="pct"/>
            <w:shd w:val="clear" w:color="auto" w:fill="F7CAAC" w:themeFill="accent2" w:themeFillTint="66"/>
            <w:vAlign w:val="center"/>
          </w:tcPr>
          <w:p w14:paraId="0D0A35EA" w14:textId="77777777" w:rsidR="004F2587" w:rsidRPr="00346D1C" w:rsidRDefault="004F2587" w:rsidP="00346D1C">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Underemployment</w:t>
            </w:r>
          </w:p>
        </w:tc>
        <w:tc>
          <w:tcPr>
            <w:tcW w:w="3853" w:type="pct"/>
            <w:shd w:val="clear" w:color="auto" w:fill="FBE4D5" w:themeFill="accent2" w:themeFillTint="33"/>
            <w:vAlign w:val="center"/>
          </w:tcPr>
          <w:p w14:paraId="5BC3130B" w14:textId="77777777" w:rsidR="004F2587" w:rsidRPr="00346D1C" w:rsidRDefault="004F2587" w:rsidP="00346D1C">
            <w:pPr>
              <w:spacing w:before="120" w:after="120"/>
              <w:rPr>
                <w:rFonts w:ascii="Georgia" w:hAnsi="Georgia" w:cs="Times New Roman"/>
                <w:color w:val="000000" w:themeColor="text1"/>
                <w:sz w:val="24"/>
                <w:szCs w:val="24"/>
              </w:rPr>
            </w:pPr>
            <w:r w:rsidRPr="00346D1C">
              <w:rPr>
                <w:rFonts w:ascii="Georgia" w:hAnsi="Georgia" w:cs="Times New Roman"/>
                <w:color w:val="000000" w:themeColor="text1"/>
                <w:sz w:val="24"/>
                <w:szCs w:val="24"/>
              </w:rPr>
              <w:t>The ILO defines underemployment as the ‘underutilisation of the productive capacity of the employed population in relation to an alternative employment situation in which persons are willing and able to engage’. It furthermore states that ‘time-related underemployment exists when the hours of work of an employed person are insufficient in relation to an alternative employment situation in which the person is willing and available to engage’.</w:t>
            </w:r>
          </w:p>
        </w:tc>
      </w:tr>
      <w:tr w:rsidR="00346D1C" w:rsidRPr="00346D1C" w14:paraId="3EF8F2B9" w14:textId="77777777" w:rsidTr="00F969F9">
        <w:trPr>
          <w:trHeight w:val="288"/>
        </w:trPr>
        <w:tc>
          <w:tcPr>
            <w:tcW w:w="1147" w:type="pct"/>
            <w:shd w:val="clear" w:color="auto" w:fill="F7CAAC" w:themeFill="accent2" w:themeFillTint="66"/>
            <w:vAlign w:val="center"/>
          </w:tcPr>
          <w:p w14:paraId="584D4571" w14:textId="77777777" w:rsidR="004F2587" w:rsidRPr="00346D1C" w:rsidRDefault="004F2587" w:rsidP="00346D1C">
            <w:pPr>
              <w:rPr>
                <w:rFonts w:ascii="Georgia" w:eastAsia="Constantia" w:hAnsi="Georgia" w:cs="Times New Roman"/>
                <w:color w:val="000000" w:themeColor="text1"/>
                <w:sz w:val="24"/>
                <w:szCs w:val="24"/>
                <w:lang w:eastAsia="en-GB"/>
              </w:rPr>
            </w:pPr>
            <w:r w:rsidRPr="00346D1C">
              <w:rPr>
                <w:rFonts w:ascii="Georgia" w:eastAsia="Constantia" w:hAnsi="Georgia" w:cs="Times New Roman"/>
                <w:color w:val="000000" w:themeColor="text1"/>
                <w:sz w:val="24"/>
                <w:szCs w:val="24"/>
                <w:lang w:eastAsia="en-GB"/>
              </w:rPr>
              <w:t>Vulnerable employment</w:t>
            </w:r>
          </w:p>
        </w:tc>
        <w:tc>
          <w:tcPr>
            <w:tcW w:w="3853" w:type="pct"/>
            <w:shd w:val="clear" w:color="auto" w:fill="FBE4D5" w:themeFill="accent2" w:themeFillTint="33"/>
            <w:vAlign w:val="center"/>
          </w:tcPr>
          <w:p w14:paraId="276DEBB9" w14:textId="77777777" w:rsidR="004F2587" w:rsidRPr="00346D1C" w:rsidRDefault="004F2587" w:rsidP="00346D1C">
            <w:pPr>
              <w:spacing w:before="120" w:after="120"/>
              <w:rPr>
                <w:rFonts w:ascii="Georgia" w:hAnsi="Georgia" w:cs="Times New Roman"/>
                <w:color w:val="000000" w:themeColor="text1"/>
                <w:sz w:val="24"/>
                <w:szCs w:val="24"/>
              </w:rPr>
            </w:pPr>
            <w:r w:rsidRPr="00346D1C">
              <w:rPr>
                <w:rFonts w:ascii="Georgia" w:hAnsi="Georgia" w:cs="Times New Roman"/>
                <w:color w:val="000000" w:themeColor="text1"/>
                <w:sz w:val="24"/>
                <w:szCs w:val="24"/>
              </w:rPr>
              <w:t>The ILO defines vulnerable employment as the sum of own account workers and contributing family workers. This means that there is overlap between the two definitions, with most of vulnerable employment being a sub-set of informal employment.</w:t>
            </w:r>
          </w:p>
        </w:tc>
      </w:tr>
    </w:tbl>
    <w:p w14:paraId="35907F0D" w14:textId="1A9E22A5" w:rsidR="00346D1C" w:rsidRDefault="00035211" w:rsidP="0049594B">
      <w:pPr>
        <w:pStyle w:val="Heading1"/>
        <w:spacing w:before="0" w:line="240" w:lineRule="auto"/>
        <w:rPr>
          <w:rFonts w:ascii="Georgia" w:hAnsi="Georgia" w:cs="Times New Roman"/>
          <w:b/>
        </w:rPr>
      </w:pPr>
      <w:r w:rsidRPr="00346D1C">
        <w:rPr>
          <w:color w:val="000000" w:themeColor="text1"/>
        </w:rPr>
        <w:br w:type="page"/>
      </w:r>
      <w:bookmarkStart w:id="6" w:name="_Toc145928776"/>
      <w:r w:rsidR="004F2587" w:rsidRPr="0049594B">
        <w:rPr>
          <w:rFonts w:ascii="Georgia" w:hAnsi="Georgia" w:cs="Times New Roman"/>
          <w:b/>
          <w:bCs/>
          <w:color w:val="auto"/>
        </w:rPr>
        <w:t>Foreword</w:t>
      </w:r>
      <w:bookmarkEnd w:id="6"/>
      <w:r w:rsidR="00346D1C" w:rsidRPr="00346D1C">
        <w:rPr>
          <w:rFonts w:ascii="Georgia" w:hAnsi="Georgia" w:cs="Times New Roman"/>
          <w:b/>
        </w:rPr>
        <w:br/>
      </w:r>
    </w:p>
    <w:p w14:paraId="3FA3C578" w14:textId="77777777" w:rsidR="00346D1C" w:rsidRDefault="00346D1C">
      <w:pPr>
        <w:rPr>
          <w:rFonts w:ascii="Georgia" w:hAnsi="Georgia" w:cs="Times New Roman"/>
          <w:b/>
          <w:sz w:val="32"/>
          <w:szCs w:val="32"/>
        </w:rPr>
      </w:pPr>
      <w:r>
        <w:rPr>
          <w:rFonts w:ascii="Georgia" w:hAnsi="Georgia" w:cs="Times New Roman"/>
          <w:b/>
          <w:sz w:val="32"/>
          <w:szCs w:val="32"/>
        </w:rPr>
        <w:br w:type="page"/>
      </w:r>
    </w:p>
    <w:p w14:paraId="5BA9C2AC" w14:textId="77777777" w:rsidR="004F2587" w:rsidRPr="00346D1C" w:rsidRDefault="004F2587" w:rsidP="004F2587">
      <w:pPr>
        <w:rPr>
          <w:rFonts w:ascii="Georgia" w:hAnsi="Georgia" w:cs="Times New Roman"/>
          <w:b/>
          <w:sz w:val="32"/>
          <w:szCs w:val="32"/>
        </w:rPr>
      </w:pPr>
    </w:p>
    <w:p w14:paraId="1F49ABDF" w14:textId="3F345FAB" w:rsidR="00346D1C" w:rsidRPr="0049594B" w:rsidRDefault="004F2587" w:rsidP="0049594B">
      <w:pPr>
        <w:pStyle w:val="Heading1"/>
        <w:spacing w:before="0" w:line="240" w:lineRule="auto"/>
        <w:rPr>
          <w:rFonts w:ascii="Georgia" w:hAnsi="Georgia" w:cs="Times New Roman"/>
          <w:b/>
          <w:bCs/>
          <w:color w:val="auto"/>
        </w:rPr>
      </w:pPr>
      <w:bookmarkStart w:id="7" w:name="_Toc145928777"/>
      <w:r w:rsidRPr="0049594B">
        <w:rPr>
          <w:rFonts w:ascii="Georgia" w:hAnsi="Georgia" w:cs="Times New Roman"/>
          <w:b/>
          <w:bCs/>
          <w:color w:val="auto"/>
        </w:rPr>
        <w:t>Acknowledgement</w:t>
      </w:r>
      <w:bookmarkEnd w:id="7"/>
      <w:r w:rsidRPr="0049594B">
        <w:rPr>
          <w:rFonts w:ascii="Georgia" w:hAnsi="Georgia" w:cs="Times New Roman"/>
          <w:b/>
          <w:bCs/>
          <w:color w:val="auto"/>
        </w:rPr>
        <w:t xml:space="preserve"> </w:t>
      </w:r>
    </w:p>
    <w:p w14:paraId="5746F3F8" w14:textId="77777777" w:rsidR="00346D1C" w:rsidRDefault="00346D1C">
      <w:pPr>
        <w:rPr>
          <w:rFonts w:ascii="Georgia" w:hAnsi="Georgia" w:cs="Times New Roman"/>
          <w:b/>
          <w:sz w:val="32"/>
          <w:szCs w:val="32"/>
        </w:rPr>
      </w:pPr>
      <w:r>
        <w:rPr>
          <w:rFonts w:ascii="Georgia" w:hAnsi="Georgia" w:cs="Times New Roman"/>
          <w:b/>
          <w:sz w:val="32"/>
          <w:szCs w:val="32"/>
        </w:rPr>
        <w:br w:type="page"/>
      </w:r>
    </w:p>
    <w:p w14:paraId="10E1BDA0" w14:textId="77777777" w:rsidR="004F2587" w:rsidRPr="00346D1C" w:rsidRDefault="004F2587" w:rsidP="004F2587">
      <w:pPr>
        <w:rPr>
          <w:rFonts w:ascii="Georgia" w:hAnsi="Georgia" w:cs="Times New Roman"/>
          <w:b/>
          <w:sz w:val="32"/>
          <w:szCs w:val="32"/>
        </w:rPr>
      </w:pPr>
    </w:p>
    <w:p w14:paraId="3245DF78" w14:textId="33E625EC" w:rsidR="00C0323C" w:rsidRPr="00346D1C" w:rsidRDefault="00C0323C" w:rsidP="004F2587">
      <w:pPr>
        <w:rPr>
          <w:rFonts w:ascii="Georgia" w:hAnsi="Georgia" w:cs="Times New Roman"/>
          <w:b/>
          <w:bCs/>
          <w:sz w:val="24"/>
          <w:szCs w:val="24"/>
        </w:rPr>
      </w:pPr>
      <w:r w:rsidRPr="00346D1C">
        <w:rPr>
          <w:rFonts w:ascii="Georgia" w:hAnsi="Georgia" w:cs="Times New Roman"/>
          <w:b/>
          <w:bCs/>
          <w:sz w:val="24"/>
          <w:szCs w:val="24"/>
        </w:rPr>
        <w:t>General introduction to the inequality diagnostic</w:t>
      </w:r>
      <w:bookmarkEnd w:id="4"/>
    </w:p>
    <w:p w14:paraId="0B06CE42" w14:textId="77777777" w:rsidR="00830441" w:rsidRPr="00346D1C" w:rsidRDefault="00830441" w:rsidP="00C0323C">
      <w:pPr>
        <w:spacing w:after="120" w:line="240" w:lineRule="auto"/>
        <w:jc w:val="both"/>
        <w:rPr>
          <w:rFonts w:ascii="Georgia" w:eastAsia="Constantia" w:hAnsi="Georgia" w:cs="Times New Roman"/>
          <w:sz w:val="24"/>
          <w:szCs w:val="24"/>
        </w:rPr>
      </w:pPr>
    </w:p>
    <w:p w14:paraId="69BF2A1B" w14:textId="2665F7C4" w:rsidR="00C0323C" w:rsidRPr="00346D1C" w:rsidRDefault="00C0323C" w:rsidP="00C0323C">
      <w:pPr>
        <w:spacing w:after="120" w:line="240" w:lineRule="auto"/>
        <w:jc w:val="both"/>
        <w:rPr>
          <w:rFonts w:ascii="Georgia" w:eastAsia="Constantia" w:hAnsi="Georgia" w:cs="Times New Roman"/>
          <w:sz w:val="24"/>
          <w:szCs w:val="24"/>
        </w:rPr>
      </w:pPr>
      <w:r w:rsidRPr="00346D1C">
        <w:rPr>
          <w:rFonts w:ascii="Georgia" w:eastAsia="Constantia" w:hAnsi="Georgia" w:cs="Times New Roman"/>
          <w:sz w:val="24"/>
          <w:szCs w:val="24"/>
        </w:rPr>
        <w:t xml:space="preserve">Inequality has gained increased priority in global development agendas, with UN member countries committing to </w:t>
      </w:r>
      <w:r w:rsidRPr="00346D1C">
        <w:rPr>
          <w:rFonts w:ascii="Georgia" w:eastAsia="Constantia" w:hAnsi="Georgia" w:cs="Times New Roman"/>
          <w:i/>
          <w:iCs/>
          <w:sz w:val="24"/>
          <w:szCs w:val="24"/>
        </w:rPr>
        <w:t>leave no one behind</w:t>
      </w:r>
      <w:r w:rsidRPr="00346D1C">
        <w:rPr>
          <w:rFonts w:ascii="Georgia" w:eastAsia="Constantia" w:hAnsi="Georgia" w:cs="Times New Roman"/>
          <w:sz w:val="24"/>
          <w:szCs w:val="24"/>
        </w:rPr>
        <w:t xml:space="preserve"> (LNOB) in pursuing the 2030 Sustainable Development Goals (SDGs), as well as the Sustainable Development Goal No. 10 (reduced inequalities). Yet, while inequality has decreased on a global scale this century, progress has been relatively limited at regional and national level or has even been undone as a result of the </w:t>
      </w:r>
      <w:r w:rsidR="005C3D12" w:rsidRPr="00346D1C">
        <w:rPr>
          <w:rFonts w:ascii="Georgia" w:eastAsia="Constantia" w:hAnsi="Georgia" w:cs="Times New Roman"/>
          <w:sz w:val="24"/>
          <w:szCs w:val="24"/>
        </w:rPr>
        <w:t>COVID</w:t>
      </w:r>
      <w:r w:rsidRPr="00346D1C">
        <w:rPr>
          <w:rFonts w:ascii="Georgia" w:eastAsia="Constantia" w:hAnsi="Georgia" w:cs="Times New Roman"/>
          <w:sz w:val="24"/>
          <w:szCs w:val="24"/>
        </w:rPr>
        <w:t>-19 pandemic</w:t>
      </w:r>
      <w:r w:rsidR="0024558B" w:rsidRPr="00346D1C">
        <w:rPr>
          <w:rFonts w:ascii="Georgia" w:eastAsia="Constantia" w:hAnsi="Georgia" w:cs="Times New Roman"/>
          <w:sz w:val="24"/>
          <w:szCs w:val="24"/>
        </w:rPr>
        <w:t xml:space="preserve"> </w:t>
      </w:r>
      <w:r w:rsidR="006D6DA8" w:rsidRPr="00346D1C">
        <w:rPr>
          <w:rFonts w:ascii="Georgia" w:eastAsia="Constantia" w:hAnsi="Georgia" w:cs="Times New Roman"/>
          <w:sz w:val="24"/>
          <w:szCs w:val="24"/>
        </w:rPr>
        <w:t>and current geopolitical tensions</w:t>
      </w:r>
      <w:r w:rsidRPr="00346D1C">
        <w:rPr>
          <w:rFonts w:ascii="Georgia" w:eastAsia="Constantia" w:hAnsi="Georgia" w:cs="Times New Roman"/>
          <w:sz w:val="24"/>
          <w:szCs w:val="24"/>
        </w:rPr>
        <w:t>. In fact, “[m]ore than 70 percent of the world population now live in countries where income inequality has increased in the last three decades”.</w:t>
      </w:r>
      <w:r w:rsidRPr="00346D1C">
        <w:rPr>
          <w:rStyle w:val="FootnoteReference"/>
          <w:rFonts w:ascii="Georgia" w:eastAsia="Constantia" w:hAnsi="Georgia" w:cs="Times New Roman"/>
          <w:sz w:val="24"/>
          <w:szCs w:val="24"/>
        </w:rPr>
        <w:footnoteReference w:id="2"/>
      </w:r>
      <w:r w:rsidRPr="00346D1C">
        <w:rPr>
          <w:rFonts w:ascii="Georgia" w:eastAsia="Constantia" w:hAnsi="Georgia" w:cs="Times New Roman"/>
          <w:sz w:val="24"/>
          <w:szCs w:val="24"/>
        </w:rPr>
        <w:t xml:space="preserve"> Incorporating inequality effectively into national development strategies requires a deeper understanding of its context-specific causes and drivers, the national debate and individual perceptions, as well as the range and feasibility of potential solutions.</w:t>
      </w:r>
    </w:p>
    <w:p w14:paraId="65BF4817" w14:textId="7E0E1014" w:rsidR="00C0323C" w:rsidRPr="00346D1C" w:rsidRDefault="00C0323C" w:rsidP="00C0323C">
      <w:pPr>
        <w:spacing w:after="0" w:line="240" w:lineRule="auto"/>
        <w:jc w:val="both"/>
        <w:rPr>
          <w:rFonts w:ascii="Georgia" w:hAnsi="Georgia" w:cs="Times New Roman"/>
          <w:sz w:val="24"/>
          <w:szCs w:val="24"/>
          <w:lang w:eastAsia="de-DE"/>
        </w:rPr>
      </w:pPr>
      <w:r w:rsidRPr="00346D1C">
        <w:rPr>
          <w:rFonts w:ascii="Georgia" w:eastAsia="Constantia" w:hAnsi="Georgia" w:cs="Times New Roman"/>
          <w:sz w:val="24"/>
          <w:szCs w:val="24"/>
        </w:rPr>
        <w:t xml:space="preserve">This diagnostic provides a framework for </w:t>
      </w:r>
      <w:r w:rsidR="00CD1E3B" w:rsidRPr="00346D1C">
        <w:rPr>
          <w:rFonts w:ascii="Georgia" w:eastAsia="Constantia" w:hAnsi="Georgia" w:cs="Times New Roman"/>
          <w:sz w:val="24"/>
          <w:szCs w:val="24"/>
        </w:rPr>
        <w:t xml:space="preserve">potential further collaboration between the </w:t>
      </w:r>
      <w:r w:rsidR="00851C8F" w:rsidRPr="00346D1C">
        <w:rPr>
          <w:rFonts w:ascii="Georgia" w:eastAsia="Constantia" w:hAnsi="Georgia" w:cs="Times New Roman"/>
          <w:sz w:val="24"/>
          <w:szCs w:val="24"/>
        </w:rPr>
        <w:t xml:space="preserve">National Gender and Equality Commission </w:t>
      </w:r>
      <w:r w:rsidR="00CB6832" w:rsidRPr="00346D1C">
        <w:rPr>
          <w:rFonts w:ascii="Georgia" w:eastAsia="Constantia" w:hAnsi="Georgia" w:cs="Times New Roman"/>
          <w:sz w:val="24"/>
          <w:szCs w:val="24"/>
        </w:rPr>
        <w:t xml:space="preserve">(NGEC) </w:t>
      </w:r>
      <w:r w:rsidR="00851C8F" w:rsidRPr="00346D1C">
        <w:rPr>
          <w:rFonts w:ascii="Georgia" w:eastAsia="Constantia" w:hAnsi="Georgia" w:cs="Times New Roman"/>
          <w:sz w:val="24"/>
          <w:szCs w:val="24"/>
        </w:rPr>
        <w:t xml:space="preserve">and </w:t>
      </w:r>
      <w:r w:rsidR="002A525D" w:rsidRPr="002A525D">
        <w:rPr>
          <w:rFonts w:ascii="Georgia" w:eastAsia="Constantia" w:hAnsi="Georgia" w:cs="Times New Roman"/>
          <w:sz w:val="24"/>
          <w:szCs w:val="24"/>
        </w:rPr>
        <w:t xml:space="preserve">Deutsche Gesellschaft für Internationale Zusammenarbeit </w:t>
      </w:r>
      <w:r w:rsidR="00F34571" w:rsidRPr="00F34571">
        <w:rPr>
          <w:rFonts w:ascii="Georgia" w:eastAsia="Constantia" w:hAnsi="Georgia" w:cs="Times New Roman"/>
          <w:sz w:val="24"/>
          <w:szCs w:val="24"/>
        </w:rPr>
        <w:t xml:space="preserve">GmBH </w:t>
      </w:r>
      <w:r w:rsidR="002A525D" w:rsidRPr="002A525D">
        <w:rPr>
          <w:rFonts w:ascii="Georgia" w:eastAsia="Constantia" w:hAnsi="Georgia" w:cs="Times New Roman"/>
          <w:sz w:val="24"/>
          <w:szCs w:val="24"/>
        </w:rPr>
        <w:t>(</w:t>
      </w:r>
      <w:r w:rsidR="00CB6832" w:rsidRPr="00346D1C">
        <w:rPr>
          <w:rFonts w:ascii="Georgia" w:eastAsia="Constantia" w:hAnsi="Georgia" w:cs="Times New Roman"/>
          <w:sz w:val="24"/>
          <w:szCs w:val="24"/>
        </w:rPr>
        <w:t>GIZ</w:t>
      </w:r>
      <w:r w:rsidR="002A525D">
        <w:rPr>
          <w:rFonts w:ascii="Georgia" w:eastAsia="Constantia" w:hAnsi="Georgia" w:cs="Times New Roman"/>
          <w:sz w:val="24"/>
          <w:szCs w:val="24"/>
        </w:rPr>
        <w:t>)</w:t>
      </w:r>
      <w:r w:rsidR="008C4A94" w:rsidRPr="00346D1C">
        <w:rPr>
          <w:rFonts w:ascii="Georgia" w:eastAsia="Constantia" w:hAnsi="Georgia" w:cs="Times New Roman"/>
          <w:sz w:val="24"/>
          <w:szCs w:val="24"/>
        </w:rPr>
        <w:t xml:space="preserve">. It </w:t>
      </w:r>
      <w:r w:rsidRPr="00346D1C">
        <w:rPr>
          <w:rFonts w:ascii="Georgia" w:eastAsia="Constantia" w:hAnsi="Georgia" w:cs="Times New Roman"/>
          <w:sz w:val="24"/>
          <w:szCs w:val="24"/>
        </w:rPr>
        <w:t>focus</w:t>
      </w:r>
      <w:r w:rsidR="008C4A94" w:rsidRPr="00346D1C">
        <w:rPr>
          <w:rFonts w:ascii="Georgia" w:eastAsia="Constantia" w:hAnsi="Georgia" w:cs="Times New Roman"/>
          <w:sz w:val="24"/>
          <w:szCs w:val="24"/>
        </w:rPr>
        <w:t xml:space="preserve">es on the </w:t>
      </w:r>
      <w:r w:rsidRPr="00346D1C">
        <w:rPr>
          <w:rFonts w:ascii="Georgia" w:eastAsia="Constantia" w:hAnsi="Georgia" w:cs="Times New Roman"/>
          <w:sz w:val="24"/>
          <w:szCs w:val="24"/>
        </w:rPr>
        <w:t xml:space="preserve">socio-economic perspective in </w:t>
      </w:r>
      <w:r w:rsidR="008C4A94" w:rsidRPr="00346D1C">
        <w:rPr>
          <w:rFonts w:ascii="Georgia" w:eastAsia="Constantia" w:hAnsi="Georgia" w:cs="Times New Roman"/>
          <w:sz w:val="24"/>
          <w:szCs w:val="24"/>
        </w:rPr>
        <w:t>Kenya</w:t>
      </w:r>
      <w:r w:rsidRPr="00346D1C">
        <w:rPr>
          <w:rFonts w:ascii="Georgia" w:eastAsia="Constantia" w:hAnsi="Georgia" w:cs="Times New Roman"/>
          <w:sz w:val="24"/>
          <w:szCs w:val="24"/>
        </w:rPr>
        <w:t xml:space="preserve">. </w:t>
      </w:r>
      <w:r w:rsidR="00414108" w:rsidRPr="00346D1C">
        <w:rPr>
          <w:rFonts w:ascii="Georgia" w:eastAsia="Constantia" w:hAnsi="Georgia" w:cs="Times New Roman"/>
          <w:sz w:val="24"/>
          <w:szCs w:val="24"/>
        </w:rPr>
        <w:t>The</w:t>
      </w:r>
      <w:r w:rsidRPr="00346D1C">
        <w:rPr>
          <w:rFonts w:ascii="Georgia" w:eastAsia="Constantia" w:hAnsi="Georgia" w:cs="Times New Roman"/>
          <w:sz w:val="24"/>
          <w:szCs w:val="24"/>
        </w:rPr>
        <w:t xml:space="preserve"> assessment aim</w:t>
      </w:r>
      <w:r w:rsidR="00414108" w:rsidRPr="00346D1C">
        <w:rPr>
          <w:rFonts w:ascii="Georgia" w:eastAsia="Constantia" w:hAnsi="Georgia" w:cs="Times New Roman"/>
          <w:sz w:val="24"/>
          <w:szCs w:val="24"/>
        </w:rPr>
        <w:t>s</w:t>
      </w:r>
      <w:r w:rsidRPr="00346D1C">
        <w:rPr>
          <w:rFonts w:ascii="Georgia" w:eastAsia="Constantia" w:hAnsi="Georgia" w:cs="Times New Roman"/>
          <w:sz w:val="24"/>
          <w:szCs w:val="24"/>
        </w:rPr>
        <w:t xml:space="preserve"> to stimulate dialogue, partnerships and further research around inequality and, ultimately, to have a positive impact on inclusive development through informed interventions. The structure of the diagnostic is designed to build insight into how and why inequality manifests in different environments and its implications for development, before summarising the debates and perceptions around this topic, and outlining potential solutions and key areas for policy options and programme implementation.</w:t>
      </w:r>
      <w:r w:rsidRPr="00346D1C">
        <w:rPr>
          <w:rFonts w:ascii="Georgia" w:hAnsi="Georgia" w:cs="Times New Roman"/>
          <w:sz w:val="24"/>
          <w:szCs w:val="24"/>
          <w:lang w:eastAsia="de-DE"/>
        </w:rPr>
        <w:t xml:space="preserve"> </w:t>
      </w:r>
    </w:p>
    <w:p w14:paraId="33F326FB" w14:textId="122B4759" w:rsidR="00173001" w:rsidRPr="00346D1C" w:rsidRDefault="00173001" w:rsidP="00C0323C">
      <w:pPr>
        <w:spacing w:after="0" w:line="240" w:lineRule="auto"/>
        <w:jc w:val="both"/>
        <w:rPr>
          <w:rFonts w:ascii="Georgia" w:hAnsi="Georgia" w:cs="Times New Roman"/>
          <w:sz w:val="24"/>
          <w:szCs w:val="24"/>
          <w:lang w:eastAsia="de-DE"/>
        </w:rPr>
      </w:pPr>
    </w:p>
    <w:p w14:paraId="03C3FF33" w14:textId="5F5B2114" w:rsidR="00173001" w:rsidRPr="00346D1C" w:rsidRDefault="00173001" w:rsidP="00173001">
      <w:pPr>
        <w:spacing w:after="120" w:line="240" w:lineRule="auto"/>
        <w:jc w:val="both"/>
        <w:rPr>
          <w:rFonts w:ascii="Georgia" w:eastAsia="Constantia" w:hAnsi="Georgia" w:cs="Times New Roman"/>
          <w:sz w:val="24"/>
          <w:szCs w:val="24"/>
        </w:rPr>
      </w:pPr>
      <w:r w:rsidRPr="00346D1C">
        <w:rPr>
          <w:rFonts w:ascii="Georgia" w:eastAsia="Constantia" w:hAnsi="Georgia" w:cs="Times New Roman"/>
          <w:sz w:val="24"/>
          <w:szCs w:val="24"/>
        </w:rPr>
        <w:t xml:space="preserve">The diagnostic starts with a macroeconomic overview that presents the major developments </w:t>
      </w:r>
      <w:r w:rsidR="00A63EDD" w:rsidRPr="00346D1C">
        <w:rPr>
          <w:rFonts w:ascii="Georgia" w:eastAsia="Constantia" w:hAnsi="Georgia" w:cs="Times New Roman"/>
          <w:sz w:val="24"/>
          <w:szCs w:val="24"/>
        </w:rPr>
        <w:t>in the past decades</w:t>
      </w:r>
      <w:r w:rsidRPr="00346D1C">
        <w:rPr>
          <w:rFonts w:ascii="Georgia" w:eastAsia="Constantia" w:hAnsi="Georgia" w:cs="Times New Roman"/>
          <w:sz w:val="24"/>
          <w:szCs w:val="24"/>
        </w:rPr>
        <w:t xml:space="preserve"> in terms of economic growth, poverty and inequality. The remainder of the diagnostic is structured as follows. Section 1 describes and analyses the causes and drivers of inequality in the areas of labour market developments, taxes and transfers, and gender. Section 2 presents the major national policies and strategies and discusses to what extent inequality features in them. This section also briefly discusses the strategies of key international donors. </w:t>
      </w:r>
      <w:r w:rsidR="00C2471B" w:rsidRPr="00346D1C">
        <w:rPr>
          <w:rFonts w:ascii="Georgia" w:eastAsia="Constantia" w:hAnsi="Georgia" w:cs="Times New Roman"/>
          <w:sz w:val="24"/>
          <w:szCs w:val="24"/>
        </w:rPr>
        <w:t xml:space="preserve">Finally, </w:t>
      </w:r>
      <w:r w:rsidRPr="00346D1C">
        <w:rPr>
          <w:rFonts w:ascii="Georgia" w:eastAsia="Constantia" w:hAnsi="Georgia" w:cs="Times New Roman"/>
          <w:sz w:val="24"/>
          <w:szCs w:val="24"/>
        </w:rPr>
        <w:t>Section 3 presents selected policy options to address inequality.</w:t>
      </w:r>
    </w:p>
    <w:p w14:paraId="1121FB02" w14:textId="7C4C3399" w:rsidR="00173001" w:rsidRPr="00346D1C" w:rsidRDefault="00283F2F" w:rsidP="00173001">
      <w:pPr>
        <w:pBdr>
          <w:top w:val="nil"/>
          <w:left w:val="nil"/>
          <w:bottom w:val="nil"/>
          <w:right w:val="nil"/>
          <w:between w:val="nil"/>
        </w:pBdr>
        <w:spacing w:after="120" w:line="240" w:lineRule="auto"/>
        <w:jc w:val="both"/>
        <w:rPr>
          <w:rFonts w:ascii="Georgia" w:eastAsia="Constantia" w:hAnsi="Georgia" w:cs="Times New Roman"/>
          <w:sz w:val="24"/>
          <w:szCs w:val="24"/>
        </w:rPr>
      </w:pPr>
      <w:r w:rsidRPr="00346D1C">
        <w:rPr>
          <w:rFonts w:ascii="Georgia" w:eastAsia="Constantia" w:hAnsi="Georgia" w:cs="Times New Roman"/>
          <w:color w:val="000000" w:themeColor="text1"/>
          <w:sz w:val="24"/>
          <w:szCs w:val="24"/>
        </w:rPr>
        <w:t xml:space="preserve">The </w:t>
      </w:r>
      <w:r w:rsidR="0088043C" w:rsidRPr="00346D1C">
        <w:rPr>
          <w:rFonts w:ascii="Georgia" w:eastAsia="Constantia" w:hAnsi="Georgia" w:cs="Times New Roman"/>
          <w:color w:val="000000" w:themeColor="text1"/>
          <w:sz w:val="24"/>
          <w:szCs w:val="24"/>
        </w:rPr>
        <w:t>diagnostic is mainly based on secondary data.</w:t>
      </w:r>
      <w:r w:rsidR="00DE4A02" w:rsidRPr="00346D1C">
        <w:rPr>
          <w:rFonts w:ascii="Georgia" w:eastAsia="Constantia" w:hAnsi="Georgia" w:cs="Times New Roman"/>
          <w:color w:val="000000" w:themeColor="text1"/>
          <w:sz w:val="24"/>
          <w:szCs w:val="24"/>
        </w:rPr>
        <w:t xml:space="preserve"> No primary survey data are </w:t>
      </w:r>
      <w:r w:rsidR="00386D3B" w:rsidRPr="00346D1C">
        <w:rPr>
          <w:rFonts w:ascii="Georgia" w:eastAsia="Constantia" w:hAnsi="Georgia" w:cs="Times New Roman"/>
          <w:color w:val="000000" w:themeColor="text1"/>
          <w:sz w:val="24"/>
          <w:szCs w:val="24"/>
        </w:rPr>
        <w:t>being collected.</w:t>
      </w:r>
      <w:r w:rsidR="00D06AA7" w:rsidRPr="00346D1C">
        <w:rPr>
          <w:rFonts w:ascii="Georgia" w:eastAsia="Constantia" w:hAnsi="Georgia" w:cs="Times New Roman"/>
          <w:color w:val="000000" w:themeColor="text1"/>
          <w:sz w:val="24"/>
          <w:szCs w:val="24"/>
        </w:rPr>
        <w:t xml:space="preserve"> </w:t>
      </w:r>
      <w:r w:rsidR="00172C7E" w:rsidRPr="00346D1C">
        <w:rPr>
          <w:rFonts w:ascii="Georgia" w:eastAsia="Constantia" w:hAnsi="Georgia" w:cs="Times New Roman"/>
          <w:color w:val="000000" w:themeColor="text1"/>
          <w:sz w:val="24"/>
          <w:szCs w:val="24"/>
        </w:rPr>
        <w:t xml:space="preserve">Some inputs are obtained from the NGEC </w:t>
      </w:r>
      <w:r w:rsidR="00CB6832" w:rsidRPr="00346D1C">
        <w:rPr>
          <w:rFonts w:ascii="Georgia" w:eastAsia="Constantia" w:hAnsi="Georgia" w:cs="Times New Roman"/>
          <w:color w:val="000000" w:themeColor="text1"/>
          <w:sz w:val="24"/>
          <w:szCs w:val="24"/>
        </w:rPr>
        <w:t>policy arm</w:t>
      </w:r>
      <w:r w:rsidR="002A525D">
        <w:rPr>
          <w:rFonts w:ascii="Georgia" w:eastAsia="Constantia" w:hAnsi="Georgia" w:cs="Times New Roman"/>
          <w:color w:val="000000" w:themeColor="text1"/>
          <w:sz w:val="24"/>
          <w:szCs w:val="24"/>
        </w:rPr>
        <w:t xml:space="preserve"> while additional inputs and comments </w:t>
      </w:r>
      <w:r w:rsidR="002A525D" w:rsidRPr="002A525D">
        <w:rPr>
          <w:rFonts w:ascii="Georgia" w:eastAsia="Constantia" w:hAnsi="Georgia" w:cs="Times New Roman"/>
          <w:color w:val="000000" w:themeColor="text1"/>
          <w:sz w:val="24"/>
          <w:szCs w:val="24"/>
          <w:highlight w:val="yellow"/>
        </w:rPr>
        <w:t xml:space="preserve">were received from xxxx partners during a consultative meeting held </w:t>
      </w:r>
      <w:r w:rsidR="00175FC0">
        <w:rPr>
          <w:rFonts w:ascii="Georgia" w:eastAsia="Constantia" w:hAnsi="Georgia" w:cs="Times New Roman"/>
          <w:color w:val="000000" w:themeColor="text1"/>
          <w:sz w:val="24"/>
          <w:szCs w:val="24"/>
          <w:highlight w:val="yellow"/>
        </w:rPr>
        <w:t xml:space="preserve">in Nairobi </w:t>
      </w:r>
      <w:r w:rsidR="002A525D" w:rsidRPr="002A525D">
        <w:rPr>
          <w:rFonts w:ascii="Georgia" w:eastAsia="Constantia" w:hAnsi="Georgia" w:cs="Times New Roman"/>
          <w:color w:val="000000" w:themeColor="text1"/>
          <w:sz w:val="24"/>
          <w:szCs w:val="24"/>
          <w:highlight w:val="yellow"/>
        </w:rPr>
        <w:t>on 22 September 2023</w:t>
      </w:r>
      <w:r w:rsidR="00CB6832" w:rsidRPr="002A525D">
        <w:rPr>
          <w:rFonts w:ascii="Georgia" w:eastAsia="Constantia" w:hAnsi="Georgia" w:cs="Times New Roman"/>
          <w:color w:val="000000" w:themeColor="text1"/>
          <w:sz w:val="24"/>
          <w:szCs w:val="24"/>
          <w:highlight w:val="yellow"/>
        </w:rPr>
        <w:t>.</w:t>
      </w:r>
      <w:r w:rsidR="00CB6832" w:rsidRPr="00346D1C">
        <w:rPr>
          <w:rFonts w:ascii="Georgia" w:eastAsia="Constantia" w:hAnsi="Georgia" w:cs="Times New Roman"/>
          <w:color w:val="000000" w:themeColor="text1"/>
          <w:sz w:val="24"/>
          <w:szCs w:val="24"/>
        </w:rPr>
        <w:t xml:space="preserve"> </w:t>
      </w:r>
      <w:r w:rsidR="00173001" w:rsidRPr="00346D1C">
        <w:rPr>
          <w:rFonts w:ascii="Georgia" w:eastAsia="Constantia" w:hAnsi="Georgia" w:cs="Times New Roman"/>
          <w:color w:val="000000" w:themeColor="text1"/>
          <w:sz w:val="24"/>
          <w:szCs w:val="24"/>
        </w:rPr>
        <w:t>The bulk of analysed data is sourced from international organisations,</w:t>
      </w:r>
      <w:r w:rsidR="00173001" w:rsidRPr="00346D1C">
        <w:rPr>
          <w:rStyle w:val="FootnoteReference"/>
          <w:rFonts w:ascii="Georgia" w:eastAsia="Constantia" w:hAnsi="Georgia" w:cs="Times New Roman"/>
          <w:color w:val="000000" w:themeColor="text1"/>
          <w:sz w:val="24"/>
          <w:szCs w:val="24"/>
        </w:rPr>
        <w:footnoteReference w:id="3"/>
      </w:r>
      <w:r w:rsidR="00173001" w:rsidRPr="00346D1C">
        <w:rPr>
          <w:rFonts w:ascii="Georgia" w:eastAsia="Constantia" w:hAnsi="Georgia" w:cs="Times New Roman"/>
          <w:color w:val="000000" w:themeColor="text1"/>
          <w:sz w:val="24"/>
          <w:szCs w:val="24"/>
        </w:rPr>
        <w:t xml:space="preserve"> national survey data or other institutions using standardised measures and procedures and supplemented with local databases for more detailed or more recent information. </w:t>
      </w:r>
      <w:r w:rsidR="005B00F2" w:rsidRPr="00346D1C">
        <w:rPr>
          <w:rFonts w:ascii="Georgia" w:eastAsia="Constantia" w:hAnsi="Georgia" w:cs="Times New Roman"/>
          <w:color w:val="000000" w:themeColor="text1"/>
          <w:sz w:val="24"/>
          <w:szCs w:val="24"/>
        </w:rPr>
        <w:t>K</w:t>
      </w:r>
      <w:r w:rsidR="00173001" w:rsidRPr="00346D1C">
        <w:rPr>
          <w:rFonts w:ascii="Georgia" w:eastAsia="Constantia" w:hAnsi="Georgia" w:cs="Times New Roman"/>
          <w:color w:val="000000" w:themeColor="text1"/>
          <w:sz w:val="24"/>
          <w:szCs w:val="24"/>
        </w:rPr>
        <w:t>ey source</w:t>
      </w:r>
      <w:r w:rsidR="005B00F2" w:rsidRPr="00346D1C">
        <w:rPr>
          <w:rFonts w:ascii="Georgia" w:eastAsia="Constantia" w:hAnsi="Georgia" w:cs="Times New Roman"/>
          <w:color w:val="000000" w:themeColor="text1"/>
          <w:sz w:val="24"/>
          <w:szCs w:val="24"/>
        </w:rPr>
        <w:t>s</w:t>
      </w:r>
      <w:r w:rsidR="00173001" w:rsidRPr="00346D1C">
        <w:rPr>
          <w:rFonts w:ascii="Georgia" w:eastAsia="Constantia" w:hAnsi="Georgia" w:cs="Times New Roman"/>
          <w:color w:val="000000" w:themeColor="text1"/>
          <w:sz w:val="24"/>
          <w:szCs w:val="24"/>
        </w:rPr>
        <w:t xml:space="preserve"> of data are </w:t>
      </w:r>
      <w:r w:rsidR="00173001" w:rsidRPr="00346D1C">
        <w:rPr>
          <w:rFonts w:ascii="Georgia" w:eastAsia="Constantia" w:hAnsi="Georgia" w:cs="Times New Roman"/>
          <w:bCs/>
          <w:sz w:val="24"/>
          <w:szCs w:val="24"/>
        </w:rPr>
        <w:t>the World Development Indicators</w:t>
      </w:r>
      <w:r w:rsidR="00746227" w:rsidRPr="00346D1C">
        <w:rPr>
          <w:rFonts w:ascii="Georgia" w:eastAsia="Constantia" w:hAnsi="Georgia" w:cs="Times New Roman"/>
          <w:bCs/>
          <w:sz w:val="24"/>
          <w:szCs w:val="24"/>
        </w:rPr>
        <w:t xml:space="preserve"> (WDI)</w:t>
      </w:r>
      <w:r w:rsidR="005B00F2" w:rsidRPr="00346D1C">
        <w:rPr>
          <w:rFonts w:ascii="Georgia" w:eastAsia="Constantia" w:hAnsi="Georgia" w:cs="Times New Roman"/>
          <w:bCs/>
          <w:sz w:val="24"/>
          <w:szCs w:val="24"/>
        </w:rPr>
        <w:t xml:space="preserve"> and reports of the Kenyan National Bureau of Statistics </w:t>
      </w:r>
      <w:r w:rsidR="00746227" w:rsidRPr="00346D1C">
        <w:rPr>
          <w:rFonts w:ascii="Georgia" w:eastAsia="Constantia" w:hAnsi="Georgia" w:cs="Times New Roman"/>
          <w:bCs/>
          <w:sz w:val="24"/>
          <w:szCs w:val="24"/>
        </w:rPr>
        <w:t>(KNBS)</w:t>
      </w:r>
      <w:r w:rsidR="00173001" w:rsidRPr="00346D1C">
        <w:rPr>
          <w:rFonts w:ascii="Georgia" w:eastAsia="Constantia" w:hAnsi="Georgia" w:cs="Times New Roman"/>
          <w:bCs/>
          <w:sz w:val="24"/>
          <w:szCs w:val="24"/>
        </w:rPr>
        <w:t>. Where relevant and feasible, alternative estimates of inequality are presented that make a correction for underreporting of top incomes.</w:t>
      </w:r>
    </w:p>
    <w:p w14:paraId="59EC2062" w14:textId="77777777" w:rsidR="00C02EC5" w:rsidRPr="00346D1C" w:rsidRDefault="00C02EC5">
      <w:pPr>
        <w:rPr>
          <w:rFonts w:ascii="Georgia" w:eastAsiaTheme="majorEastAsia" w:hAnsi="Georgia" w:cs="Times New Roman"/>
          <w:b/>
          <w:bCs/>
          <w:sz w:val="32"/>
          <w:szCs w:val="32"/>
        </w:rPr>
      </w:pPr>
      <w:r w:rsidRPr="00346D1C">
        <w:rPr>
          <w:rFonts w:ascii="Georgia" w:hAnsi="Georgia" w:cs="Times New Roman"/>
          <w:b/>
          <w:bCs/>
        </w:rPr>
        <w:br w:type="page"/>
      </w:r>
    </w:p>
    <w:p w14:paraId="1283F3CA" w14:textId="025A3692" w:rsidR="00DB6719" w:rsidRPr="00346D1C" w:rsidRDefault="00DB6719" w:rsidP="00AC0EDE">
      <w:pPr>
        <w:pStyle w:val="Heading1"/>
        <w:spacing w:before="0" w:after="120" w:line="240" w:lineRule="auto"/>
        <w:rPr>
          <w:rFonts w:ascii="Georgia" w:hAnsi="Georgia" w:cs="Times New Roman"/>
          <w:b/>
          <w:bCs/>
          <w:color w:val="auto"/>
        </w:rPr>
      </w:pPr>
      <w:bookmarkStart w:id="8" w:name="_Toc145928778"/>
      <w:r w:rsidRPr="00346D1C">
        <w:rPr>
          <w:rFonts w:ascii="Georgia" w:hAnsi="Georgia" w:cs="Times New Roman"/>
          <w:b/>
          <w:bCs/>
          <w:color w:val="auto"/>
        </w:rPr>
        <w:t>Executive Summary</w:t>
      </w:r>
      <w:bookmarkEnd w:id="8"/>
    </w:p>
    <w:p w14:paraId="2459FAE8" w14:textId="03D706F1" w:rsidR="00757D45" w:rsidRPr="00346D1C" w:rsidRDefault="00757D45" w:rsidP="00EE23D4">
      <w:pPr>
        <w:spacing w:after="120" w:line="240" w:lineRule="auto"/>
        <w:jc w:val="both"/>
        <w:rPr>
          <w:rFonts w:ascii="Georgia" w:eastAsiaTheme="minorEastAsia" w:hAnsi="Georgia" w:cs="Times New Roman"/>
        </w:rPr>
      </w:pPr>
    </w:p>
    <w:p w14:paraId="0E5FA449" w14:textId="77777777" w:rsidR="005D2EA0" w:rsidRPr="00346D1C" w:rsidRDefault="005D2EA0" w:rsidP="00BE1429">
      <w:pPr>
        <w:spacing w:after="120" w:line="240" w:lineRule="auto"/>
        <w:jc w:val="both"/>
        <w:rPr>
          <w:rFonts w:ascii="Georgia" w:eastAsiaTheme="minorEastAsia" w:hAnsi="Georgia" w:cs="Times New Roman"/>
          <w:i/>
          <w:iCs/>
          <w:sz w:val="24"/>
          <w:szCs w:val="24"/>
        </w:rPr>
      </w:pPr>
      <w:r w:rsidRPr="00346D1C">
        <w:rPr>
          <w:rFonts w:ascii="Georgia" w:eastAsiaTheme="minorEastAsia" w:hAnsi="Georgia" w:cs="Times New Roman"/>
          <w:i/>
          <w:iCs/>
          <w:sz w:val="24"/>
          <w:szCs w:val="24"/>
        </w:rPr>
        <w:t>Macroeconomic development</w:t>
      </w:r>
    </w:p>
    <w:p w14:paraId="062E341A" w14:textId="77777777" w:rsidR="005D2EA0" w:rsidRPr="00346D1C"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Kenya experienced volatile economic growth during the past two decades. Whereas growth was high in most years, exceptions were 2000, when Kenya was hit by drought, and 2002, which was an election year. Growth was also weak in 2008, when the economy was affected by post-election violence, while 2020 was characterised by a small contraction of the economy related to the COVID-19 pandemic. The Kenyan economy recovered in 2021-2022, especially due to the performance of the services sector.</w:t>
      </w:r>
    </w:p>
    <w:p w14:paraId="35918A09" w14:textId="77777777" w:rsidR="005D2EA0" w:rsidRPr="00346D1C"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 xml:space="preserve">Real GDP more than doubled and GDP per capita increased from approximately USD 1,100 in 2000 to USD 1,600 in 2021 (in constant 2015 prices). </w:t>
      </w:r>
    </w:p>
    <w:p w14:paraId="2B6944C7" w14:textId="00AC84B0" w:rsidR="005D2EA0" w:rsidRPr="00346D1C"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According to the World Development Indicators, approximately 64% of the Kenyan population lived in monetary poverty in 2005, earning less than USD 3.65 per day. The poverty incidence decreased to 60% in 2015 but was still much higher than the 54% of the population that was poor in 1994. Extreme poverty also declined in 2005-2015, from 37% to 29%.</w:t>
      </w:r>
      <w:r w:rsidR="003514BD" w:rsidRPr="00346D1C">
        <w:rPr>
          <w:rFonts w:ascii="Georgia" w:hAnsi="Georgia" w:cs="Times New Roman"/>
          <w:sz w:val="24"/>
          <w:szCs w:val="24"/>
        </w:rPr>
        <w:t xml:space="preserve"> </w:t>
      </w:r>
      <w:r w:rsidRPr="00346D1C">
        <w:rPr>
          <w:rFonts w:ascii="Georgia" w:hAnsi="Georgia" w:cs="Times New Roman"/>
          <w:sz w:val="24"/>
          <w:szCs w:val="24"/>
        </w:rPr>
        <w:t>KNBS (2020a: 14) estimated that the multidimensional poverty incidence was 53% in 2015/16.</w:t>
      </w:r>
    </w:p>
    <w:p w14:paraId="0080410A" w14:textId="367BF921" w:rsidR="005D2EA0" w:rsidRPr="00346D1C"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On average, the poverty rate was not different for men and women, but monetary poverty was above-average among children under 18. In comparison, the multidimensional poverty incidence was above-average among adult and elderly women. At the same time, estimates according to both definitions clearly indicate that rural poverty was much higher than urban poverty. The degree of poverty also differed across the 47 counties of Kenya, with the monetary poverty incidence in 2015/16 ranging from 17% in Nairobi to 79% in Turkana</w:t>
      </w:r>
      <w:r w:rsidR="005F40CC" w:rsidRPr="00346D1C">
        <w:rPr>
          <w:rFonts w:ascii="Georgia" w:hAnsi="Georgia" w:cs="Times New Roman"/>
          <w:sz w:val="24"/>
          <w:szCs w:val="24"/>
        </w:rPr>
        <w:t>.</w:t>
      </w:r>
    </w:p>
    <w:p w14:paraId="534BDFB1" w14:textId="77777777" w:rsidR="005D2EA0" w:rsidRPr="00346D1C"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Estimates for recent years based on the Kenya Continuous Household Surveys show a decrease of the monetary poverty incidence to 34% in 2019 (from 36% in 2015/16), followed by a sharp rise to 43% in the first year of the COVID-19 pandemic (KNBS, 2023b: Table 4.2).</w:t>
      </w:r>
    </w:p>
    <w:p w14:paraId="20D178F3" w14:textId="77777777" w:rsidR="005D2EA0" w:rsidRPr="00346D1C"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 xml:space="preserve">It is likely that the strong GDP per capita growth was the main driver of the (extreme) poverty reduction between 2005 and 2015, though the observed reduction in inequality probably also helped to reduce poverty. </w:t>
      </w:r>
    </w:p>
    <w:p w14:paraId="1F19B395" w14:textId="77777777" w:rsidR="005D2EA0" w:rsidRPr="00346D1C" w:rsidRDefault="005D2EA0" w:rsidP="00BE1429">
      <w:pPr>
        <w:tabs>
          <w:tab w:val="left" w:pos="2427"/>
        </w:tabs>
        <w:spacing w:before="240" w:after="120" w:line="240" w:lineRule="auto"/>
        <w:jc w:val="both"/>
        <w:rPr>
          <w:rFonts w:ascii="Georgia" w:hAnsi="Georgia" w:cs="Times New Roman"/>
          <w:sz w:val="24"/>
          <w:szCs w:val="24"/>
        </w:rPr>
      </w:pPr>
      <w:r w:rsidRPr="00346D1C">
        <w:rPr>
          <w:rFonts w:ascii="Georgia" w:hAnsi="Georgia" w:cs="Times New Roman"/>
          <w:sz w:val="24"/>
          <w:szCs w:val="24"/>
        </w:rPr>
        <w:t xml:space="preserve">The Gini index of inequality was 47 in 2005, suggesting that there was not much change if compared to the Gini index in 1994. By 2015, however, its value had declined to 40. KNBS (2023b: Table 4.6) shows a slightly lower value of the estimated Gini coefficient in 2015/16 than the one presented in Table 1 above, namely 39.1. The estimate for 2019 based on the Kenya Continuous Household Survey is 40.7, which points at a small increase if compared to the degree of inequality four years earlier. Surprisingly, the estimated Gini index reduced somewhat to 35.8 in 2020, before rising again to 38.9 in 2021. </w:t>
      </w:r>
    </w:p>
    <w:p w14:paraId="380B2289" w14:textId="77777777" w:rsidR="005D2EA0" w:rsidRPr="00346D1C"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While the reduction in inequality between 2005/06 and 2015/16 helped to reduce poverty, the high level of inequality itself diminishes the effect of economic growth on poverty.</w:t>
      </w:r>
    </w:p>
    <w:p w14:paraId="1E38BF95" w14:textId="77777777" w:rsidR="005D2EA0" w:rsidRPr="00346D1C"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The top 20% of the population received over half of the total income in 2005, whereas the share of the poorest quintile was only 4%. The changes in the quintile shares point at some improvement of the income distribution and the quintile shares in 2015 were similar to those in 1994. The changes in the extremes of the distribution – the top-10% and bottom-10% shares – were however more pronounced. According to estimates of the World Inequality Database, the share of the top-1% also diminished – from 21% in 2005 to 15% in 2015. Nonetheless, the richest 1% still received a large share of national income.</w:t>
      </w:r>
    </w:p>
    <w:p w14:paraId="021A7A7E" w14:textId="77777777" w:rsidR="005D2EA0" w:rsidRPr="00346D1C"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 xml:space="preserve">Female-headed households are more likely to be poor than male-headed households, but the gender differences in households’ probability of being poor diminished somewhat between 2005/06 and 2015/16, whereby literacy level and secondary and university education were major factors in explaining the narrowing of the gender gap in the poverty incidence (Ichwara et al., 2023). </w:t>
      </w:r>
    </w:p>
    <w:p w14:paraId="4CD9F290"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Disparities between regions are also large in Kenya. Urban inequality (of per capita expenditure) as measured by (among others) the Gini coefficient was higher than rural inequality in 2005/06. Rural inequality was only slightly less in 2015/16 than a decade earlier. In contrast, inequality within urban areas declined substantially and the difference between urban and rural inequality virtually disappeared. Rural income inequality as measured by the Gini coefficient marginally rose between 2015/16 and 2019, before declining to 29 in 2021. The Gini coefficient of urban income inequality remained virtually unchanged at 35 between 2015/16 and 2019 and had a value of 37 in 2021. </w:t>
      </w:r>
    </w:p>
    <w:p w14:paraId="603B6065" w14:textId="1202D627" w:rsidR="005D2EA0" w:rsidRDefault="005D2EA0" w:rsidP="00BE142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 xml:space="preserve">Especially North-western Kenya is characterised by high degrees of inequality, which tend to coincide with high poverty levels. The poorest county – Turkana – was also the county with the highest income inequality. </w:t>
      </w:r>
    </w:p>
    <w:p w14:paraId="11DE5E67" w14:textId="77777777" w:rsidR="00346D1C" w:rsidRPr="00346D1C" w:rsidRDefault="00346D1C" w:rsidP="00BE1429">
      <w:pPr>
        <w:tabs>
          <w:tab w:val="left" w:pos="2427"/>
        </w:tabs>
        <w:spacing w:after="120" w:line="240" w:lineRule="auto"/>
        <w:jc w:val="both"/>
        <w:rPr>
          <w:rFonts w:ascii="Georgia" w:hAnsi="Georgia" w:cs="Times New Roman"/>
          <w:sz w:val="24"/>
          <w:szCs w:val="24"/>
        </w:rPr>
      </w:pPr>
    </w:p>
    <w:p w14:paraId="60EDEA9E" w14:textId="77777777" w:rsidR="005D2EA0" w:rsidRPr="00346D1C" w:rsidRDefault="005D2EA0" w:rsidP="00BE1429">
      <w:pPr>
        <w:spacing w:after="120" w:line="240" w:lineRule="auto"/>
        <w:jc w:val="both"/>
        <w:rPr>
          <w:rFonts w:ascii="Georgia" w:eastAsia="Times New Roman" w:hAnsi="Georgia" w:cs="Times New Roman"/>
          <w:i/>
          <w:iCs/>
          <w:sz w:val="24"/>
          <w:szCs w:val="24"/>
        </w:rPr>
      </w:pPr>
      <w:r w:rsidRPr="00346D1C">
        <w:rPr>
          <w:rFonts w:ascii="Georgia" w:eastAsia="Times New Roman" w:hAnsi="Georgia" w:cs="Times New Roman"/>
          <w:i/>
          <w:iCs/>
          <w:sz w:val="24"/>
          <w:szCs w:val="24"/>
        </w:rPr>
        <w:t>Labour market developments</w:t>
      </w:r>
    </w:p>
    <w:p w14:paraId="224E86C4"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Agriculture is still the dominant employment sector in Kenya. The sector’s low and declining labour productivity is a factor underlying inequality in Kenya. At the same time, the share of employment in industry experienced a remarkable decline from 12% to 6% in the first decade of this millennium and remained virtually unchanged afterwards. </w:t>
      </w:r>
    </w:p>
    <w:p w14:paraId="3994DF1A"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Agriculture is a sector characterised by low and declining labour productivity, while productivity in the industrial and services sector was higher and increased in the past two decades (KIPPRA, 2020: 11, 35). The different sectoral levels of labour productivity are a factor underlying the urban-rural inequality. As KIPPRA (2020: xix) noted, ‘the high poverty level in rural areas is mainly driven by over-reliance on agriculture, compounded by low productivity.’ </w:t>
      </w:r>
    </w:p>
    <w:p w14:paraId="1F3FB061"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Modelled ILO estimates presented in the World Development Indicators suggest that the labour force participation rate recovered from a small decline between 2000 and 2006 and has been around 75% since 2014. The labour force participation of men is consistently higher than that of women and the gender gap widened until 2016. The gap subsequently narrowed until 2019, but increased again as a result of COVID-19, which apparently affected the labour force participation of women more than that of men. The labour force participation rate of youth declined from 50% in 2000 to 43% in 2019. The small gender gap in favour of women that initially existed gradually disappeared over time. </w:t>
      </w:r>
    </w:p>
    <w:p w14:paraId="695E3B19" w14:textId="77777777" w:rsidR="005D2EA0" w:rsidRPr="00346D1C" w:rsidRDefault="005D2EA0" w:rsidP="00BE1429">
      <w:pPr>
        <w:spacing w:after="120" w:line="240" w:lineRule="auto"/>
        <w:jc w:val="both"/>
        <w:rPr>
          <w:rFonts w:ascii="Georgia" w:eastAsia="Times New Roman" w:hAnsi="Georgia" w:cs="Times New Roman"/>
          <w:color w:val="000000" w:themeColor="text1"/>
          <w:sz w:val="24"/>
          <w:szCs w:val="24"/>
        </w:rPr>
      </w:pPr>
      <w:r w:rsidRPr="00346D1C">
        <w:rPr>
          <w:rFonts w:ascii="Georgia" w:eastAsia="Times New Roman" w:hAnsi="Georgia" w:cs="Times New Roman"/>
          <w:color w:val="000000" w:themeColor="text1"/>
          <w:sz w:val="24"/>
          <w:szCs w:val="24"/>
        </w:rPr>
        <w:t>The unemployment rate according to ILO modelled estimates was approximately 3% in 2000-2016, with a small decline over time, but increased in more recent years and stood at nearly 6% in 2021</w:t>
      </w:r>
      <w:r w:rsidRPr="00346D1C">
        <w:rPr>
          <w:rFonts w:ascii="Georgia" w:hAnsi="Georgia" w:cs="Times New Roman"/>
          <w:sz w:val="24"/>
          <w:szCs w:val="24"/>
        </w:rPr>
        <w:t>.</w:t>
      </w:r>
      <w:r w:rsidRPr="00346D1C">
        <w:rPr>
          <w:rFonts w:ascii="Georgia" w:eastAsia="Times New Roman" w:hAnsi="Georgia" w:cs="Times New Roman"/>
          <w:color w:val="000000" w:themeColor="text1"/>
          <w:sz w:val="24"/>
          <w:szCs w:val="24"/>
        </w:rPr>
        <w:t xml:space="preserve"> The unemployment figures suggest that most of the increase occurred already before the start of the COVID-19 pandemic. The rate of unemployment of women was slightly higher than that of men. The same holds true for youth unemployment.  </w:t>
      </w:r>
    </w:p>
    <w:p w14:paraId="5F0E2152" w14:textId="77777777" w:rsidR="005D2EA0" w:rsidRPr="00346D1C" w:rsidRDefault="005D2EA0" w:rsidP="00BE1429">
      <w:pPr>
        <w:spacing w:after="120" w:line="240" w:lineRule="auto"/>
        <w:jc w:val="both"/>
        <w:rPr>
          <w:rFonts w:ascii="Georgia" w:eastAsia="Times New Roman" w:hAnsi="Georgia" w:cs="Times New Roman"/>
          <w:color w:val="000000" w:themeColor="text1"/>
          <w:sz w:val="24"/>
          <w:szCs w:val="24"/>
        </w:rPr>
      </w:pPr>
      <w:r w:rsidRPr="00346D1C">
        <w:rPr>
          <w:rFonts w:ascii="Georgia" w:eastAsia="Times New Roman" w:hAnsi="Georgia" w:cs="Times New Roman"/>
          <w:color w:val="000000" w:themeColor="text1"/>
          <w:sz w:val="24"/>
          <w:szCs w:val="24"/>
        </w:rPr>
        <w:t>During the pandemic, the higher unemployment rate may have contributed to increases in poverty and inequality. The rate continued to increase among women in 2021. KIPPRA (2022) observed that the ‘rise of unemployment particularly among the vulnerable groups such as women and youth, and the decrease in labour force participation can have severe long-term inequality and other undesirable developmental outcomes.’ In normal times, however, unemployment is not seen as a major factor causing poverty and inequality. Underemployment and the large number of working poor are considered more important labour market problems and likely causes of overall poverty and income inequality. The rate of underemployment was estimated at 20% in 2015/16, compared to an estimated unemployment rate of 7%. The combined unemployment and underemployment rate increased between 2015/16 and 2019 and was highest among women and the 15-34 years old population.</w:t>
      </w:r>
    </w:p>
    <w:p w14:paraId="3C212E91"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eastAsia="Times New Roman" w:hAnsi="Georgia" w:cs="Times New Roman"/>
          <w:color w:val="000000" w:themeColor="text1"/>
          <w:sz w:val="24"/>
          <w:szCs w:val="24"/>
        </w:rPr>
        <w:t>The share of wage and salaried workers showed a marked increase in the past two decades, from 34% in 2000 to 51% in 2019. T</w:t>
      </w:r>
      <w:r w:rsidRPr="00346D1C">
        <w:rPr>
          <w:rFonts w:ascii="Georgia" w:hAnsi="Georgia" w:cs="Times New Roman"/>
          <w:sz w:val="24"/>
          <w:szCs w:val="24"/>
        </w:rPr>
        <w:t xml:space="preserve">he proportion of wage employment is larger for men than for women, though the gender gap is narrowing over time. Vulnerable employment and employment in the informal sector were also more common among women than among men, but the gender difference reduced in the past two decades. Limited labour mobility between the informal and the formal sector is a cause of earnings differentials between the sectors (Kimenyi, Mwega &amp; Ndung’u, 2016). Indirectly, this contributes to income inequality. </w:t>
      </w:r>
    </w:p>
    <w:p w14:paraId="60043A1B"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There is paucity of data on educational attainment in Kenya. The mean years of schooling was 6.5 years in 2018 and the average for women was 6.0 years compared to 7.2 for men. The gender gap in lower levels of education was smaller than in the labour market, but more men than women complete vocational education and training and tertiary education, which ‘undermines women’s employability and earnings potential in the labour market’. Overall, the gender wage gap was 68% in 2019 (MoL, 2021: 4, 11). </w:t>
      </w:r>
    </w:p>
    <w:p w14:paraId="1D35F7F3"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A study using 2005/06 data of full-time wage workers found that, at the national level, the private rate of return was nearly 8% for primary education, 23% for secondary education and for college education, whereas the rate was 25% for university education (Kimenyi, Mwabu &amp; Manda, 2006a). Using 2015/16 data, Omanyo (2021) also found evidence of positive returns to education and, accounting for the effect of other variables, that there was a gender wage (or earnings) gap that disfavoured women. </w:t>
      </w:r>
    </w:p>
    <w:p w14:paraId="3A75EC76" w14:textId="312A3866" w:rsidR="005D2EA0" w:rsidRDefault="005D2EA0" w:rsidP="00BE1429">
      <w:pPr>
        <w:spacing w:before="240" w:after="120" w:line="240" w:lineRule="auto"/>
        <w:jc w:val="both"/>
        <w:rPr>
          <w:rFonts w:ascii="Georgia" w:eastAsia="Constantia" w:hAnsi="Georgia" w:cs="Times New Roman"/>
          <w:sz w:val="24"/>
          <w:szCs w:val="24"/>
        </w:rPr>
      </w:pPr>
      <w:r w:rsidRPr="00346D1C">
        <w:rPr>
          <w:rFonts w:ascii="Georgia" w:hAnsi="Georgia" w:cs="Times New Roman"/>
          <w:sz w:val="24"/>
          <w:szCs w:val="24"/>
        </w:rPr>
        <w:t xml:space="preserve">For both men and women, the earnings inequality was higher in 2015/16 than at the end of the 1990s, though lower than in 2005/06 (KNBS, 2020b: 69). In this context, Manda et al. (2021) noted that </w:t>
      </w:r>
      <w:r w:rsidRPr="00346D1C">
        <w:rPr>
          <w:rFonts w:ascii="Georgia" w:eastAsia="Constantia" w:hAnsi="Georgia" w:cs="Times New Roman"/>
          <w:sz w:val="24"/>
          <w:szCs w:val="24"/>
        </w:rPr>
        <w:t>‘earnings inequality is higher than inequality of real per capita consumption expenditure, which indicates that the labour market could be contributing more to inequality.’</w:t>
      </w:r>
    </w:p>
    <w:p w14:paraId="3BC27DF7" w14:textId="77777777" w:rsidR="00346D1C" w:rsidRPr="00346D1C" w:rsidRDefault="00346D1C" w:rsidP="00BE1429">
      <w:pPr>
        <w:spacing w:before="240" w:after="120" w:line="240" w:lineRule="auto"/>
        <w:jc w:val="both"/>
        <w:rPr>
          <w:rFonts w:ascii="Georgia" w:eastAsia="Times New Roman" w:hAnsi="Georgia" w:cs="Times New Roman"/>
          <w:color w:val="000000" w:themeColor="text1"/>
          <w:sz w:val="24"/>
          <w:szCs w:val="24"/>
        </w:rPr>
      </w:pPr>
    </w:p>
    <w:p w14:paraId="58FD33C5" w14:textId="77777777" w:rsidR="005D2EA0" w:rsidRPr="00346D1C" w:rsidRDefault="005D2EA0" w:rsidP="00BE1429">
      <w:pPr>
        <w:spacing w:after="120" w:line="240" w:lineRule="auto"/>
        <w:jc w:val="both"/>
        <w:rPr>
          <w:rFonts w:ascii="Georgia" w:eastAsia="Times New Roman" w:hAnsi="Georgia" w:cs="Times New Roman"/>
          <w:i/>
          <w:iCs/>
          <w:color w:val="000000" w:themeColor="text1"/>
          <w:sz w:val="24"/>
          <w:szCs w:val="24"/>
        </w:rPr>
      </w:pPr>
      <w:r w:rsidRPr="00346D1C">
        <w:rPr>
          <w:rFonts w:ascii="Georgia" w:eastAsia="Times New Roman" w:hAnsi="Georgia" w:cs="Times New Roman"/>
          <w:i/>
          <w:iCs/>
          <w:color w:val="000000" w:themeColor="text1"/>
          <w:sz w:val="24"/>
          <w:szCs w:val="24"/>
        </w:rPr>
        <w:t>Taxes and transfers</w:t>
      </w:r>
    </w:p>
    <w:p w14:paraId="04B802A8" w14:textId="3F8757A6"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Kenya’s tax-to-GDP ratio was around 15% in the years 2014 to 2020. </w:t>
      </w:r>
      <w:r w:rsidR="00DE4956" w:rsidRPr="00346D1C">
        <w:rPr>
          <w:rFonts w:ascii="Georgia" w:hAnsi="Georgia" w:cs="Times New Roman"/>
          <w:sz w:val="24"/>
          <w:szCs w:val="24"/>
        </w:rPr>
        <w:t>Ta</w:t>
      </w:r>
      <w:r w:rsidRPr="00346D1C">
        <w:rPr>
          <w:rFonts w:ascii="Georgia" w:hAnsi="Georgia" w:cs="Times New Roman"/>
          <w:sz w:val="24"/>
          <w:szCs w:val="24"/>
        </w:rPr>
        <w:t xml:space="preserve">xes on income, profits and capital gains made up nearly half of total tax revenue in 2014-2018. Taxes on goods and services became slightly more important as a source of revenue in 2019 and 2020. Taxes on international trade made up about 10% of total tax revenue. Applying the Commitment to Equity (CEQ) methodology, Manda et al. (2020) found that direct taxes, as well as health insurance and retirement contributions were progressive, but poverty-increasing in 2015/16. The Gini coefficient of the distribution of net market income (that is, income after direct taxation) was 41.4, compared to a coefficient of 45.0 for market income plus pensions. Income tax on formal wages had the largest marginal effect on income inequality. Indirect taxes (including the Value Added Tax, VAT) were moderately progressive – unlike what is usually found. They were also poverty-increasing. Subsidies are generally non-existent in Kenya. Consequently, the overall effect of taxation on inequality amounted to nearly 5 points of the Gini coefficient. </w:t>
      </w:r>
    </w:p>
    <w:p w14:paraId="224AA4B3" w14:textId="77777777" w:rsidR="005D2EA0" w:rsidRPr="00346D1C" w:rsidRDefault="005D2EA0" w:rsidP="00BE1429">
      <w:pPr>
        <w:autoSpaceDE w:val="0"/>
        <w:autoSpaceDN w:val="0"/>
        <w:adjustRightInd w:val="0"/>
        <w:spacing w:after="120" w:line="240" w:lineRule="auto"/>
        <w:jc w:val="both"/>
        <w:rPr>
          <w:rFonts w:ascii="Georgia" w:hAnsi="Georgia" w:cs="Times New Roman"/>
          <w:sz w:val="24"/>
          <w:szCs w:val="24"/>
        </w:rPr>
      </w:pPr>
      <w:r w:rsidRPr="00346D1C">
        <w:rPr>
          <w:rFonts w:ascii="Georgia" w:hAnsi="Georgia" w:cs="Times New Roman"/>
          <w:sz w:val="24"/>
          <w:szCs w:val="24"/>
        </w:rPr>
        <w:t>The Government of Kenya’s expenditure on education fluctuated around 5% of GDP in the past two decades. The composition of the government spending on education clearly shifted from primary to secondary education. C</w:t>
      </w:r>
      <w:r w:rsidRPr="00346D1C">
        <w:rPr>
          <w:rFonts w:ascii="Georgia" w:hAnsi="Georgia" w:cs="Times New Roman"/>
          <w:sz w:val="24"/>
          <w:szCs w:val="24"/>
          <w:shd w:val="clear" w:color="auto" w:fill="FFFFFF"/>
        </w:rPr>
        <w:t xml:space="preserve">urrent public and private health expenditure was about 5% of GDP between 2000 and 2005, about 6% in the subsequent five years, after which it dropped again, to less than 5% in recent years. The public National Hospital Insurance Fund (NHIF) accounted for nearly 5% of current health expenditure in 2015/16, while the national and subnational governments’ share was little over 40% of the total. Private health expenditure – principally being out-of-pocket expenditure – still made up over half of current health expenditure in 2000, but this proportion gradually declined to 35% in recent years. </w:t>
      </w:r>
      <w:r w:rsidRPr="00346D1C">
        <w:rPr>
          <w:rFonts w:ascii="Georgia" w:hAnsi="Georgia" w:cs="Times New Roman"/>
          <w:sz w:val="24"/>
          <w:szCs w:val="24"/>
        </w:rPr>
        <w:t xml:space="preserve">The Kenyan Government’s spending on social protection amounted to only 0.35% of GDP in 2016 (and 0.4% in 2018/19. In comparison, around 0.33% of GDP was spent on social protection in 2021/22. Social protection encompasses social assistance (including five main cash transfer programmes), social security and social health insurance. The coverage of social insurance programmes declined between 2005 and 2015 while that of social assistance programmes increased in that period, except for the poorest quintile. The coverage of social insurance programmes tends to increase with income, while that of social assistance programmes is inversely related to the income level. Across counties, the coverage of social assistance was less than 10% in Kisumu, Nakuru and West Pokot in 2022, while over 60% of the households in Turkana received social assistance. </w:t>
      </w:r>
    </w:p>
    <w:p w14:paraId="249D2D50" w14:textId="77777777" w:rsidR="005D2EA0" w:rsidRPr="00346D1C" w:rsidRDefault="005D2EA0" w:rsidP="00BE1429">
      <w:pPr>
        <w:autoSpaceDE w:val="0"/>
        <w:autoSpaceDN w:val="0"/>
        <w:adjustRightInd w:val="0"/>
        <w:spacing w:after="120" w:line="240" w:lineRule="auto"/>
        <w:jc w:val="both"/>
        <w:rPr>
          <w:rFonts w:ascii="Georgia" w:hAnsi="Georgia" w:cs="Times New Roman"/>
          <w:sz w:val="24"/>
          <w:szCs w:val="24"/>
        </w:rPr>
      </w:pPr>
      <w:r w:rsidRPr="00346D1C">
        <w:rPr>
          <w:rFonts w:ascii="Georgia" w:hAnsi="Georgia" w:cs="Times New Roman"/>
          <w:sz w:val="24"/>
          <w:szCs w:val="24"/>
        </w:rPr>
        <w:t xml:space="preserve">Manda et al. (2020) report a relatively small effect of direct (cash) transfers on income inequality in 2015/16: the Gini coefficient of disposable income was 41.0, compared to the value of 41.4 for net market income. The combined effect of indirect taxes and indirect subsidies on inequality was also not very large: the Gini coefficient of consumable income (40.2). The largest inequality-reducing effects of public social expenditure in 2015/16 were those of the in-kind transfers related to spending on public health and education (net of co-payments and user fees). The Gini coefficient of final income was 35.7, being 4.5 points lower than that of consumable income. </w:t>
      </w:r>
    </w:p>
    <w:p w14:paraId="3CE01813" w14:textId="2CF7C087" w:rsidR="005D2EA0" w:rsidRPr="00346D1C" w:rsidRDefault="005D2EA0" w:rsidP="00BE1429">
      <w:pPr>
        <w:spacing w:after="120" w:line="240" w:lineRule="auto"/>
        <w:jc w:val="both"/>
        <w:rPr>
          <w:rFonts w:ascii="Georgia" w:hAnsi="Georgia" w:cs="Times New Roman"/>
          <w:bCs/>
          <w:sz w:val="24"/>
          <w:szCs w:val="24"/>
        </w:rPr>
      </w:pPr>
      <w:r w:rsidRPr="00346D1C">
        <w:rPr>
          <w:rFonts w:ascii="Georgia" w:hAnsi="Georgia" w:cs="Times New Roman"/>
          <w:bCs/>
          <w:sz w:val="24"/>
          <w:szCs w:val="24"/>
        </w:rPr>
        <w:t xml:space="preserve">Access to education is less widespread among poorer individuals than among richer people. </w:t>
      </w:r>
      <w:r w:rsidR="00DE4956" w:rsidRPr="00346D1C">
        <w:rPr>
          <w:rFonts w:ascii="Georgia" w:hAnsi="Georgia" w:cs="Times New Roman"/>
          <w:bCs/>
          <w:sz w:val="24"/>
          <w:szCs w:val="24"/>
        </w:rPr>
        <w:t>The n</w:t>
      </w:r>
      <w:r w:rsidRPr="00346D1C">
        <w:rPr>
          <w:rFonts w:ascii="Georgia" w:hAnsi="Georgia" w:cs="Times New Roman"/>
          <w:bCs/>
          <w:sz w:val="24"/>
          <w:szCs w:val="24"/>
        </w:rPr>
        <w:t xml:space="preserve">et attendance ratio of the primary school-age population varied from 75% for the poorest wealth quintile to 92% for the richest quintile in 2022; the equivalent rates for secondary education varied from 27% to 69% (KNBS, 2023c: Table 2.12). Across the 47 counties, the primary school net attendance ratio was lowest in Turkana (44%) and highest in Kiambu (94%) in 2022, whereas the secondary school net attendance ratio varied from only 17% in Tana River to 73% in Kirinyaga (KNBS, 2023c: Table 2.12C). Different rates of school attendance tend to lead to differences in educational attainment. Hence, inequality of opportunities tends to result in inequality of education outcomes. The degree in which pupils complete their education also depends on the income of the household in which they live. Completion rates of primary, lower secondary and upper secondary education were higher, the higher the income quintile of the household. </w:t>
      </w:r>
    </w:p>
    <w:p w14:paraId="7C086BB6" w14:textId="77777777" w:rsidR="005D2EA0" w:rsidRPr="00346D1C" w:rsidRDefault="005D2EA0" w:rsidP="00BE1429">
      <w:pPr>
        <w:spacing w:after="120" w:line="240" w:lineRule="auto"/>
        <w:jc w:val="both"/>
        <w:rPr>
          <w:rFonts w:ascii="Georgia" w:hAnsi="Georgia" w:cs="Times New Roman"/>
          <w:bCs/>
          <w:sz w:val="24"/>
          <w:szCs w:val="24"/>
        </w:rPr>
      </w:pPr>
      <w:r w:rsidRPr="00346D1C">
        <w:rPr>
          <w:rFonts w:ascii="Georgia" w:hAnsi="Georgia" w:cs="Times New Roman"/>
          <w:sz w:val="24"/>
          <w:szCs w:val="24"/>
          <w:shd w:val="clear" w:color="auto" w:fill="FFFFFF"/>
        </w:rPr>
        <w:t xml:space="preserve">Similarly, </w:t>
      </w:r>
      <w:r w:rsidRPr="00346D1C">
        <w:rPr>
          <w:rFonts w:ascii="Georgia" w:hAnsi="Georgia" w:cs="Times New Roman"/>
          <w:bCs/>
          <w:sz w:val="24"/>
          <w:szCs w:val="24"/>
          <w:shd w:val="clear" w:color="auto" w:fill="FFFFFF"/>
        </w:rPr>
        <w:t>access to health services and health insurance is unequal, with poorer people having more limited access.</w:t>
      </w:r>
      <w:r w:rsidRPr="00346D1C">
        <w:rPr>
          <w:rFonts w:ascii="Georgia" w:hAnsi="Georgia" w:cs="Times New Roman"/>
          <w:b/>
          <w:sz w:val="24"/>
          <w:szCs w:val="24"/>
          <w:shd w:val="clear" w:color="auto" w:fill="FFFFFF"/>
        </w:rPr>
        <w:t xml:space="preserve"> </w:t>
      </w:r>
      <w:r w:rsidRPr="00346D1C">
        <w:rPr>
          <w:rFonts w:ascii="Georgia" w:hAnsi="Georgia" w:cs="Times New Roman"/>
          <w:bCs/>
          <w:sz w:val="24"/>
          <w:szCs w:val="24"/>
        </w:rPr>
        <w:t>Self-reported injured or sick persons in poorer households were less often diagnosed in a health facility than injured or sick members of richer households in 2015/16 (KIPPRA, 2020: 153-154). It is likely that this is also related to the differential degree of coverage of health insurance in that year, which was 42% for the highest income quintile – ten times that of the lowest income quintile (ibid.; xxiii). Targeting of social assistance in health services was also weak, as the percentage of extremely poor persons who reported to have received free medical care was at 23% only marginally higher than for the rest of the population (KIPPRA, 2020: 154).</w:t>
      </w:r>
    </w:p>
    <w:p w14:paraId="6A192B03" w14:textId="77777777" w:rsidR="005D2EA0" w:rsidRPr="00346D1C" w:rsidRDefault="005D2EA0" w:rsidP="00BE1429">
      <w:pPr>
        <w:spacing w:after="120" w:line="240" w:lineRule="auto"/>
        <w:jc w:val="both"/>
        <w:rPr>
          <w:rFonts w:ascii="Georgia" w:eastAsiaTheme="minorEastAsia" w:hAnsi="Georgia" w:cs="Times New Roman"/>
          <w:sz w:val="24"/>
          <w:szCs w:val="24"/>
        </w:rPr>
      </w:pPr>
      <w:r w:rsidRPr="00346D1C">
        <w:rPr>
          <w:rFonts w:ascii="Georgia" w:eastAsiaTheme="minorEastAsia" w:hAnsi="Georgia" w:cs="Times New Roman"/>
          <w:sz w:val="24"/>
          <w:szCs w:val="24"/>
        </w:rPr>
        <w:t xml:space="preserve">Regarding health insurance coverage in Kenya, there is evidence that this increased from 8% to 20% in 2009-2014 and that the degree of coverage became less unequal in that period, but that it remained pro-rich (Kazungu and Barasa, 2017). The degree of health insurance coverage was 26% in 2022 and ranged from 5% for the lowest wealth quintile to 58% for the highest quintile (KNBS, 2023c: </w:t>
      </w:r>
      <w:r w:rsidRPr="00346D1C">
        <w:rPr>
          <w:rFonts w:ascii="Georgia" w:hAnsi="Georgia" w:cs="Times New Roman"/>
          <w:bCs/>
          <w:sz w:val="24"/>
          <w:szCs w:val="24"/>
        </w:rPr>
        <w:t>Table 2.19</w:t>
      </w:r>
      <w:r w:rsidRPr="00346D1C">
        <w:rPr>
          <w:rFonts w:ascii="Georgia" w:eastAsiaTheme="minorEastAsia" w:hAnsi="Georgia" w:cs="Times New Roman"/>
          <w:sz w:val="24"/>
          <w:szCs w:val="24"/>
        </w:rPr>
        <w:t>).</w:t>
      </w:r>
      <w:r w:rsidRPr="00346D1C">
        <w:rPr>
          <w:rFonts w:ascii="Georgia" w:hAnsi="Georgia" w:cs="Times New Roman"/>
          <w:bCs/>
          <w:sz w:val="24"/>
          <w:szCs w:val="24"/>
        </w:rPr>
        <w:t xml:space="preserve"> </w:t>
      </w:r>
    </w:p>
    <w:p w14:paraId="629402B5" w14:textId="06702C07" w:rsidR="005D2EA0" w:rsidRDefault="005D2EA0" w:rsidP="00BE1429">
      <w:pPr>
        <w:spacing w:after="120" w:line="240" w:lineRule="auto"/>
        <w:jc w:val="both"/>
        <w:rPr>
          <w:rFonts w:ascii="Georgia" w:eastAsiaTheme="minorEastAsia" w:hAnsi="Georgia" w:cs="Times New Roman"/>
          <w:sz w:val="24"/>
          <w:szCs w:val="24"/>
        </w:rPr>
      </w:pPr>
      <w:r w:rsidRPr="00346D1C">
        <w:rPr>
          <w:rFonts w:ascii="Georgia" w:eastAsiaTheme="minorEastAsia" w:hAnsi="Georgia" w:cs="Times New Roman"/>
          <w:sz w:val="24"/>
          <w:szCs w:val="24"/>
        </w:rPr>
        <w:t xml:space="preserve">In sum, despite some improvements in the access to education and health services, substantial efforts are required to address the remaining inequalities in the access to these social services and to reduce gaps in the outcomes in these areas between people from different income groups. </w:t>
      </w:r>
    </w:p>
    <w:p w14:paraId="545899FB" w14:textId="43FC446E" w:rsidR="00676E8B" w:rsidRDefault="00676E8B" w:rsidP="00BE1429">
      <w:pPr>
        <w:spacing w:after="120" w:line="240" w:lineRule="auto"/>
        <w:jc w:val="both"/>
        <w:rPr>
          <w:rFonts w:ascii="Georgia" w:eastAsiaTheme="minorEastAsia" w:hAnsi="Georgia" w:cs="Times New Roman"/>
          <w:sz w:val="24"/>
          <w:szCs w:val="24"/>
        </w:rPr>
      </w:pPr>
    </w:p>
    <w:p w14:paraId="3FD9FF89" w14:textId="292D00DD" w:rsidR="009E16CF" w:rsidRDefault="009E16CF" w:rsidP="00BE1429">
      <w:pPr>
        <w:spacing w:after="120" w:line="240" w:lineRule="auto"/>
        <w:jc w:val="both"/>
        <w:rPr>
          <w:rFonts w:ascii="Georgia" w:eastAsiaTheme="minorEastAsia" w:hAnsi="Georgia" w:cs="Times New Roman"/>
          <w:sz w:val="24"/>
          <w:szCs w:val="24"/>
        </w:rPr>
      </w:pPr>
    </w:p>
    <w:p w14:paraId="3E86ECCF" w14:textId="77777777" w:rsidR="009E16CF" w:rsidRPr="00346D1C" w:rsidRDefault="009E16CF" w:rsidP="00BE1429">
      <w:pPr>
        <w:spacing w:after="120" w:line="240" w:lineRule="auto"/>
        <w:jc w:val="both"/>
        <w:rPr>
          <w:rFonts w:ascii="Georgia" w:eastAsiaTheme="minorEastAsia" w:hAnsi="Georgia" w:cs="Times New Roman"/>
          <w:sz w:val="24"/>
          <w:szCs w:val="24"/>
        </w:rPr>
      </w:pPr>
    </w:p>
    <w:p w14:paraId="548BD1EB" w14:textId="77777777" w:rsidR="005D2EA0" w:rsidRPr="00346D1C" w:rsidRDefault="005D2EA0" w:rsidP="00BE1429">
      <w:pPr>
        <w:spacing w:after="120" w:line="240" w:lineRule="auto"/>
        <w:jc w:val="both"/>
        <w:rPr>
          <w:rFonts w:ascii="Georgia" w:eastAsia="Times New Roman" w:hAnsi="Georgia" w:cs="Times New Roman"/>
          <w:i/>
          <w:iCs/>
          <w:color w:val="000000" w:themeColor="text1"/>
          <w:sz w:val="24"/>
          <w:szCs w:val="24"/>
        </w:rPr>
      </w:pPr>
      <w:r w:rsidRPr="00346D1C">
        <w:rPr>
          <w:rFonts w:ascii="Georgia" w:eastAsia="Times New Roman" w:hAnsi="Georgia" w:cs="Times New Roman"/>
          <w:i/>
          <w:iCs/>
          <w:color w:val="000000" w:themeColor="text1"/>
          <w:sz w:val="24"/>
          <w:szCs w:val="24"/>
        </w:rPr>
        <w:t>Gender</w:t>
      </w:r>
    </w:p>
    <w:p w14:paraId="13010542"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Gender inequality is both a cause and effect of overall inequality in Kenya. Selected examples of relevant aspects are gender inequality in the labour market (access to employment and remuneration), gender gaps in access to social services and social protection, gender differences in education attainment and health outcomes, gender inequality in poverty, and gender differences in political representation. Regarding the latter, evidence points at gender disparity in political participation. Despite some small improvements, the target of each gender holding at least a third of the seats in National and Country Assemblies according to the ‘not more than two third gender rule’ formulated in the 2010 Constitution was not met. </w:t>
      </w:r>
    </w:p>
    <w:p w14:paraId="29336322"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Regarding gender inequality in the labour market, Omanyo (2021) found that there is earnings discrimination against women. Earlier studies yielded similar results. Data of various household surveys conducted since 1997 indicate that real monthly earnings of men are on average consistently higher than those of women. The 2022 Demographic and Health Survey also points at a gender gap in earnings. Data  suggests that the gender gap in earnings translates into horizontal economic inequality between female- and male-headed-household members.</w:t>
      </w:r>
    </w:p>
    <w:p w14:paraId="336EE4FF"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There is also gender inequality in poverty. Monetary or multidimensional poverty rates are higher among women than among men. Poverty rates for female-headed households are also higher than those for male-headed households. The monetary poverty rate for female-headed households declined from 39% to 33% between 2005/06 and 2015/16, compared to a reduction from 30% to 26% for male-headed households (Ichwara et al. 2023). The rates in 2021 were again at the levels observed in 2005/06 (KHBS, 2023b: Table 5.1). Female-headed households are more likely to be poor than male-headed households, but the gender differences in households’ probability of being poor diminished somewhat between 2005/06 and 2015/16, whereby literacy level and secondary and university education were major factors in explaining the narrowing of the gender gap in the poverty incidence (Ichwara et al., 2023). </w:t>
      </w:r>
    </w:p>
    <w:p w14:paraId="4053D5B7" w14:textId="43EEB4E5"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There seem to be major gender differences in access to education at Technical and Vocational Education Training (TVET) institutes and at the university level (KNBS, 2020b: 103). This finding is in line with the observation that more men than women complete vocational education and training and tertiary education. </w:t>
      </w:r>
    </w:p>
    <w:p w14:paraId="6B3AA778" w14:textId="77777777" w:rsidR="005D2EA0" w:rsidRPr="00346D1C" w:rsidRDefault="005D2EA0" w:rsidP="00BE1429">
      <w:pPr>
        <w:spacing w:line="240" w:lineRule="auto"/>
        <w:jc w:val="both"/>
        <w:rPr>
          <w:rFonts w:ascii="Georgia" w:hAnsi="Georgia" w:cs="Times New Roman"/>
          <w:sz w:val="24"/>
          <w:szCs w:val="24"/>
        </w:rPr>
      </w:pPr>
      <w:r w:rsidRPr="00346D1C">
        <w:rPr>
          <w:rFonts w:ascii="Georgia" w:hAnsi="Georgia" w:cs="Times New Roman"/>
          <w:sz w:val="24"/>
          <w:szCs w:val="24"/>
        </w:rPr>
        <w:t xml:space="preserve">Gender differences in access to health services were not very pronounced in 2015/16. Women were slightly overrepresented in the use of healthcare services, but may have made less use than they actually needed (KNBS, 2020b). The emergence of the COVID-19 pandemic disproportionately affected access to health services among relatively-poor female-headed households (Makate and Makate, 2022). DHS 2022 data show that males ‘spend twice as much as females on inpatient admissions’ and that monthly expenditure for outpatient visits is on average also ‘slightly higher among males than females’, while – in relative terms – women had to rely more on cash payments for the services than men (KNBS, 2023: 23, Table 2.20.2). </w:t>
      </w:r>
    </w:p>
    <w:p w14:paraId="21244A0A" w14:textId="4A83719B" w:rsidR="005D2EA0" w:rsidRDefault="005D2EA0" w:rsidP="00EC367E">
      <w:pPr>
        <w:spacing w:line="240" w:lineRule="auto"/>
        <w:jc w:val="both"/>
        <w:rPr>
          <w:rFonts w:ascii="Georgia" w:hAnsi="Georgia" w:cs="Times New Roman"/>
          <w:sz w:val="24"/>
          <w:szCs w:val="24"/>
        </w:rPr>
      </w:pPr>
      <w:r w:rsidRPr="00346D1C">
        <w:rPr>
          <w:rFonts w:ascii="Georgia" w:hAnsi="Georgia" w:cs="Times New Roman"/>
          <w:sz w:val="24"/>
          <w:szCs w:val="24"/>
        </w:rPr>
        <w:t>The access of women and girls to education and health care services is related to the public expenditure on education and health. Budgeting of public expenditure in those sectors was traditionally not gender-responsive. Gender became more mainstreamed in the budget process with the adoption of the 2010 Constitution.</w:t>
      </w:r>
    </w:p>
    <w:p w14:paraId="2FAA16A9" w14:textId="77777777" w:rsidR="00346D1C" w:rsidRPr="00346D1C" w:rsidRDefault="00346D1C" w:rsidP="00EC367E">
      <w:pPr>
        <w:spacing w:line="240" w:lineRule="auto"/>
        <w:jc w:val="both"/>
        <w:rPr>
          <w:rFonts w:ascii="Georgia" w:eastAsiaTheme="minorEastAsia" w:hAnsi="Georgia" w:cs="Times New Roman"/>
          <w:i/>
          <w:iCs/>
          <w:sz w:val="24"/>
          <w:szCs w:val="24"/>
        </w:rPr>
      </w:pPr>
    </w:p>
    <w:p w14:paraId="0839309C" w14:textId="77777777" w:rsidR="005D2EA0" w:rsidRPr="00346D1C" w:rsidRDefault="005D2EA0" w:rsidP="00BE1429">
      <w:pPr>
        <w:spacing w:after="120" w:line="240" w:lineRule="auto"/>
        <w:jc w:val="both"/>
        <w:rPr>
          <w:rFonts w:ascii="Georgia" w:eastAsiaTheme="minorEastAsia" w:hAnsi="Georgia" w:cs="Times New Roman"/>
          <w:i/>
          <w:iCs/>
          <w:sz w:val="24"/>
          <w:szCs w:val="24"/>
        </w:rPr>
      </w:pPr>
      <w:r w:rsidRPr="00346D1C">
        <w:rPr>
          <w:rFonts w:ascii="Georgia" w:eastAsiaTheme="minorEastAsia" w:hAnsi="Georgia" w:cs="Times New Roman"/>
          <w:i/>
          <w:iCs/>
          <w:sz w:val="24"/>
          <w:szCs w:val="24"/>
        </w:rPr>
        <w:t>Inequality in the political and societal discourse</w:t>
      </w:r>
    </w:p>
    <w:p w14:paraId="150A9562" w14:textId="14E8E886" w:rsidR="005D2EA0" w:rsidRPr="00346D1C" w:rsidRDefault="005D2EA0" w:rsidP="00BE1429">
      <w:pPr>
        <w:tabs>
          <w:tab w:val="left" w:pos="3960"/>
        </w:tabs>
        <w:spacing w:after="120" w:line="240" w:lineRule="auto"/>
        <w:jc w:val="both"/>
        <w:rPr>
          <w:rFonts w:ascii="Georgia" w:hAnsi="Georgia" w:cs="Times New Roman"/>
          <w:sz w:val="24"/>
          <w:szCs w:val="24"/>
        </w:rPr>
      </w:pPr>
      <w:r w:rsidRPr="00346D1C">
        <w:rPr>
          <w:rFonts w:ascii="Georgia" w:hAnsi="Georgia" w:cs="Times New Roman"/>
          <w:sz w:val="24"/>
          <w:szCs w:val="24"/>
        </w:rPr>
        <w:t xml:space="preserve">The 2010 Constitution was a cornerstone in the evolution of the political discourse on inequality. The long-term development strategy Kenya Vision 2030 launched in 2008 explicitly aims at reduction of inequality (SDG 10) and at achieving gender equality (SDG 5). The NGEC monitors the implementation of the strategy and particularly the progress concerning the SDGs 5 and 10. Kenya Vision 2030 is implemented by successive five-year medium-term plans (MTPs), which encompass programmes, policies and projects envisioned by the long-term strategy. Other strategies and policies developed in the context of Kenya Vision 2030 are aligned to the objectives of the long-term strategy. A key policy formulated to address inequality is the National Social Protection Policy of 2011, which was revised in 2019. </w:t>
      </w:r>
    </w:p>
    <w:p w14:paraId="521199BB" w14:textId="77777777" w:rsidR="005D2EA0" w:rsidRPr="00346D1C" w:rsidRDefault="005D2EA0" w:rsidP="00BE1429">
      <w:pPr>
        <w:tabs>
          <w:tab w:val="left" w:pos="3960"/>
        </w:tabs>
        <w:spacing w:after="120" w:line="240" w:lineRule="auto"/>
        <w:jc w:val="both"/>
        <w:rPr>
          <w:rFonts w:ascii="Georgia" w:hAnsi="Georgia" w:cs="Times New Roman"/>
          <w:sz w:val="24"/>
          <w:szCs w:val="24"/>
        </w:rPr>
      </w:pPr>
      <w:r w:rsidRPr="00346D1C">
        <w:rPr>
          <w:rFonts w:ascii="Georgia" w:hAnsi="Georgia" w:cs="Times New Roman"/>
          <w:sz w:val="24"/>
          <w:szCs w:val="24"/>
        </w:rPr>
        <w:t xml:space="preserve">The current government programme aims at raising agricultural productivity to address poverty, which may also contribute to reducing inequality. </w:t>
      </w:r>
      <w:r w:rsidRPr="00346D1C">
        <w:rPr>
          <w:rFonts w:ascii="Georgia" w:hAnsi="Georgia" w:cs="Times New Roman"/>
          <w:i/>
          <w:iCs/>
          <w:sz w:val="24"/>
          <w:szCs w:val="24"/>
        </w:rPr>
        <w:t>The Kenya Kwanza Plan: The Bottom-up Economic Transformation Agenda (BETA) 2022-2027</w:t>
      </w:r>
      <w:r w:rsidRPr="00346D1C">
        <w:rPr>
          <w:rFonts w:ascii="Georgia" w:hAnsi="Georgia" w:cs="Times New Roman"/>
          <w:sz w:val="24"/>
          <w:szCs w:val="24"/>
        </w:rPr>
        <w:t xml:space="preserve"> of President Dr. William Ruto ideologically and explicitly refers to inequality in its plans for Kenya. The programme puts more emphasis on job creation in smallholder agriculture and the non-agricultural informal sector. It aims to finance its higher public expenditure through a tax reform that raises the tax revenue. The Medium-Term Plan 2022/23-2027/28 is ready and is grounded on the transition of the Big Four Agenda to BETA.</w:t>
      </w:r>
    </w:p>
    <w:p w14:paraId="08437F91" w14:textId="77777777" w:rsidR="005D2EA0" w:rsidRPr="00346D1C" w:rsidRDefault="005D2EA0" w:rsidP="00BE1429">
      <w:pPr>
        <w:tabs>
          <w:tab w:val="left" w:pos="3960"/>
        </w:tabs>
        <w:spacing w:after="120" w:line="240" w:lineRule="auto"/>
        <w:jc w:val="both"/>
        <w:rPr>
          <w:rFonts w:ascii="Georgia" w:hAnsi="Georgia" w:cs="Times New Roman"/>
          <w:sz w:val="24"/>
          <w:szCs w:val="24"/>
        </w:rPr>
      </w:pPr>
      <w:r w:rsidRPr="00346D1C">
        <w:rPr>
          <w:rFonts w:ascii="Georgia" w:hAnsi="Georgia" w:cs="Times New Roman"/>
          <w:sz w:val="24"/>
          <w:szCs w:val="24"/>
        </w:rPr>
        <w:t xml:space="preserve">In Kenyan society, socio-economic inequality starts to be understood as one of the forms in which inequality is perceived as problematic, aside from the inequality between counties. </w:t>
      </w:r>
    </w:p>
    <w:p w14:paraId="20818EFB"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Donors align their strategies to the priorities of Kenya Vision 2030 and other national strategies and policies. Like the foreign aid of other traditional donors, the Development Cooperation of the United Nations System is based on the 2030 Agenda for Sustainable Development. </w:t>
      </w:r>
    </w:p>
    <w:p w14:paraId="0671AF21" w14:textId="77777777" w:rsidR="00521202" w:rsidRPr="00346D1C" w:rsidRDefault="00521202" w:rsidP="00BE1429">
      <w:pPr>
        <w:tabs>
          <w:tab w:val="left" w:pos="3960"/>
        </w:tabs>
        <w:spacing w:after="120" w:line="240" w:lineRule="auto"/>
        <w:jc w:val="both"/>
        <w:rPr>
          <w:rFonts w:ascii="Georgia" w:hAnsi="Georgia" w:cs="Times New Roman"/>
          <w:i/>
          <w:iCs/>
          <w:sz w:val="24"/>
          <w:szCs w:val="24"/>
        </w:rPr>
      </w:pPr>
    </w:p>
    <w:p w14:paraId="2556FA98" w14:textId="52583CA9" w:rsidR="005D2EA0" w:rsidRPr="00346D1C" w:rsidRDefault="005D2EA0" w:rsidP="00BE1429">
      <w:pPr>
        <w:tabs>
          <w:tab w:val="left" w:pos="3960"/>
        </w:tabs>
        <w:spacing w:after="120" w:line="240" w:lineRule="auto"/>
        <w:jc w:val="both"/>
        <w:rPr>
          <w:rFonts w:ascii="Georgia" w:hAnsi="Georgia" w:cs="Times New Roman"/>
          <w:i/>
          <w:iCs/>
          <w:sz w:val="24"/>
          <w:szCs w:val="24"/>
        </w:rPr>
      </w:pPr>
      <w:r w:rsidRPr="00346D1C">
        <w:rPr>
          <w:rFonts w:ascii="Georgia" w:hAnsi="Georgia" w:cs="Times New Roman"/>
          <w:i/>
          <w:iCs/>
          <w:sz w:val="24"/>
          <w:szCs w:val="24"/>
        </w:rPr>
        <w:t>Policy options</w:t>
      </w:r>
    </w:p>
    <w:p w14:paraId="14D850AB" w14:textId="77777777" w:rsidR="005D2EA0" w:rsidRPr="00346D1C" w:rsidRDefault="005D2EA0" w:rsidP="00BE1429">
      <w:pPr>
        <w:spacing w:after="120" w:line="240" w:lineRule="auto"/>
        <w:jc w:val="both"/>
        <w:rPr>
          <w:rFonts w:ascii="Georgia" w:eastAsia="Constantia" w:hAnsi="Georgia" w:cs="Times New Roman"/>
          <w:i/>
          <w:iCs/>
          <w:sz w:val="24"/>
          <w:szCs w:val="24"/>
        </w:rPr>
      </w:pPr>
      <w:r w:rsidRPr="00346D1C">
        <w:rPr>
          <w:rFonts w:ascii="Georgia" w:eastAsia="Constantia" w:hAnsi="Georgia" w:cs="Times New Roman"/>
          <w:sz w:val="24"/>
          <w:szCs w:val="24"/>
          <w:u w:val="single"/>
        </w:rPr>
        <w:t>Labour market policies</w:t>
      </w:r>
      <w:r w:rsidRPr="00346D1C">
        <w:rPr>
          <w:rFonts w:ascii="Georgia" w:eastAsia="Constantia" w:hAnsi="Georgia" w:cs="Times New Roman"/>
          <w:sz w:val="24"/>
          <w:szCs w:val="24"/>
        </w:rPr>
        <w:t>: There is a clear need for policies to narrow the large gender gap in labour force participation, by stimulating the participation of women in economic activities. The employability of women could be enhanced by making changes in the curricula of schools and providing training and childcare facilities. Policies are also needed to stimulate the demand for labour in non-agricultural sectors, particularly in rural areas, in order to address the large urban-rural income inequalities and more limited opportunities in rural areas than in the cities to be engaged in more productive, higher-quality and higher-remunerated employment. One way to do this could be to step up public investment in (especially poorer) rural areas. At the same time, there is need for generating higher-quality jobs for low- and medium-skilled workers. That will require stimulation of the demand for labour in manufacturing (or industry in general) through a diversification of the economy. Efforts to boost exports could help to realise the desired structural change in the economy and the labour market. However, such efforts should avoid any adverse distributional effects of international trade.</w:t>
      </w:r>
    </w:p>
    <w:p w14:paraId="499B737B" w14:textId="28BE1424" w:rsidR="005D2EA0" w:rsidRPr="00346D1C" w:rsidRDefault="005D2EA0" w:rsidP="00BE1429">
      <w:pPr>
        <w:spacing w:after="120" w:line="240" w:lineRule="auto"/>
        <w:jc w:val="both"/>
        <w:rPr>
          <w:rFonts w:ascii="Georgia" w:eastAsia="Constantia" w:hAnsi="Georgia" w:cs="Times New Roman"/>
          <w:sz w:val="24"/>
          <w:szCs w:val="24"/>
        </w:rPr>
      </w:pPr>
      <w:r w:rsidRPr="00346D1C">
        <w:rPr>
          <w:rFonts w:ascii="Georgia" w:eastAsia="Constantia" w:hAnsi="Georgia" w:cs="Times New Roman"/>
          <w:sz w:val="24"/>
          <w:szCs w:val="24"/>
        </w:rPr>
        <w:t xml:space="preserve">A process of formalisation of employment can contribute to reducing both labour income inequality and overall income inequality. However, it is also necessary to try to increase the non-formal workers’ income, which </w:t>
      </w:r>
      <w:r w:rsidR="00DE36F2" w:rsidRPr="00346D1C">
        <w:rPr>
          <w:rFonts w:ascii="Georgia" w:eastAsia="Constantia" w:hAnsi="Georgia" w:cs="Times New Roman"/>
          <w:sz w:val="24"/>
          <w:szCs w:val="24"/>
        </w:rPr>
        <w:t xml:space="preserve">is </w:t>
      </w:r>
      <w:r w:rsidRPr="00346D1C">
        <w:rPr>
          <w:rFonts w:ascii="Georgia" w:eastAsia="Constantia" w:hAnsi="Georgia" w:cs="Times New Roman"/>
          <w:sz w:val="24"/>
          <w:szCs w:val="24"/>
        </w:rPr>
        <w:t xml:space="preserve">in line with current government policies. Providing training to improve skills of informal/vulnerable workers can also help to increase their earnings and reduce the gap with the earning of people in formal employment. Training may also help people to find alternative and better-remunerated formal employment. </w:t>
      </w:r>
    </w:p>
    <w:p w14:paraId="6BAA1AD6" w14:textId="77777777" w:rsidR="005D2EA0" w:rsidRPr="00346D1C" w:rsidRDefault="005D2EA0" w:rsidP="00BE1429">
      <w:pPr>
        <w:spacing w:after="120" w:line="240" w:lineRule="auto"/>
        <w:jc w:val="both"/>
        <w:rPr>
          <w:rFonts w:ascii="Georgia" w:eastAsia="Constantia" w:hAnsi="Georgia" w:cs="Times New Roman"/>
          <w:i/>
          <w:iCs/>
          <w:sz w:val="24"/>
          <w:szCs w:val="24"/>
        </w:rPr>
      </w:pPr>
      <w:r w:rsidRPr="00346D1C">
        <w:rPr>
          <w:rFonts w:ascii="Georgia" w:eastAsia="Constantia" w:hAnsi="Georgia" w:cs="Times New Roman"/>
          <w:sz w:val="24"/>
          <w:szCs w:val="24"/>
        </w:rPr>
        <w:t>Efforts to increase labour productivity are required in both agricultural and non-agricultural employment and can involve improving the access to education and the provision of training to improve the skills of workers. Improving the access to good quality education is one of the policy priorities of the current Government. Investments in infrastructure can also contribute to raising labour productivity.</w:t>
      </w:r>
      <w:r w:rsidRPr="00346D1C">
        <w:rPr>
          <w:rFonts w:ascii="Georgia" w:eastAsia="Constantia" w:hAnsi="Georgia" w:cs="Times New Roman"/>
          <w:i/>
          <w:iCs/>
          <w:sz w:val="24"/>
          <w:szCs w:val="24"/>
        </w:rPr>
        <w:t xml:space="preserve"> </w:t>
      </w:r>
    </w:p>
    <w:p w14:paraId="77D465D2" w14:textId="77777777" w:rsidR="005D2EA0" w:rsidRPr="00346D1C" w:rsidRDefault="005D2EA0" w:rsidP="00BE1429">
      <w:pPr>
        <w:spacing w:after="120" w:line="240" w:lineRule="auto"/>
        <w:jc w:val="both"/>
        <w:rPr>
          <w:rFonts w:ascii="Georgia" w:eastAsia="Constantia" w:hAnsi="Georgia" w:cs="Times New Roman"/>
          <w:sz w:val="24"/>
          <w:szCs w:val="24"/>
        </w:rPr>
      </w:pPr>
      <w:r w:rsidRPr="00346D1C">
        <w:rPr>
          <w:rFonts w:ascii="Georgia" w:eastAsia="Constantia" w:hAnsi="Georgia" w:cs="Times New Roman"/>
          <w:sz w:val="24"/>
          <w:szCs w:val="24"/>
        </w:rPr>
        <w:t>Expanding the provision of education, increasing educational attainment and improving the employability of (especially female) graduates can help to reduce both earnings inequality and overall income inequality. An increased supply of higher-educated labour (as a more longer-term policy) can lead to a diminishing of the skill-premium if the demand for labour with higher levels of education does not change at the same pace.</w:t>
      </w:r>
    </w:p>
    <w:p w14:paraId="2A5320A7" w14:textId="52CDF6D8" w:rsidR="005D2EA0" w:rsidRPr="00346D1C" w:rsidRDefault="005D2EA0" w:rsidP="00BE1429">
      <w:pPr>
        <w:spacing w:after="120" w:line="240" w:lineRule="auto"/>
        <w:jc w:val="both"/>
        <w:rPr>
          <w:rFonts w:ascii="Georgia" w:eastAsia="Constantia" w:hAnsi="Georgia" w:cs="Times New Roman"/>
          <w:sz w:val="24"/>
          <w:szCs w:val="24"/>
        </w:rPr>
      </w:pPr>
      <w:r w:rsidRPr="00346D1C">
        <w:rPr>
          <w:rFonts w:ascii="Georgia" w:hAnsi="Georgia" w:cs="Times New Roman"/>
          <w:sz w:val="24"/>
          <w:szCs w:val="24"/>
          <w:u w:val="single"/>
        </w:rPr>
        <w:t>Policies for taxes and public social expenditure</w:t>
      </w:r>
      <w:r w:rsidRPr="00346D1C">
        <w:rPr>
          <w:rFonts w:ascii="Georgia" w:hAnsi="Georgia" w:cs="Times New Roman"/>
          <w:sz w:val="24"/>
          <w:szCs w:val="24"/>
        </w:rPr>
        <w:t xml:space="preserve">: There seems to be scope to raise corporate income tax revenues. It is also suggested to explore possibilities to abolish exemptions in personal income taxes which are pro rich. That would directly improve post-tax income inequality and increase the fiscal space for public social expenditure. Targeted (conditional or unconditional) transfers to poor households, lowering the costs for those households of sending their children to school, and improving the quality of education in poorer parts of the country could help to improve access to quality education for especially the poorest segments of the population. This is key for reducing the inequality of opportunity, which can help to diminish the inter-generational transmission of poverty. </w:t>
      </w:r>
      <w:r w:rsidRPr="00346D1C">
        <w:rPr>
          <w:rFonts w:ascii="Georgia" w:eastAsia="Constantia" w:hAnsi="Georgia" w:cs="Times New Roman"/>
          <w:sz w:val="24"/>
          <w:szCs w:val="24"/>
        </w:rPr>
        <w:t xml:space="preserve">It is furthermore suggested to consider a universal, tax-funded mechanism that ensures </w:t>
      </w:r>
      <w:r w:rsidR="00E679C8" w:rsidRPr="00346D1C">
        <w:rPr>
          <w:rFonts w:ascii="Georgia" w:eastAsia="Constantia" w:hAnsi="Georgia" w:cs="Times New Roman"/>
          <w:sz w:val="24"/>
          <w:szCs w:val="24"/>
        </w:rPr>
        <w:t xml:space="preserve">health insurance </w:t>
      </w:r>
      <w:r w:rsidRPr="00346D1C">
        <w:rPr>
          <w:rFonts w:ascii="Georgia" w:eastAsia="Constantia" w:hAnsi="Georgia" w:cs="Times New Roman"/>
          <w:sz w:val="24"/>
          <w:szCs w:val="24"/>
        </w:rPr>
        <w:t>revenues are equitably and efficiently collected, which is actually in line with current government policies in this area. This implies a policy of expanding the health system financed by revenues collected by the national and country government. It would at the same time require efforts to substantially reduce further private health expenditure, which principally consists of out-of-pocket expenses that are poverty increasing.</w:t>
      </w:r>
    </w:p>
    <w:p w14:paraId="521867C8" w14:textId="77777777" w:rsidR="005D2EA0" w:rsidRPr="00346D1C" w:rsidRDefault="005D2EA0" w:rsidP="00BE1429">
      <w:pPr>
        <w:spacing w:after="120" w:line="240" w:lineRule="auto"/>
        <w:jc w:val="both"/>
        <w:rPr>
          <w:rFonts w:ascii="Georgia" w:eastAsia="Constantia" w:hAnsi="Georgia" w:cs="Times New Roman"/>
          <w:sz w:val="24"/>
          <w:szCs w:val="24"/>
        </w:rPr>
      </w:pPr>
      <w:r w:rsidRPr="00346D1C">
        <w:rPr>
          <w:rFonts w:ascii="Georgia" w:eastAsia="Constantia" w:hAnsi="Georgia" w:cs="Times New Roman"/>
          <w:sz w:val="24"/>
          <w:szCs w:val="24"/>
        </w:rPr>
        <w:t xml:space="preserve">It is suggested to assess whether there are opportunities for merging nationwide cash transfer programmes and if that could help to raise the coverage of the bottom quintile. It is furthermore suggested to take measures to improve the adequacy of social assistance programmes by (further) increasing the benefit incidence of social safety net programmes to the bottom 40%, so as to ‘leave no one behind’. At the same time, efforts are required to reverse the decline in the coverage of social security.  </w:t>
      </w:r>
    </w:p>
    <w:p w14:paraId="7665ED71"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hAnsi="Georgia" w:cs="Times New Roman"/>
          <w:sz w:val="24"/>
          <w:szCs w:val="24"/>
          <w:u w:val="single"/>
        </w:rPr>
        <w:t>Gender policies</w:t>
      </w:r>
      <w:r w:rsidRPr="00346D1C">
        <w:rPr>
          <w:rFonts w:ascii="Georgia" w:hAnsi="Georgia" w:cs="Times New Roman"/>
          <w:sz w:val="24"/>
          <w:szCs w:val="24"/>
        </w:rPr>
        <w:t xml:space="preserve">: First of all, it is suggested to study, analyse and diagnose the different levels and forms of gender disparity (domestic violence, economic opportunities, access to education, finances and time spent on care activities). </w:t>
      </w:r>
    </w:p>
    <w:p w14:paraId="3F530CE6" w14:textId="77777777" w:rsidR="005D2EA0" w:rsidRPr="00346D1C" w:rsidRDefault="005D2EA0" w:rsidP="00BE1429">
      <w:pPr>
        <w:spacing w:after="120" w:line="240" w:lineRule="auto"/>
        <w:jc w:val="both"/>
        <w:rPr>
          <w:rFonts w:ascii="Georgia" w:hAnsi="Georgia" w:cs="Times New Roman"/>
          <w:sz w:val="24"/>
          <w:szCs w:val="24"/>
        </w:rPr>
      </w:pPr>
      <w:r w:rsidRPr="00346D1C">
        <w:rPr>
          <w:rFonts w:ascii="Georgia" w:eastAsia="Constantia" w:hAnsi="Georgia" w:cs="Times New Roman"/>
          <w:sz w:val="24"/>
          <w:szCs w:val="24"/>
        </w:rPr>
        <w:t>Gender inequalities in the labour market might be addressed by c</w:t>
      </w:r>
      <w:r w:rsidRPr="00346D1C">
        <w:rPr>
          <w:rFonts w:ascii="Georgia" w:hAnsi="Georgia" w:cs="Times New Roman"/>
          <w:sz w:val="24"/>
          <w:szCs w:val="24"/>
        </w:rPr>
        <w:t xml:space="preserve">reating a public child care system which could help to reduce the inequality related to time and by stimulating companies to have a 50/50 proportion of hiring processes to level the female/male disparity in terms of employment opportunities. To address the  aspect of unequal pay for equal work, it is recommended to conduct more studies on this topic and disseminate its results, to make employers more aware of this issue, to help improve empowerment of women, and to have a stronger basis for designing specific policies to address this issue, which is also a cause of overall income inequality. </w:t>
      </w:r>
    </w:p>
    <w:p w14:paraId="7022AF57" w14:textId="77777777" w:rsidR="005D2EA0" w:rsidRPr="004F2587" w:rsidRDefault="005D2EA0" w:rsidP="00BE1429">
      <w:pPr>
        <w:spacing w:after="120" w:line="240" w:lineRule="auto"/>
        <w:jc w:val="both"/>
        <w:rPr>
          <w:rFonts w:ascii="Times New Roman" w:eastAsia="Constantia" w:hAnsi="Times New Roman" w:cs="Times New Roman"/>
          <w:sz w:val="24"/>
          <w:szCs w:val="24"/>
        </w:rPr>
      </w:pPr>
      <w:r w:rsidRPr="00346D1C">
        <w:rPr>
          <w:rFonts w:ascii="Georgia" w:hAnsi="Georgia" w:cs="Times New Roman"/>
          <w:sz w:val="24"/>
          <w:szCs w:val="24"/>
        </w:rPr>
        <w:t xml:space="preserve">One general policy option is to improve access to education of girls and women, also at TVET and university level. Another </w:t>
      </w:r>
      <w:r w:rsidRPr="00346D1C">
        <w:rPr>
          <w:rFonts w:ascii="Georgia" w:eastAsia="Constantia" w:hAnsi="Georgia" w:cs="Times New Roman"/>
          <w:sz w:val="24"/>
          <w:szCs w:val="24"/>
        </w:rPr>
        <w:t>policy option is to improve access to health care for (especially poor) women. Broadening the coverage of the subsidised health care system, and ultimately unifying currently existing systems into a tax-based system, can help to achieve this. Finally, it is suggested to make further progress in the area of gender-responsive budgeting at national, county and ultimately local government level, by assigning more resources to efforts to improve this.</w:t>
      </w:r>
      <w:r w:rsidRPr="004F2587">
        <w:rPr>
          <w:rFonts w:ascii="Times New Roman" w:eastAsia="Constantia" w:hAnsi="Times New Roman" w:cs="Times New Roman"/>
          <w:sz w:val="24"/>
          <w:szCs w:val="24"/>
        </w:rPr>
        <w:t xml:space="preserve"> </w:t>
      </w:r>
    </w:p>
    <w:p w14:paraId="1F604CE5" w14:textId="77777777" w:rsidR="00CB3379" w:rsidRPr="004F2587" w:rsidRDefault="00CB3379" w:rsidP="00A118F1">
      <w:pPr>
        <w:spacing w:after="0" w:line="240" w:lineRule="auto"/>
        <w:jc w:val="both"/>
        <w:rPr>
          <w:rFonts w:ascii="Times New Roman" w:hAnsi="Times New Roman" w:cs="Times New Roman"/>
          <w:i/>
          <w:iCs/>
          <w:sz w:val="24"/>
          <w:szCs w:val="24"/>
        </w:rPr>
      </w:pPr>
    </w:p>
    <w:p w14:paraId="449B7829" w14:textId="4782150C" w:rsidR="00A16F08" w:rsidRPr="009C5581" w:rsidRDefault="00A16F08" w:rsidP="00A118F1">
      <w:pPr>
        <w:spacing w:after="0" w:line="240" w:lineRule="auto"/>
        <w:rPr>
          <w:rFonts w:ascii="Times New Roman" w:eastAsia="Constantia" w:hAnsi="Times New Roman" w:cs="Times New Roman"/>
          <w:sz w:val="28"/>
          <w:szCs w:val="28"/>
          <w:lang w:eastAsia="en-GB"/>
        </w:rPr>
        <w:sectPr w:rsidR="00A16F08" w:rsidRPr="009C5581" w:rsidSect="004F2587">
          <w:headerReference w:type="even" r:id="rId21"/>
          <w:headerReference w:type="default" r:id="rId22"/>
          <w:footerReference w:type="even" r:id="rId23"/>
          <w:footerReference w:type="default" r:id="rId24"/>
          <w:headerReference w:type="first" r:id="rId25"/>
          <w:footerReference w:type="first" r:id="rId26"/>
          <w:pgSz w:w="11906" w:h="16838" w:code="9"/>
          <w:pgMar w:top="1008" w:right="1008" w:bottom="1008" w:left="1008" w:header="720" w:footer="720" w:gutter="0"/>
          <w:pgNumType w:fmt="upperRoman" w:start="1"/>
          <w:cols w:space="720"/>
          <w:titlePg/>
          <w:docGrid w:linePitch="360"/>
        </w:sectPr>
      </w:pPr>
    </w:p>
    <w:p w14:paraId="388ED1B7" w14:textId="3BDC7E91" w:rsidR="00EF2B26" w:rsidRPr="00346D1C" w:rsidRDefault="00EF2B26" w:rsidP="0005376D">
      <w:pPr>
        <w:pStyle w:val="Heading1"/>
        <w:spacing w:before="0" w:after="120" w:line="240" w:lineRule="auto"/>
        <w:rPr>
          <w:rFonts w:ascii="Georgia" w:hAnsi="Georgia" w:cs="Times New Roman"/>
          <w:b/>
          <w:bCs/>
          <w:color w:val="auto"/>
          <w:sz w:val="24"/>
          <w:szCs w:val="24"/>
        </w:rPr>
      </w:pPr>
      <w:bookmarkStart w:id="9" w:name="_Toc145928779"/>
      <w:r w:rsidRPr="00346D1C">
        <w:rPr>
          <w:rFonts w:ascii="Georgia" w:hAnsi="Georgia" w:cs="Times New Roman"/>
          <w:b/>
          <w:bCs/>
          <w:color w:val="auto"/>
          <w:sz w:val="24"/>
          <w:szCs w:val="24"/>
        </w:rPr>
        <w:t xml:space="preserve">Overview: Macroeconomic </w:t>
      </w:r>
      <w:r w:rsidR="00527645" w:rsidRPr="00346D1C">
        <w:rPr>
          <w:rFonts w:ascii="Georgia" w:hAnsi="Georgia" w:cs="Times New Roman"/>
          <w:b/>
          <w:bCs/>
          <w:color w:val="auto"/>
          <w:sz w:val="24"/>
          <w:szCs w:val="24"/>
        </w:rPr>
        <w:t>development</w:t>
      </w:r>
      <w:r w:rsidRPr="00346D1C">
        <w:rPr>
          <w:rFonts w:ascii="Georgia" w:hAnsi="Georgia" w:cs="Times New Roman"/>
          <w:b/>
          <w:bCs/>
          <w:color w:val="auto"/>
          <w:sz w:val="24"/>
          <w:szCs w:val="24"/>
        </w:rPr>
        <w:t xml:space="preserve"> in</w:t>
      </w:r>
      <w:r w:rsidR="00FA74ED" w:rsidRPr="00346D1C">
        <w:rPr>
          <w:rFonts w:ascii="Georgia" w:hAnsi="Georgia" w:cs="Times New Roman"/>
          <w:b/>
          <w:bCs/>
          <w:color w:val="auto"/>
          <w:sz w:val="24"/>
          <w:szCs w:val="24"/>
        </w:rPr>
        <w:t xml:space="preserve"> </w:t>
      </w:r>
      <w:r w:rsidR="00705611" w:rsidRPr="00346D1C">
        <w:rPr>
          <w:rFonts w:ascii="Georgia" w:hAnsi="Georgia" w:cs="Times New Roman"/>
          <w:b/>
          <w:bCs/>
          <w:color w:val="auto"/>
          <w:sz w:val="24"/>
          <w:szCs w:val="24"/>
        </w:rPr>
        <w:t>Kenya</w:t>
      </w:r>
      <w:bookmarkEnd w:id="9"/>
    </w:p>
    <w:p w14:paraId="559DB785" w14:textId="717220F3" w:rsidR="00672A3C" w:rsidRPr="00346D1C" w:rsidRDefault="00A37456" w:rsidP="00672A3C">
      <w:pPr>
        <w:tabs>
          <w:tab w:val="left" w:pos="2427"/>
        </w:tabs>
        <w:spacing w:after="120" w:line="240" w:lineRule="auto"/>
        <w:jc w:val="both"/>
        <w:rPr>
          <w:rFonts w:ascii="Georgia" w:hAnsi="Georgia" w:cs="Times New Roman"/>
          <w:sz w:val="24"/>
          <w:szCs w:val="24"/>
        </w:rPr>
      </w:pPr>
      <w:bookmarkStart w:id="10" w:name="_Toc61354639"/>
      <w:bookmarkStart w:id="11" w:name="_Toc99531604"/>
      <w:r w:rsidRPr="00346D1C">
        <w:rPr>
          <w:rFonts w:ascii="Georgia" w:hAnsi="Georgia" w:cs="Times New Roman"/>
          <w:sz w:val="24"/>
          <w:szCs w:val="24"/>
        </w:rPr>
        <w:t xml:space="preserve">Kenya </w:t>
      </w:r>
      <w:r w:rsidR="00FA74ED" w:rsidRPr="00346D1C">
        <w:rPr>
          <w:rFonts w:ascii="Georgia" w:hAnsi="Georgia" w:cs="Times New Roman"/>
          <w:sz w:val="24"/>
          <w:szCs w:val="24"/>
        </w:rPr>
        <w:t xml:space="preserve">experienced </w:t>
      </w:r>
      <w:r w:rsidR="00836386" w:rsidRPr="00346D1C">
        <w:rPr>
          <w:rFonts w:ascii="Georgia" w:hAnsi="Georgia" w:cs="Times New Roman"/>
          <w:sz w:val="24"/>
          <w:szCs w:val="24"/>
        </w:rPr>
        <w:t xml:space="preserve">volatile </w:t>
      </w:r>
      <w:r w:rsidR="00525447" w:rsidRPr="00346D1C">
        <w:rPr>
          <w:rFonts w:ascii="Georgia" w:hAnsi="Georgia" w:cs="Times New Roman"/>
          <w:sz w:val="24"/>
          <w:szCs w:val="24"/>
        </w:rPr>
        <w:t>e</w:t>
      </w:r>
      <w:r w:rsidR="00FA74ED" w:rsidRPr="00346D1C">
        <w:rPr>
          <w:rFonts w:ascii="Georgia" w:hAnsi="Georgia" w:cs="Times New Roman"/>
          <w:sz w:val="24"/>
          <w:szCs w:val="24"/>
        </w:rPr>
        <w:t xml:space="preserve">conomic </w:t>
      </w:r>
      <w:r w:rsidR="00DD706A" w:rsidRPr="00346D1C">
        <w:rPr>
          <w:rFonts w:ascii="Georgia" w:hAnsi="Georgia" w:cs="Times New Roman"/>
          <w:sz w:val="24"/>
          <w:szCs w:val="24"/>
        </w:rPr>
        <w:t xml:space="preserve">growth </w:t>
      </w:r>
      <w:r w:rsidR="00E71D9F" w:rsidRPr="00346D1C">
        <w:rPr>
          <w:rFonts w:ascii="Georgia" w:hAnsi="Georgia" w:cs="Times New Roman"/>
          <w:sz w:val="24"/>
          <w:szCs w:val="24"/>
        </w:rPr>
        <w:t xml:space="preserve">during </w:t>
      </w:r>
      <w:r w:rsidR="003D191C" w:rsidRPr="00346D1C">
        <w:rPr>
          <w:rFonts w:ascii="Georgia" w:hAnsi="Georgia" w:cs="Times New Roman"/>
          <w:sz w:val="24"/>
          <w:szCs w:val="24"/>
        </w:rPr>
        <w:t>the past two decades.</w:t>
      </w:r>
      <w:r w:rsidR="00525447" w:rsidRPr="00346D1C">
        <w:rPr>
          <w:rFonts w:ascii="Georgia" w:hAnsi="Georgia" w:cs="Times New Roman"/>
          <w:sz w:val="24"/>
          <w:szCs w:val="24"/>
        </w:rPr>
        <w:t xml:space="preserve"> </w:t>
      </w:r>
      <w:r w:rsidR="0056038E" w:rsidRPr="00346D1C">
        <w:rPr>
          <w:rFonts w:ascii="Georgia" w:hAnsi="Georgia" w:cs="Times New Roman"/>
          <w:sz w:val="24"/>
          <w:szCs w:val="24"/>
        </w:rPr>
        <w:t>Whereas g</w:t>
      </w:r>
      <w:r w:rsidR="00525447" w:rsidRPr="00346D1C">
        <w:rPr>
          <w:rFonts w:ascii="Georgia" w:hAnsi="Georgia" w:cs="Times New Roman"/>
          <w:sz w:val="24"/>
          <w:szCs w:val="24"/>
        </w:rPr>
        <w:t>rowth was high in most years</w:t>
      </w:r>
      <w:r w:rsidR="0056038E" w:rsidRPr="00346D1C">
        <w:rPr>
          <w:rFonts w:ascii="Georgia" w:hAnsi="Georgia" w:cs="Times New Roman"/>
          <w:sz w:val="24"/>
          <w:szCs w:val="24"/>
        </w:rPr>
        <w:t xml:space="preserve">, </w:t>
      </w:r>
      <w:r w:rsidR="009356DC" w:rsidRPr="00346D1C">
        <w:rPr>
          <w:rFonts w:ascii="Georgia" w:hAnsi="Georgia" w:cs="Times New Roman"/>
          <w:sz w:val="24"/>
          <w:szCs w:val="24"/>
        </w:rPr>
        <w:t>e</w:t>
      </w:r>
      <w:r w:rsidR="00886F4C" w:rsidRPr="00346D1C">
        <w:rPr>
          <w:rFonts w:ascii="Georgia" w:hAnsi="Georgia" w:cs="Times New Roman"/>
          <w:sz w:val="24"/>
          <w:szCs w:val="24"/>
        </w:rPr>
        <w:t>xceptions were 2000</w:t>
      </w:r>
      <w:r w:rsidR="00CC1168" w:rsidRPr="00346D1C">
        <w:rPr>
          <w:rFonts w:ascii="Georgia" w:hAnsi="Georgia" w:cs="Times New Roman"/>
          <w:sz w:val="24"/>
          <w:szCs w:val="24"/>
        </w:rPr>
        <w:t xml:space="preserve">, </w:t>
      </w:r>
      <w:r w:rsidR="00556112" w:rsidRPr="00346D1C">
        <w:rPr>
          <w:rFonts w:ascii="Georgia" w:hAnsi="Georgia" w:cs="Times New Roman"/>
          <w:sz w:val="24"/>
          <w:szCs w:val="24"/>
        </w:rPr>
        <w:t>when Kenya was hit by drought,</w:t>
      </w:r>
      <w:r w:rsidR="00864C93" w:rsidRPr="00346D1C">
        <w:rPr>
          <w:rFonts w:ascii="Georgia" w:hAnsi="Georgia" w:cs="Times New Roman"/>
          <w:sz w:val="24"/>
          <w:szCs w:val="24"/>
        </w:rPr>
        <w:t xml:space="preserve"> and</w:t>
      </w:r>
      <w:r w:rsidR="00886F4C" w:rsidRPr="00346D1C">
        <w:rPr>
          <w:rFonts w:ascii="Georgia" w:hAnsi="Georgia" w:cs="Times New Roman"/>
          <w:sz w:val="24"/>
          <w:szCs w:val="24"/>
        </w:rPr>
        <w:t xml:space="preserve"> 2002</w:t>
      </w:r>
      <w:r w:rsidR="00380C2F" w:rsidRPr="00346D1C">
        <w:rPr>
          <w:rFonts w:ascii="Georgia" w:hAnsi="Georgia" w:cs="Times New Roman"/>
          <w:sz w:val="24"/>
          <w:szCs w:val="24"/>
        </w:rPr>
        <w:t>,</w:t>
      </w:r>
      <w:r w:rsidR="00556112" w:rsidRPr="00346D1C">
        <w:rPr>
          <w:rFonts w:ascii="Georgia" w:hAnsi="Georgia" w:cs="Times New Roman"/>
          <w:sz w:val="24"/>
          <w:szCs w:val="24"/>
        </w:rPr>
        <w:t xml:space="preserve"> </w:t>
      </w:r>
      <w:r w:rsidR="00380C2F" w:rsidRPr="00346D1C">
        <w:rPr>
          <w:rFonts w:ascii="Georgia" w:hAnsi="Georgia" w:cs="Times New Roman"/>
          <w:sz w:val="24"/>
          <w:szCs w:val="24"/>
        </w:rPr>
        <w:t xml:space="preserve">which was </w:t>
      </w:r>
      <w:r w:rsidR="00556112" w:rsidRPr="00346D1C">
        <w:rPr>
          <w:rFonts w:ascii="Georgia" w:hAnsi="Georgia" w:cs="Times New Roman"/>
          <w:sz w:val="24"/>
          <w:szCs w:val="24"/>
        </w:rPr>
        <w:t>an election year.</w:t>
      </w:r>
      <w:r w:rsidR="00886F4C" w:rsidRPr="00346D1C">
        <w:rPr>
          <w:rFonts w:ascii="Georgia" w:hAnsi="Georgia" w:cs="Times New Roman"/>
          <w:sz w:val="24"/>
          <w:szCs w:val="24"/>
        </w:rPr>
        <w:t xml:space="preserve"> </w:t>
      </w:r>
      <w:r w:rsidR="00556112" w:rsidRPr="00346D1C">
        <w:rPr>
          <w:rFonts w:ascii="Georgia" w:hAnsi="Georgia" w:cs="Times New Roman"/>
          <w:sz w:val="24"/>
          <w:szCs w:val="24"/>
        </w:rPr>
        <w:t>G</w:t>
      </w:r>
      <w:r w:rsidR="00864C93" w:rsidRPr="00346D1C">
        <w:rPr>
          <w:rFonts w:ascii="Georgia" w:hAnsi="Georgia" w:cs="Times New Roman"/>
          <w:sz w:val="24"/>
          <w:szCs w:val="24"/>
        </w:rPr>
        <w:t xml:space="preserve">rowth was </w:t>
      </w:r>
      <w:r w:rsidR="00AA3ACA" w:rsidRPr="00346D1C">
        <w:rPr>
          <w:rFonts w:ascii="Georgia" w:hAnsi="Georgia" w:cs="Times New Roman"/>
          <w:sz w:val="24"/>
          <w:szCs w:val="24"/>
        </w:rPr>
        <w:t xml:space="preserve">also </w:t>
      </w:r>
      <w:r w:rsidR="00BD6FBF" w:rsidRPr="00346D1C">
        <w:rPr>
          <w:rFonts w:ascii="Georgia" w:hAnsi="Georgia" w:cs="Times New Roman"/>
          <w:sz w:val="24"/>
          <w:szCs w:val="24"/>
        </w:rPr>
        <w:t>weak</w:t>
      </w:r>
      <w:r w:rsidR="009356DC" w:rsidRPr="00346D1C">
        <w:rPr>
          <w:rFonts w:ascii="Georgia" w:hAnsi="Georgia" w:cs="Times New Roman"/>
          <w:sz w:val="24"/>
          <w:szCs w:val="24"/>
        </w:rPr>
        <w:t xml:space="preserve"> </w:t>
      </w:r>
      <w:r w:rsidR="00556112" w:rsidRPr="00346D1C">
        <w:rPr>
          <w:rFonts w:ascii="Georgia" w:hAnsi="Georgia" w:cs="Times New Roman"/>
          <w:sz w:val="24"/>
          <w:szCs w:val="24"/>
        </w:rPr>
        <w:t xml:space="preserve">in </w:t>
      </w:r>
      <w:r w:rsidR="00886F4C" w:rsidRPr="00346D1C">
        <w:rPr>
          <w:rFonts w:ascii="Georgia" w:hAnsi="Georgia" w:cs="Times New Roman"/>
          <w:sz w:val="24"/>
          <w:szCs w:val="24"/>
        </w:rPr>
        <w:t>2008,</w:t>
      </w:r>
      <w:r w:rsidR="00864C93" w:rsidRPr="00346D1C">
        <w:rPr>
          <w:rFonts w:ascii="Georgia" w:hAnsi="Georgia" w:cs="Times New Roman"/>
          <w:sz w:val="24"/>
          <w:szCs w:val="24"/>
        </w:rPr>
        <w:t xml:space="preserve"> when the economy was affected by post-election violence</w:t>
      </w:r>
      <w:r w:rsidR="00B64B2C" w:rsidRPr="00346D1C">
        <w:rPr>
          <w:rFonts w:ascii="Georgia" w:hAnsi="Georgia" w:cs="Times New Roman"/>
          <w:sz w:val="24"/>
          <w:szCs w:val="24"/>
        </w:rPr>
        <w:t>,</w:t>
      </w:r>
      <w:r w:rsidR="00886F4C" w:rsidRPr="00346D1C">
        <w:rPr>
          <w:rFonts w:ascii="Georgia" w:hAnsi="Georgia" w:cs="Times New Roman"/>
          <w:sz w:val="24"/>
          <w:szCs w:val="24"/>
        </w:rPr>
        <w:t xml:space="preserve"> </w:t>
      </w:r>
      <w:r w:rsidR="00A24561" w:rsidRPr="00346D1C">
        <w:rPr>
          <w:rFonts w:ascii="Georgia" w:hAnsi="Georgia" w:cs="Times New Roman"/>
          <w:sz w:val="24"/>
          <w:szCs w:val="24"/>
        </w:rPr>
        <w:t>while</w:t>
      </w:r>
      <w:r w:rsidR="00F15A9A" w:rsidRPr="00346D1C">
        <w:rPr>
          <w:rFonts w:ascii="Georgia" w:hAnsi="Georgia" w:cs="Times New Roman"/>
          <w:sz w:val="24"/>
          <w:szCs w:val="24"/>
        </w:rPr>
        <w:t xml:space="preserve"> 202</w:t>
      </w:r>
      <w:r w:rsidR="00B600B1" w:rsidRPr="00346D1C">
        <w:rPr>
          <w:rFonts w:ascii="Georgia" w:hAnsi="Georgia" w:cs="Times New Roman"/>
          <w:sz w:val="24"/>
          <w:szCs w:val="24"/>
        </w:rPr>
        <w:t>0</w:t>
      </w:r>
      <w:r w:rsidR="000969C0" w:rsidRPr="00346D1C">
        <w:rPr>
          <w:rFonts w:ascii="Georgia" w:hAnsi="Georgia" w:cs="Times New Roman"/>
          <w:sz w:val="24"/>
          <w:szCs w:val="24"/>
        </w:rPr>
        <w:t xml:space="preserve"> was </w:t>
      </w:r>
      <w:r w:rsidR="00217B57" w:rsidRPr="00346D1C">
        <w:rPr>
          <w:rFonts w:ascii="Georgia" w:hAnsi="Georgia" w:cs="Times New Roman"/>
          <w:sz w:val="24"/>
          <w:szCs w:val="24"/>
        </w:rPr>
        <w:t>characterised by a small contraction of the economy</w:t>
      </w:r>
      <w:r w:rsidR="000969C0" w:rsidRPr="00346D1C">
        <w:rPr>
          <w:rFonts w:ascii="Georgia" w:hAnsi="Georgia" w:cs="Times New Roman"/>
          <w:sz w:val="24"/>
          <w:szCs w:val="24"/>
        </w:rPr>
        <w:t xml:space="preserve"> </w:t>
      </w:r>
      <w:r w:rsidR="002A6368" w:rsidRPr="00346D1C">
        <w:rPr>
          <w:rFonts w:ascii="Georgia" w:hAnsi="Georgia" w:cs="Times New Roman"/>
          <w:sz w:val="24"/>
          <w:szCs w:val="24"/>
        </w:rPr>
        <w:t xml:space="preserve">related to </w:t>
      </w:r>
      <w:r w:rsidR="000969C0" w:rsidRPr="00346D1C">
        <w:rPr>
          <w:rFonts w:ascii="Georgia" w:hAnsi="Georgia" w:cs="Times New Roman"/>
          <w:sz w:val="24"/>
          <w:szCs w:val="24"/>
        </w:rPr>
        <w:t xml:space="preserve">the </w:t>
      </w:r>
      <w:r w:rsidR="005C3D12" w:rsidRPr="00346D1C">
        <w:rPr>
          <w:rFonts w:ascii="Georgia" w:hAnsi="Georgia" w:cs="Times New Roman"/>
          <w:sz w:val="24"/>
          <w:szCs w:val="24"/>
        </w:rPr>
        <w:t>COVID</w:t>
      </w:r>
      <w:r w:rsidR="000969C0" w:rsidRPr="00346D1C">
        <w:rPr>
          <w:rFonts w:ascii="Georgia" w:hAnsi="Georgia" w:cs="Times New Roman"/>
          <w:sz w:val="24"/>
          <w:szCs w:val="24"/>
        </w:rPr>
        <w:t>-19 pandemic</w:t>
      </w:r>
      <w:r w:rsidR="00F819B8" w:rsidRPr="00346D1C">
        <w:rPr>
          <w:rFonts w:ascii="Georgia" w:hAnsi="Georgia" w:cs="Times New Roman"/>
          <w:sz w:val="24"/>
          <w:szCs w:val="24"/>
        </w:rPr>
        <w:t xml:space="preserve"> (see Table 1</w:t>
      </w:r>
      <w:r w:rsidR="009A7415" w:rsidRPr="00346D1C">
        <w:rPr>
          <w:rFonts w:ascii="Georgia" w:hAnsi="Georgia" w:cs="Times New Roman"/>
          <w:sz w:val="24"/>
          <w:szCs w:val="24"/>
        </w:rPr>
        <w:t xml:space="preserve"> and </w:t>
      </w:r>
      <w:r w:rsidR="00CC20C8" w:rsidRPr="00346D1C">
        <w:rPr>
          <w:rFonts w:ascii="Georgia" w:hAnsi="Georgia" w:cs="Times New Roman"/>
          <w:sz w:val="24"/>
          <w:szCs w:val="24"/>
        </w:rPr>
        <w:fldChar w:fldCharType="begin"/>
      </w:r>
      <w:r w:rsidR="00CC20C8" w:rsidRPr="00346D1C">
        <w:rPr>
          <w:rFonts w:ascii="Georgia" w:hAnsi="Georgia" w:cs="Times New Roman"/>
          <w:sz w:val="24"/>
          <w:szCs w:val="24"/>
        </w:rPr>
        <w:instrText xml:space="preserve"> REF _Ref137807718 \h </w:instrText>
      </w:r>
      <w:r w:rsidR="00D11B9B" w:rsidRPr="00346D1C">
        <w:rPr>
          <w:rFonts w:ascii="Georgia" w:hAnsi="Georgia" w:cs="Times New Roman"/>
          <w:sz w:val="24"/>
          <w:szCs w:val="24"/>
        </w:rPr>
        <w:instrText xml:space="preserve"> \* MERGEFORMAT </w:instrText>
      </w:r>
      <w:r w:rsidR="00CC20C8" w:rsidRPr="00346D1C">
        <w:rPr>
          <w:rFonts w:ascii="Georgia" w:hAnsi="Georgia" w:cs="Times New Roman"/>
          <w:sz w:val="24"/>
          <w:szCs w:val="24"/>
        </w:rPr>
      </w:r>
      <w:r w:rsidR="00CC20C8"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1</w:t>
      </w:r>
      <w:r w:rsidR="00CC20C8" w:rsidRPr="00346D1C">
        <w:rPr>
          <w:rFonts w:ascii="Georgia" w:hAnsi="Georgia" w:cs="Times New Roman"/>
          <w:sz w:val="24"/>
          <w:szCs w:val="24"/>
        </w:rPr>
        <w:fldChar w:fldCharType="end"/>
      </w:r>
      <w:r w:rsidR="00AE04BA" w:rsidRPr="00346D1C">
        <w:rPr>
          <w:rFonts w:ascii="Georgia" w:hAnsi="Georgia" w:cs="Times New Roman"/>
          <w:sz w:val="24"/>
          <w:szCs w:val="24"/>
        </w:rPr>
        <w:t xml:space="preserve">; </w:t>
      </w:r>
      <w:r w:rsidR="00380C2F" w:rsidRPr="00346D1C">
        <w:rPr>
          <w:rFonts w:ascii="Georgia" w:hAnsi="Georgia" w:cs="Times New Roman"/>
          <w:sz w:val="24"/>
          <w:szCs w:val="24"/>
        </w:rPr>
        <w:t>Bigsten et al.</w:t>
      </w:r>
      <w:r w:rsidR="006A37E9" w:rsidRPr="00346D1C">
        <w:rPr>
          <w:rFonts w:ascii="Georgia" w:hAnsi="Georgia" w:cs="Times New Roman"/>
          <w:sz w:val="24"/>
          <w:szCs w:val="24"/>
        </w:rPr>
        <w:t>, 2016: 355</w:t>
      </w:r>
      <w:r w:rsidR="003376D8" w:rsidRPr="00346D1C">
        <w:rPr>
          <w:rFonts w:ascii="Georgia" w:hAnsi="Georgia" w:cs="Times New Roman"/>
          <w:sz w:val="24"/>
          <w:szCs w:val="24"/>
        </w:rPr>
        <w:t xml:space="preserve">; </w:t>
      </w:r>
      <w:r w:rsidR="00A5748F" w:rsidRPr="00346D1C">
        <w:rPr>
          <w:rFonts w:ascii="Georgia" w:hAnsi="Georgia" w:cs="Times New Roman"/>
          <w:sz w:val="24"/>
          <w:szCs w:val="24"/>
        </w:rPr>
        <w:t>KIPPRA, 2020</w:t>
      </w:r>
      <w:r w:rsidR="00F819B8" w:rsidRPr="00346D1C">
        <w:rPr>
          <w:rFonts w:ascii="Georgia" w:hAnsi="Georgia" w:cs="Times New Roman"/>
          <w:sz w:val="24"/>
          <w:szCs w:val="24"/>
        </w:rPr>
        <w:t>).</w:t>
      </w:r>
      <w:r w:rsidR="00186DC1" w:rsidRPr="00346D1C">
        <w:rPr>
          <w:rStyle w:val="FootnoteReference"/>
          <w:rFonts w:ascii="Georgia" w:hAnsi="Georgia" w:cs="Times New Roman"/>
          <w:sz w:val="24"/>
          <w:szCs w:val="24"/>
        </w:rPr>
        <w:footnoteReference w:id="4"/>
      </w:r>
      <w:r w:rsidR="00F819B8" w:rsidRPr="00346D1C">
        <w:rPr>
          <w:rFonts w:ascii="Georgia" w:hAnsi="Georgia" w:cs="Times New Roman"/>
          <w:sz w:val="24"/>
          <w:szCs w:val="24"/>
        </w:rPr>
        <w:t xml:space="preserve"> </w:t>
      </w:r>
      <w:r w:rsidR="00F46FE1" w:rsidRPr="00346D1C">
        <w:rPr>
          <w:rFonts w:ascii="Georgia" w:hAnsi="Georgia" w:cs="Times New Roman"/>
          <w:sz w:val="24"/>
          <w:szCs w:val="24"/>
        </w:rPr>
        <w:t xml:space="preserve">The Kenyan economy </w:t>
      </w:r>
      <w:r w:rsidR="00F927D5" w:rsidRPr="00346D1C">
        <w:rPr>
          <w:rFonts w:ascii="Georgia" w:hAnsi="Georgia" w:cs="Times New Roman"/>
          <w:sz w:val="24"/>
          <w:szCs w:val="24"/>
        </w:rPr>
        <w:t>recov</w:t>
      </w:r>
      <w:r w:rsidR="002E2044" w:rsidRPr="00346D1C">
        <w:rPr>
          <w:rFonts w:ascii="Georgia" w:hAnsi="Georgia" w:cs="Times New Roman"/>
          <w:sz w:val="24"/>
          <w:szCs w:val="24"/>
        </w:rPr>
        <w:t>er</w:t>
      </w:r>
      <w:r w:rsidR="00F927D5" w:rsidRPr="00346D1C">
        <w:rPr>
          <w:rFonts w:ascii="Georgia" w:hAnsi="Georgia" w:cs="Times New Roman"/>
          <w:sz w:val="24"/>
          <w:szCs w:val="24"/>
        </w:rPr>
        <w:t>e</w:t>
      </w:r>
      <w:r w:rsidR="00822F81" w:rsidRPr="00346D1C">
        <w:rPr>
          <w:rFonts w:ascii="Georgia" w:hAnsi="Georgia" w:cs="Times New Roman"/>
          <w:sz w:val="24"/>
          <w:szCs w:val="24"/>
        </w:rPr>
        <w:t>d</w:t>
      </w:r>
      <w:r w:rsidR="00F927D5" w:rsidRPr="00346D1C">
        <w:rPr>
          <w:rFonts w:ascii="Georgia" w:hAnsi="Georgia" w:cs="Times New Roman"/>
          <w:sz w:val="24"/>
          <w:szCs w:val="24"/>
        </w:rPr>
        <w:t xml:space="preserve"> in 202</w:t>
      </w:r>
      <w:r w:rsidR="00822F81" w:rsidRPr="00346D1C">
        <w:rPr>
          <w:rFonts w:ascii="Georgia" w:hAnsi="Georgia" w:cs="Times New Roman"/>
          <w:sz w:val="24"/>
          <w:szCs w:val="24"/>
        </w:rPr>
        <w:t>1</w:t>
      </w:r>
      <w:r w:rsidR="009A1197" w:rsidRPr="00346D1C">
        <w:rPr>
          <w:rFonts w:ascii="Georgia" w:hAnsi="Georgia" w:cs="Times New Roman"/>
          <w:sz w:val="24"/>
          <w:szCs w:val="24"/>
        </w:rPr>
        <w:t>-2022</w:t>
      </w:r>
      <w:r w:rsidR="00F927D5" w:rsidRPr="00346D1C">
        <w:rPr>
          <w:rFonts w:ascii="Georgia" w:hAnsi="Georgia" w:cs="Times New Roman"/>
          <w:sz w:val="24"/>
          <w:szCs w:val="24"/>
        </w:rPr>
        <w:t xml:space="preserve">, when GDP grew </w:t>
      </w:r>
      <w:r w:rsidR="00AF0198" w:rsidRPr="00346D1C">
        <w:rPr>
          <w:rFonts w:ascii="Georgia" w:hAnsi="Georgia" w:cs="Times New Roman"/>
          <w:sz w:val="24"/>
          <w:szCs w:val="24"/>
        </w:rPr>
        <w:t xml:space="preserve">by </w:t>
      </w:r>
      <w:r w:rsidR="00F927D5" w:rsidRPr="00346D1C">
        <w:rPr>
          <w:rFonts w:ascii="Georgia" w:hAnsi="Georgia" w:cs="Times New Roman"/>
          <w:sz w:val="24"/>
          <w:szCs w:val="24"/>
        </w:rPr>
        <w:t>7.</w:t>
      </w:r>
      <w:r w:rsidR="007F2283" w:rsidRPr="00346D1C">
        <w:rPr>
          <w:rFonts w:ascii="Georgia" w:hAnsi="Georgia" w:cs="Times New Roman"/>
          <w:sz w:val="24"/>
          <w:szCs w:val="24"/>
        </w:rPr>
        <w:t>6</w:t>
      </w:r>
      <w:r w:rsidR="00F927D5" w:rsidRPr="00346D1C">
        <w:rPr>
          <w:rFonts w:ascii="Georgia" w:hAnsi="Georgia" w:cs="Times New Roman"/>
          <w:sz w:val="24"/>
          <w:szCs w:val="24"/>
        </w:rPr>
        <w:t>%</w:t>
      </w:r>
      <w:r w:rsidR="00F361FF" w:rsidRPr="00346D1C">
        <w:rPr>
          <w:rFonts w:ascii="Georgia" w:hAnsi="Georgia" w:cs="Times New Roman"/>
          <w:sz w:val="24"/>
          <w:szCs w:val="24"/>
        </w:rPr>
        <w:t xml:space="preserve"> in 2021 and by</w:t>
      </w:r>
      <w:r w:rsidR="00BE47CB" w:rsidRPr="00346D1C">
        <w:rPr>
          <w:rFonts w:ascii="Georgia" w:hAnsi="Georgia" w:cs="Times New Roman"/>
          <w:sz w:val="24"/>
          <w:szCs w:val="24"/>
        </w:rPr>
        <w:t xml:space="preserve"> an estimated</w:t>
      </w:r>
      <w:r w:rsidR="00F361FF" w:rsidRPr="00346D1C">
        <w:rPr>
          <w:rFonts w:ascii="Georgia" w:hAnsi="Georgia" w:cs="Times New Roman"/>
          <w:sz w:val="24"/>
          <w:szCs w:val="24"/>
        </w:rPr>
        <w:t xml:space="preserve"> 4.8% in 2022 (KNB</w:t>
      </w:r>
      <w:r w:rsidR="00B60B9F" w:rsidRPr="00346D1C">
        <w:rPr>
          <w:rFonts w:ascii="Georgia" w:hAnsi="Georgia" w:cs="Times New Roman"/>
          <w:sz w:val="24"/>
          <w:szCs w:val="24"/>
        </w:rPr>
        <w:t>S, 2023</w:t>
      </w:r>
      <w:r w:rsidR="00E515EB" w:rsidRPr="00346D1C">
        <w:rPr>
          <w:rFonts w:ascii="Georgia" w:hAnsi="Georgia" w:cs="Times New Roman"/>
          <w:sz w:val="24"/>
          <w:szCs w:val="24"/>
        </w:rPr>
        <w:t>a</w:t>
      </w:r>
      <w:r w:rsidR="00B60B9F" w:rsidRPr="00346D1C">
        <w:rPr>
          <w:rFonts w:ascii="Georgia" w:hAnsi="Georgia" w:cs="Times New Roman"/>
          <w:sz w:val="24"/>
          <w:szCs w:val="24"/>
        </w:rPr>
        <w:t>)</w:t>
      </w:r>
      <w:r w:rsidR="00DC07D3" w:rsidRPr="00346D1C">
        <w:rPr>
          <w:rFonts w:ascii="Georgia" w:hAnsi="Georgia" w:cs="Times New Roman"/>
          <w:sz w:val="24"/>
          <w:szCs w:val="24"/>
        </w:rPr>
        <w:t xml:space="preserve">. </w:t>
      </w:r>
      <w:r w:rsidR="0052538E" w:rsidRPr="00346D1C">
        <w:rPr>
          <w:rFonts w:ascii="Georgia" w:hAnsi="Georgia" w:cs="Times New Roman"/>
          <w:sz w:val="24"/>
          <w:szCs w:val="24"/>
        </w:rPr>
        <w:t>T</w:t>
      </w:r>
      <w:r w:rsidR="00DC07D3" w:rsidRPr="00346D1C">
        <w:rPr>
          <w:rFonts w:ascii="Georgia" w:hAnsi="Georgia" w:cs="Times New Roman"/>
          <w:sz w:val="24"/>
          <w:szCs w:val="24"/>
        </w:rPr>
        <w:t xml:space="preserve">his recovery was </w:t>
      </w:r>
      <w:r w:rsidR="00DE5194" w:rsidRPr="00346D1C">
        <w:rPr>
          <w:rFonts w:ascii="Georgia" w:hAnsi="Georgia" w:cs="Times New Roman"/>
          <w:sz w:val="24"/>
          <w:szCs w:val="24"/>
        </w:rPr>
        <w:t>especially due to the performance of the service</w:t>
      </w:r>
      <w:r w:rsidR="003F1D6C" w:rsidRPr="00346D1C">
        <w:rPr>
          <w:rFonts w:ascii="Georgia" w:hAnsi="Georgia" w:cs="Times New Roman"/>
          <w:sz w:val="24"/>
          <w:szCs w:val="24"/>
        </w:rPr>
        <w:t>s</w:t>
      </w:r>
      <w:r w:rsidR="00DE5194" w:rsidRPr="00346D1C">
        <w:rPr>
          <w:rFonts w:ascii="Georgia" w:hAnsi="Georgia" w:cs="Times New Roman"/>
          <w:sz w:val="24"/>
          <w:szCs w:val="24"/>
        </w:rPr>
        <w:t xml:space="preserve"> sec</w:t>
      </w:r>
      <w:r w:rsidR="003F1D6C" w:rsidRPr="00346D1C">
        <w:rPr>
          <w:rFonts w:ascii="Georgia" w:hAnsi="Georgia" w:cs="Times New Roman"/>
          <w:sz w:val="24"/>
          <w:szCs w:val="24"/>
        </w:rPr>
        <w:t xml:space="preserve">tor (cf. </w:t>
      </w:r>
      <w:r w:rsidR="00DC07D3" w:rsidRPr="00346D1C">
        <w:rPr>
          <w:rFonts w:ascii="Georgia" w:hAnsi="Georgia" w:cs="Times New Roman"/>
          <w:sz w:val="24"/>
          <w:szCs w:val="24"/>
        </w:rPr>
        <w:t>W</w:t>
      </w:r>
      <w:r w:rsidR="003F1D6C" w:rsidRPr="00346D1C">
        <w:rPr>
          <w:rFonts w:ascii="Georgia" w:hAnsi="Georgia" w:cs="Times New Roman"/>
          <w:sz w:val="24"/>
          <w:szCs w:val="24"/>
        </w:rPr>
        <w:t xml:space="preserve">orld </w:t>
      </w:r>
      <w:r w:rsidR="00DC07D3" w:rsidRPr="00346D1C">
        <w:rPr>
          <w:rFonts w:ascii="Georgia" w:hAnsi="Georgia" w:cs="Times New Roman"/>
          <w:sz w:val="24"/>
          <w:szCs w:val="24"/>
        </w:rPr>
        <w:t>B</w:t>
      </w:r>
      <w:r w:rsidR="003F1D6C" w:rsidRPr="00346D1C">
        <w:rPr>
          <w:rFonts w:ascii="Georgia" w:hAnsi="Georgia" w:cs="Times New Roman"/>
          <w:sz w:val="24"/>
          <w:szCs w:val="24"/>
        </w:rPr>
        <w:t>ank, 202</w:t>
      </w:r>
      <w:r w:rsidR="001950C5" w:rsidRPr="00346D1C">
        <w:rPr>
          <w:rFonts w:ascii="Georgia" w:hAnsi="Georgia" w:cs="Times New Roman"/>
          <w:sz w:val="24"/>
          <w:szCs w:val="24"/>
        </w:rPr>
        <w:t>1b</w:t>
      </w:r>
      <w:r w:rsidR="003F1D6C" w:rsidRPr="00346D1C">
        <w:rPr>
          <w:rFonts w:ascii="Georgia" w:hAnsi="Georgia" w:cs="Times New Roman"/>
          <w:sz w:val="24"/>
          <w:szCs w:val="24"/>
        </w:rPr>
        <w:t>: 4)</w:t>
      </w:r>
      <w:r w:rsidR="00F927D5" w:rsidRPr="00346D1C">
        <w:rPr>
          <w:rFonts w:ascii="Georgia" w:hAnsi="Georgia" w:cs="Times New Roman"/>
          <w:sz w:val="24"/>
          <w:szCs w:val="24"/>
        </w:rPr>
        <w:t xml:space="preserve">. </w:t>
      </w:r>
      <w:r w:rsidR="0077413F" w:rsidRPr="00346D1C">
        <w:rPr>
          <w:rFonts w:ascii="Georgia" w:hAnsi="Georgia" w:cs="Times New Roman"/>
          <w:sz w:val="24"/>
          <w:szCs w:val="24"/>
        </w:rPr>
        <w:t>As a r</w:t>
      </w:r>
      <w:r w:rsidR="00672A3C" w:rsidRPr="00346D1C">
        <w:rPr>
          <w:rFonts w:ascii="Georgia" w:hAnsi="Georgia" w:cs="Times New Roman"/>
          <w:sz w:val="24"/>
          <w:szCs w:val="24"/>
        </w:rPr>
        <w:t xml:space="preserve">esult of </w:t>
      </w:r>
      <w:r w:rsidR="0077413F" w:rsidRPr="00346D1C">
        <w:rPr>
          <w:rFonts w:ascii="Georgia" w:hAnsi="Georgia" w:cs="Times New Roman"/>
          <w:sz w:val="24"/>
          <w:szCs w:val="24"/>
        </w:rPr>
        <w:t>e</w:t>
      </w:r>
      <w:r w:rsidR="00672A3C" w:rsidRPr="00346D1C">
        <w:rPr>
          <w:rFonts w:ascii="Georgia" w:hAnsi="Georgia" w:cs="Times New Roman"/>
          <w:sz w:val="24"/>
          <w:szCs w:val="24"/>
        </w:rPr>
        <w:t>conomic growth</w:t>
      </w:r>
      <w:r w:rsidR="002A6368" w:rsidRPr="00346D1C">
        <w:rPr>
          <w:rFonts w:ascii="Georgia" w:hAnsi="Georgia" w:cs="Times New Roman"/>
          <w:sz w:val="24"/>
          <w:szCs w:val="24"/>
        </w:rPr>
        <w:t xml:space="preserve"> </w:t>
      </w:r>
      <w:r w:rsidR="002E06A9" w:rsidRPr="00346D1C">
        <w:rPr>
          <w:rFonts w:ascii="Georgia" w:hAnsi="Georgia" w:cs="Times New Roman"/>
          <w:sz w:val="24"/>
          <w:szCs w:val="24"/>
        </w:rPr>
        <w:t>in the past two decades</w:t>
      </w:r>
      <w:r w:rsidR="00672A3C" w:rsidRPr="00346D1C">
        <w:rPr>
          <w:rFonts w:ascii="Georgia" w:hAnsi="Georgia" w:cs="Times New Roman"/>
          <w:sz w:val="24"/>
          <w:szCs w:val="24"/>
        </w:rPr>
        <w:t xml:space="preserve">, GDP </w:t>
      </w:r>
      <w:r w:rsidR="0077413F" w:rsidRPr="00346D1C">
        <w:rPr>
          <w:rFonts w:ascii="Georgia" w:hAnsi="Georgia" w:cs="Times New Roman"/>
          <w:sz w:val="24"/>
          <w:szCs w:val="24"/>
        </w:rPr>
        <w:t xml:space="preserve">more than doubled from </w:t>
      </w:r>
      <w:r w:rsidR="00672A3C" w:rsidRPr="00346D1C">
        <w:rPr>
          <w:rFonts w:ascii="Georgia" w:hAnsi="Georgia" w:cs="Times New Roman"/>
          <w:sz w:val="24"/>
          <w:szCs w:val="24"/>
        </w:rPr>
        <w:t xml:space="preserve">USD </w:t>
      </w:r>
      <w:r w:rsidR="00A1379E" w:rsidRPr="00346D1C">
        <w:rPr>
          <w:rFonts w:ascii="Georgia" w:hAnsi="Georgia" w:cs="Times New Roman"/>
          <w:sz w:val="24"/>
          <w:szCs w:val="24"/>
        </w:rPr>
        <w:t>3</w:t>
      </w:r>
      <w:r w:rsidR="00672A3C" w:rsidRPr="00346D1C">
        <w:rPr>
          <w:rFonts w:ascii="Georgia" w:hAnsi="Georgia" w:cs="Times New Roman"/>
          <w:sz w:val="24"/>
          <w:szCs w:val="24"/>
        </w:rPr>
        <w:t xml:space="preserve">7 billion in 2000 to USD </w:t>
      </w:r>
      <w:r w:rsidR="002068C3" w:rsidRPr="00346D1C">
        <w:rPr>
          <w:rFonts w:ascii="Georgia" w:hAnsi="Georgia" w:cs="Times New Roman"/>
          <w:sz w:val="24"/>
          <w:szCs w:val="24"/>
        </w:rPr>
        <w:t>90</w:t>
      </w:r>
      <w:r w:rsidR="00672A3C" w:rsidRPr="00346D1C">
        <w:rPr>
          <w:rFonts w:ascii="Georgia" w:hAnsi="Georgia" w:cs="Times New Roman"/>
          <w:sz w:val="24"/>
          <w:szCs w:val="24"/>
        </w:rPr>
        <w:t xml:space="preserve"> billion in 20</w:t>
      </w:r>
      <w:r w:rsidR="00A1379E" w:rsidRPr="00346D1C">
        <w:rPr>
          <w:rFonts w:ascii="Georgia" w:hAnsi="Georgia" w:cs="Times New Roman"/>
          <w:sz w:val="24"/>
          <w:szCs w:val="24"/>
        </w:rPr>
        <w:t>2</w:t>
      </w:r>
      <w:r w:rsidR="00672A3C" w:rsidRPr="00346D1C">
        <w:rPr>
          <w:rFonts w:ascii="Georgia" w:hAnsi="Georgia" w:cs="Times New Roman"/>
          <w:sz w:val="24"/>
          <w:szCs w:val="24"/>
        </w:rPr>
        <w:t>1 (</w:t>
      </w:r>
      <w:r w:rsidR="00A1379E" w:rsidRPr="00346D1C">
        <w:rPr>
          <w:rFonts w:ascii="Georgia" w:hAnsi="Georgia" w:cs="Times New Roman"/>
          <w:sz w:val="24"/>
          <w:szCs w:val="24"/>
        </w:rPr>
        <w:t xml:space="preserve">in </w:t>
      </w:r>
      <w:r w:rsidR="00672A3C" w:rsidRPr="00346D1C">
        <w:rPr>
          <w:rFonts w:ascii="Georgia" w:hAnsi="Georgia" w:cs="Times New Roman"/>
          <w:sz w:val="24"/>
          <w:szCs w:val="24"/>
        </w:rPr>
        <w:t>constant 201</w:t>
      </w:r>
      <w:r w:rsidR="00A1379E" w:rsidRPr="00346D1C">
        <w:rPr>
          <w:rFonts w:ascii="Georgia" w:hAnsi="Georgia" w:cs="Times New Roman"/>
          <w:sz w:val="24"/>
          <w:szCs w:val="24"/>
        </w:rPr>
        <w:t>5</w:t>
      </w:r>
      <w:r w:rsidR="00672A3C" w:rsidRPr="00346D1C">
        <w:rPr>
          <w:rFonts w:ascii="Georgia" w:hAnsi="Georgia" w:cs="Times New Roman"/>
          <w:sz w:val="24"/>
          <w:szCs w:val="24"/>
        </w:rPr>
        <w:t xml:space="preserve"> p</w:t>
      </w:r>
      <w:r w:rsidR="00D312C0" w:rsidRPr="00346D1C">
        <w:rPr>
          <w:rFonts w:ascii="Georgia" w:hAnsi="Georgia" w:cs="Times New Roman"/>
          <w:sz w:val="24"/>
          <w:szCs w:val="24"/>
        </w:rPr>
        <w:t>r</w:t>
      </w:r>
      <w:r w:rsidR="00672A3C" w:rsidRPr="00346D1C">
        <w:rPr>
          <w:rFonts w:ascii="Georgia" w:hAnsi="Georgia" w:cs="Times New Roman"/>
          <w:sz w:val="24"/>
          <w:szCs w:val="24"/>
        </w:rPr>
        <w:t xml:space="preserve">ices). Likewise, GDP per capita increased from approximately USD </w:t>
      </w:r>
      <w:r w:rsidR="00D312C0" w:rsidRPr="00346D1C">
        <w:rPr>
          <w:rFonts w:ascii="Georgia" w:hAnsi="Georgia" w:cs="Times New Roman"/>
          <w:sz w:val="24"/>
          <w:szCs w:val="24"/>
        </w:rPr>
        <w:t>1</w:t>
      </w:r>
      <w:r w:rsidR="00672A3C" w:rsidRPr="00346D1C">
        <w:rPr>
          <w:rFonts w:ascii="Georgia" w:hAnsi="Georgia" w:cs="Times New Roman"/>
          <w:sz w:val="24"/>
          <w:szCs w:val="24"/>
        </w:rPr>
        <w:t>,</w:t>
      </w:r>
      <w:r w:rsidR="00D312C0" w:rsidRPr="00346D1C">
        <w:rPr>
          <w:rFonts w:ascii="Georgia" w:hAnsi="Georgia" w:cs="Times New Roman"/>
          <w:sz w:val="24"/>
          <w:szCs w:val="24"/>
        </w:rPr>
        <w:t>1</w:t>
      </w:r>
      <w:r w:rsidR="00672A3C" w:rsidRPr="00346D1C">
        <w:rPr>
          <w:rFonts w:ascii="Georgia" w:hAnsi="Georgia" w:cs="Times New Roman"/>
          <w:sz w:val="24"/>
          <w:szCs w:val="24"/>
        </w:rPr>
        <w:t xml:space="preserve">00 in 2000 to USD </w:t>
      </w:r>
      <w:r w:rsidR="00D312C0" w:rsidRPr="00346D1C">
        <w:rPr>
          <w:rFonts w:ascii="Georgia" w:hAnsi="Georgia" w:cs="Times New Roman"/>
          <w:sz w:val="24"/>
          <w:szCs w:val="24"/>
        </w:rPr>
        <w:t>1</w:t>
      </w:r>
      <w:r w:rsidR="00672A3C" w:rsidRPr="00346D1C">
        <w:rPr>
          <w:rFonts w:ascii="Georgia" w:hAnsi="Georgia" w:cs="Times New Roman"/>
          <w:sz w:val="24"/>
          <w:szCs w:val="24"/>
        </w:rPr>
        <w:t>,</w:t>
      </w:r>
      <w:r w:rsidR="00D312C0" w:rsidRPr="00346D1C">
        <w:rPr>
          <w:rFonts w:ascii="Georgia" w:hAnsi="Georgia" w:cs="Times New Roman"/>
          <w:sz w:val="24"/>
          <w:szCs w:val="24"/>
        </w:rPr>
        <w:t>6</w:t>
      </w:r>
      <w:r w:rsidR="00672A3C" w:rsidRPr="00346D1C">
        <w:rPr>
          <w:rFonts w:ascii="Georgia" w:hAnsi="Georgia" w:cs="Times New Roman"/>
          <w:sz w:val="24"/>
          <w:szCs w:val="24"/>
        </w:rPr>
        <w:t>00 in 20</w:t>
      </w:r>
      <w:r w:rsidR="00D312C0" w:rsidRPr="00346D1C">
        <w:rPr>
          <w:rFonts w:ascii="Georgia" w:hAnsi="Georgia" w:cs="Times New Roman"/>
          <w:sz w:val="24"/>
          <w:szCs w:val="24"/>
        </w:rPr>
        <w:t>2</w:t>
      </w:r>
      <w:r w:rsidR="00672A3C" w:rsidRPr="00346D1C">
        <w:rPr>
          <w:rFonts w:ascii="Georgia" w:hAnsi="Georgia" w:cs="Times New Roman"/>
          <w:sz w:val="24"/>
          <w:szCs w:val="24"/>
        </w:rPr>
        <w:t>1</w:t>
      </w:r>
      <w:r w:rsidR="0002653E" w:rsidRPr="00346D1C">
        <w:rPr>
          <w:rFonts w:ascii="Georgia" w:hAnsi="Georgia" w:cs="Times New Roman"/>
          <w:sz w:val="24"/>
          <w:szCs w:val="24"/>
        </w:rPr>
        <w:t xml:space="preserve"> </w:t>
      </w:r>
      <w:r w:rsidR="00672A3C" w:rsidRPr="00346D1C">
        <w:rPr>
          <w:rFonts w:ascii="Georgia" w:hAnsi="Georgia" w:cs="Times New Roman"/>
          <w:sz w:val="24"/>
          <w:szCs w:val="24"/>
        </w:rPr>
        <w:t xml:space="preserve">(see Table 1). </w:t>
      </w:r>
      <w:r w:rsidR="00307D0A" w:rsidRPr="00346D1C">
        <w:rPr>
          <w:rFonts w:ascii="Georgia" w:hAnsi="Georgia" w:cs="Times New Roman"/>
          <w:sz w:val="24"/>
          <w:szCs w:val="24"/>
        </w:rPr>
        <w:t xml:space="preserve">ILO (2013: </w:t>
      </w:r>
      <w:r w:rsidR="00C97838" w:rsidRPr="00346D1C">
        <w:rPr>
          <w:rFonts w:ascii="Georgia" w:hAnsi="Georgia" w:cs="Times New Roman"/>
          <w:sz w:val="24"/>
          <w:szCs w:val="24"/>
        </w:rPr>
        <w:t>1-2)</w:t>
      </w:r>
      <w:r w:rsidR="00A40F2A" w:rsidRPr="00346D1C">
        <w:rPr>
          <w:rFonts w:ascii="Georgia" w:hAnsi="Georgia" w:cs="Times New Roman"/>
          <w:sz w:val="24"/>
          <w:szCs w:val="24"/>
        </w:rPr>
        <w:t xml:space="preserve">, however, pointed at the </w:t>
      </w:r>
      <w:r w:rsidR="002C37AA" w:rsidRPr="00346D1C">
        <w:rPr>
          <w:rFonts w:ascii="Georgia" w:hAnsi="Georgia" w:cs="Times New Roman"/>
          <w:sz w:val="24"/>
          <w:szCs w:val="24"/>
        </w:rPr>
        <w:t xml:space="preserve">narrow growth base, which </w:t>
      </w:r>
      <w:r w:rsidR="003D3866" w:rsidRPr="00346D1C">
        <w:rPr>
          <w:rFonts w:ascii="Georgia" w:hAnsi="Georgia" w:cs="Times New Roman"/>
          <w:sz w:val="24"/>
          <w:szCs w:val="24"/>
        </w:rPr>
        <w:t>‘</w:t>
      </w:r>
      <w:r w:rsidR="002C37AA" w:rsidRPr="00346D1C">
        <w:rPr>
          <w:rFonts w:ascii="Georgia" w:hAnsi="Georgia" w:cs="Times New Roman"/>
          <w:sz w:val="24"/>
          <w:szCs w:val="24"/>
        </w:rPr>
        <w:t>adverse</w:t>
      </w:r>
      <w:r w:rsidR="003D3866" w:rsidRPr="00346D1C">
        <w:rPr>
          <w:rFonts w:ascii="Georgia" w:hAnsi="Georgia" w:cs="Times New Roman"/>
          <w:sz w:val="24"/>
          <w:szCs w:val="24"/>
        </w:rPr>
        <w:t>ly</w:t>
      </w:r>
      <w:r w:rsidR="002C37AA" w:rsidRPr="00346D1C">
        <w:rPr>
          <w:rFonts w:ascii="Georgia" w:hAnsi="Georgia" w:cs="Times New Roman"/>
          <w:sz w:val="24"/>
          <w:szCs w:val="24"/>
        </w:rPr>
        <w:t xml:space="preserve"> affected formal employment creation and </w:t>
      </w:r>
      <w:r w:rsidR="003D3866" w:rsidRPr="00346D1C">
        <w:rPr>
          <w:rFonts w:ascii="Georgia" w:hAnsi="Georgia" w:cs="Times New Roman"/>
          <w:sz w:val="24"/>
          <w:szCs w:val="24"/>
        </w:rPr>
        <w:t>hampered improvements in the living standards’</w:t>
      </w:r>
      <w:r w:rsidR="00ED4771" w:rsidRPr="00346D1C">
        <w:rPr>
          <w:rFonts w:ascii="Georgia" w:hAnsi="Georgia" w:cs="Times New Roman"/>
          <w:sz w:val="24"/>
          <w:szCs w:val="24"/>
        </w:rPr>
        <w:t xml:space="preserve"> in the 2000s</w:t>
      </w:r>
      <w:r w:rsidR="003D3866" w:rsidRPr="00346D1C">
        <w:rPr>
          <w:rFonts w:ascii="Georgia" w:hAnsi="Georgia" w:cs="Times New Roman"/>
          <w:sz w:val="24"/>
          <w:szCs w:val="24"/>
        </w:rPr>
        <w:t>.</w:t>
      </w:r>
      <w:r w:rsidR="00ED4771" w:rsidRPr="00346D1C">
        <w:rPr>
          <w:rFonts w:ascii="Georgia" w:hAnsi="Georgia" w:cs="Times New Roman"/>
          <w:sz w:val="24"/>
          <w:szCs w:val="24"/>
        </w:rPr>
        <w:t xml:space="preserve"> </w:t>
      </w:r>
      <w:r w:rsidR="00051F2B" w:rsidRPr="00346D1C">
        <w:rPr>
          <w:rFonts w:ascii="Georgia" w:hAnsi="Georgia" w:cs="Times New Roman"/>
          <w:sz w:val="24"/>
          <w:szCs w:val="24"/>
        </w:rPr>
        <w:t xml:space="preserve">The data on poverty in </w:t>
      </w:r>
      <w:r w:rsidR="00EB3636" w:rsidRPr="00346D1C">
        <w:rPr>
          <w:rFonts w:ascii="Georgia" w:hAnsi="Georgia" w:cs="Times New Roman"/>
          <w:sz w:val="24"/>
          <w:szCs w:val="24"/>
        </w:rPr>
        <w:t xml:space="preserve">Table 1 suggests that </w:t>
      </w:r>
      <w:r w:rsidR="00C73CA7" w:rsidRPr="00346D1C">
        <w:rPr>
          <w:rFonts w:ascii="Georgia" w:hAnsi="Georgia" w:cs="Times New Roman"/>
          <w:sz w:val="24"/>
          <w:szCs w:val="24"/>
        </w:rPr>
        <w:t>the performance was somewhat better in subsequent years.</w:t>
      </w:r>
      <w:r w:rsidR="00DE3F2B" w:rsidRPr="00346D1C">
        <w:rPr>
          <w:rFonts w:ascii="Georgia" w:hAnsi="Georgia" w:cs="Times New Roman"/>
          <w:sz w:val="24"/>
          <w:szCs w:val="24"/>
        </w:rPr>
        <w:t xml:space="preserve"> </w:t>
      </w:r>
    </w:p>
    <w:p w14:paraId="393A71B9" w14:textId="0814EE63" w:rsidR="00EF2B26" w:rsidRPr="009C5581" w:rsidRDefault="00EF2B26" w:rsidP="00144637">
      <w:pPr>
        <w:pStyle w:val="Caption"/>
        <w:spacing w:after="0"/>
        <w:rPr>
          <w:rFonts w:ascii="Times New Roman" w:hAnsi="Times New Roman" w:cs="Times New Roman"/>
          <w:b w:val="0"/>
          <w:bCs w:val="0"/>
          <w:smallCaps w:val="0"/>
          <w:color w:val="000000" w:themeColor="text1"/>
          <w:sz w:val="20"/>
          <w:szCs w:val="20"/>
        </w:rPr>
      </w:pPr>
      <w:bookmarkStart w:id="12" w:name="_Ref140507943"/>
      <w:bookmarkStart w:id="13" w:name="_Toc119578199"/>
      <w:bookmarkStart w:id="14" w:name="_Toc122349797"/>
      <w:bookmarkStart w:id="15" w:name="_Toc137745020"/>
      <w:r w:rsidRPr="009C5581">
        <w:rPr>
          <w:rFonts w:ascii="Times New Roman" w:hAnsi="Times New Roman" w:cs="Times New Roman"/>
          <w:smallCaps w:val="0"/>
          <w:color w:val="auto"/>
          <w:sz w:val="20"/>
          <w:szCs w:val="20"/>
        </w:rPr>
        <w:t xml:space="preserve">Table </w:t>
      </w:r>
      <w:r w:rsidRPr="009C5581">
        <w:rPr>
          <w:rFonts w:ascii="Times New Roman" w:hAnsi="Times New Roman" w:cs="Times New Roman"/>
          <w:smallCaps w:val="0"/>
          <w:color w:val="auto"/>
          <w:sz w:val="20"/>
          <w:szCs w:val="20"/>
        </w:rPr>
        <w:fldChar w:fldCharType="begin"/>
      </w:r>
      <w:r w:rsidRPr="009C5581">
        <w:rPr>
          <w:rFonts w:ascii="Times New Roman" w:hAnsi="Times New Roman" w:cs="Times New Roman"/>
          <w:smallCaps w:val="0"/>
          <w:color w:val="auto"/>
          <w:sz w:val="20"/>
          <w:szCs w:val="20"/>
        </w:rPr>
        <w:instrText xml:space="preserve"> SEQ Table \* ARABIC </w:instrText>
      </w:r>
      <w:r w:rsidRPr="009C5581">
        <w:rPr>
          <w:rFonts w:ascii="Times New Roman" w:hAnsi="Times New Roman" w:cs="Times New Roman"/>
          <w:smallCaps w:val="0"/>
          <w:color w:val="auto"/>
          <w:sz w:val="20"/>
          <w:szCs w:val="20"/>
        </w:rPr>
        <w:fldChar w:fldCharType="separate"/>
      </w:r>
      <w:r w:rsidR="000F6B8E">
        <w:rPr>
          <w:rFonts w:ascii="Times New Roman" w:hAnsi="Times New Roman" w:cs="Times New Roman"/>
          <w:smallCaps w:val="0"/>
          <w:noProof/>
          <w:color w:val="auto"/>
          <w:sz w:val="20"/>
          <w:szCs w:val="20"/>
        </w:rPr>
        <w:t>1</w:t>
      </w:r>
      <w:r w:rsidRPr="009C5581">
        <w:rPr>
          <w:rFonts w:ascii="Times New Roman" w:hAnsi="Times New Roman" w:cs="Times New Roman"/>
          <w:smallCaps w:val="0"/>
          <w:color w:val="auto"/>
          <w:sz w:val="20"/>
          <w:szCs w:val="20"/>
        </w:rPr>
        <w:fldChar w:fldCharType="end"/>
      </w:r>
      <w:bookmarkEnd w:id="12"/>
      <w:r w:rsidRPr="009C5581">
        <w:rPr>
          <w:rFonts w:ascii="Times New Roman" w:hAnsi="Times New Roman" w:cs="Times New Roman"/>
          <w:b w:val="0"/>
          <w:bCs w:val="0"/>
          <w:smallCaps w:val="0"/>
          <w:color w:val="auto"/>
          <w:sz w:val="20"/>
          <w:szCs w:val="20"/>
        </w:rPr>
        <w:t xml:space="preserve">: </w:t>
      </w:r>
      <w:r w:rsidRPr="009C5581">
        <w:rPr>
          <w:rFonts w:ascii="Times New Roman" w:hAnsi="Times New Roman" w:cs="Times New Roman"/>
          <w:b w:val="0"/>
          <w:bCs w:val="0"/>
          <w:smallCaps w:val="0"/>
          <w:color w:val="000000" w:themeColor="text1"/>
          <w:sz w:val="20"/>
          <w:szCs w:val="20"/>
        </w:rPr>
        <w:t>Overview of selected macroeconomic indicators, 200</w:t>
      </w:r>
      <w:r w:rsidR="00672A3C" w:rsidRPr="009C5581">
        <w:rPr>
          <w:rFonts w:ascii="Times New Roman" w:hAnsi="Times New Roman" w:cs="Times New Roman"/>
          <w:b w:val="0"/>
          <w:bCs w:val="0"/>
          <w:smallCaps w:val="0"/>
          <w:color w:val="000000" w:themeColor="text1"/>
          <w:sz w:val="20"/>
          <w:szCs w:val="20"/>
        </w:rPr>
        <w:t>0</w:t>
      </w:r>
      <w:r w:rsidRPr="009C5581">
        <w:rPr>
          <w:rFonts w:ascii="Times New Roman" w:hAnsi="Times New Roman" w:cs="Times New Roman"/>
          <w:b w:val="0"/>
          <w:bCs w:val="0"/>
          <w:smallCaps w:val="0"/>
          <w:color w:val="000000" w:themeColor="text1"/>
          <w:sz w:val="20"/>
          <w:szCs w:val="20"/>
        </w:rPr>
        <w:t>-20</w:t>
      </w:r>
      <w:bookmarkEnd w:id="10"/>
      <w:r w:rsidRPr="009C5581">
        <w:rPr>
          <w:rFonts w:ascii="Times New Roman" w:hAnsi="Times New Roman" w:cs="Times New Roman"/>
          <w:b w:val="0"/>
          <w:bCs w:val="0"/>
          <w:smallCaps w:val="0"/>
          <w:color w:val="000000" w:themeColor="text1"/>
          <w:sz w:val="20"/>
          <w:szCs w:val="20"/>
        </w:rPr>
        <w:t>2</w:t>
      </w:r>
      <w:r w:rsidR="00797DE3" w:rsidRPr="009C5581">
        <w:rPr>
          <w:rFonts w:ascii="Times New Roman" w:hAnsi="Times New Roman" w:cs="Times New Roman"/>
          <w:b w:val="0"/>
          <w:bCs w:val="0"/>
          <w:smallCaps w:val="0"/>
          <w:color w:val="000000" w:themeColor="text1"/>
          <w:sz w:val="20"/>
          <w:szCs w:val="20"/>
        </w:rPr>
        <w:t>1</w:t>
      </w:r>
      <w:bookmarkEnd w:id="11"/>
      <w:bookmarkEnd w:id="13"/>
      <w:bookmarkEnd w:id="14"/>
      <w:bookmarkEnd w:id="15"/>
    </w:p>
    <w:tbl>
      <w:tblPr>
        <w:tblW w:w="5003" w:type="pct"/>
        <w:tblLayout w:type="fixed"/>
        <w:tblCellMar>
          <w:left w:w="58" w:type="dxa"/>
          <w:right w:w="58" w:type="dxa"/>
        </w:tblCellMar>
        <w:tblLook w:val="0000" w:firstRow="0" w:lastRow="0" w:firstColumn="0" w:lastColumn="0" w:noHBand="0" w:noVBand="0"/>
      </w:tblPr>
      <w:tblGrid>
        <w:gridCol w:w="1800"/>
        <w:gridCol w:w="481"/>
        <w:gridCol w:w="481"/>
        <w:gridCol w:w="481"/>
        <w:gridCol w:w="481"/>
        <w:gridCol w:w="481"/>
        <w:gridCol w:w="481"/>
        <w:gridCol w:w="481"/>
        <w:gridCol w:w="480"/>
        <w:gridCol w:w="475"/>
        <w:gridCol w:w="480"/>
        <w:gridCol w:w="480"/>
        <w:gridCol w:w="480"/>
        <w:gridCol w:w="480"/>
        <w:gridCol w:w="480"/>
        <w:gridCol w:w="482"/>
        <w:gridCol w:w="449"/>
        <w:gridCol w:w="433"/>
      </w:tblGrid>
      <w:tr w:rsidR="005C467B" w:rsidRPr="009C5581" w14:paraId="7F01BE81" w14:textId="597F7CE6" w:rsidTr="00334CAF">
        <w:trPr>
          <w:trHeight w:val="20"/>
        </w:trPr>
        <w:tc>
          <w:tcPr>
            <w:tcW w:w="910" w:type="pct"/>
            <w:tcBorders>
              <w:top w:val="single" w:sz="4" w:space="0" w:color="auto"/>
              <w:left w:val="single" w:sz="4" w:space="0" w:color="auto"/>
              <w:bottom w:val="single" w:sz="6" w:space="0" w:color="C0C0C0"/>
              <w:right w:val="single" w:sz="4" w:space="0" w:color="auto"/>
            </w:tcBorders>
            <w:shd w:val="clear" w:color="auto" w:fill="7F7F7F" w:themeFill="text1" w:themeFillTint="80"/>
          </w:tcPr>
          <w:p w14:paraId="66F2F91F" w14:textId="77777777" w:rsidR="005C467B" w:rsidRPr="009C5581" w:rsidRDefault="005C467B" w:rsidP="005C467B">
            <w:pPr>
              <w:autoSpaceDE w:val="0"/>
              <w:autoSpaceDN w:val="0"/>
              <w:adjustRightInd w:val="0"/>
              <w:spacing w:after="0" w:line="240" w:lineRule="auto"/>
              <w:rPr>
                <w:rFonts w:ascii="Times New Roman" w:hAnsi="Times New Roman" w:cs="Times New Roman"/>
                <w:color w:val="FFFFFF"/>
                <w:sz w:val="14"/>
                <w:szCs w:val="14"/>
              </w:rPr>
            </w:pPr>
            <w:r w:rsidRPr="009C5581">
              <w:rPr>
                <w:rFonts w:ascii="Times New Roman" w:hAnsi="Times New Roman" w:cs="Times New Roman"/>
                <w:color w:val="FFFFFF"/>
                <w:sz w:val="14"/>
                <w:szCs w:val="14"/>
              </w:rPr>
              <w:t>Indicator</w:t>
            </w:r>
          </w:p>
        </w:tc>
        <w:tc>
          <w:tcPr>
            <w:tcW w:w="243" w:type="pct"/>
            <w:tcBorders>
              <w:top w:val="single" w:sz="4" w:space="0" w:color="auto"/>
              <w:left w:val="nil"/>
              <w:right w:val="nil"/>
            </w:tcBorders>
            <w:shd w:val="solid" w:color="969696" w:fill="969696"/>
          </w:tcPr>
          <w:p w14:paraId="239198AF" w14:textId="506CCDFD"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1994</w:t>
            </w:r>
          </w:p>
        </w:tc>
        <w:tc>
          <w:tcPr>
            <w:tcW w:w="243" w:type="pct"/>
            <w:tcBorders>
              <w:top w:val="single" w:sz="4" w:space="0" w:color="auto"/>
              <w:left w:val="nil"/>
              <w:right w:val="nil"/>
            </w:tcBorders>
            <w:shd w:val="solid" w:color="969696" w:fill="969696"/>
          </w:tcPr>
          <w:p w14:paraId="2E9C4033" w14:textId="59DBEBE3"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2000</w:t>
            </w:r>
          </w:p>
        </w:tc>
        <w:tc>
          <w:tcPr>
            <w:tcW w:w="243" w:type="pct"/>
            <w:tcBorders>
              <w:top w:val="single" w:sz="4" w:space="0" w:color="auto"/>
              <w:left w:val="nil"/>
              <w:right w:val="nil"/>
            </w:tcBorders>
            <w:shd w:val="solid" w:color="969696" w:fill="969696"/>
          </w:tcPr>
          <w:p w14:paraId="08F70311" w14:textId="205D1931"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2002</w:t>
            </w:r>
          </w:p>
        </w:tc>
        <w:tc>
          <w:tcPr>
            <w:tcW w:w="243" w:type="pct"/>
            <w:tcBorders>
              <w:top w:val="single" w:sz="4" w:space="0" w:color="auto"/>
              <w:left w:val="nil"/>
              <w:right w:val="nil"/>
            </w:tcBorders>
            <w:shd w:val="solid" w:color="969696" w:fill="969696"/>
          </w:tcPr>
          <w:p w14:paraId="073D56F4" w14:textId="77777777"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2004</w:t>
            </w:r>
          </w:p>
        </w:tc>
        <w:tc>
          <w:tcPr>
            <w:tcW w:w="243" w:type="pct"/>
            <w:tcBorders>
              <w:top w:val="single" w:sz="4" w:space="0" w:color="auto"/>
              <w:left w:val="nil"/>
              <w:right w:val="nil"/>
            </w:tcBorders>
            <w:shd w:val="solid" w:color="969696" w:fill="969696"/>
          </w:tcPr>
          <w:p w14:paraId="573D95D2" w14:textId="044D9D31"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2005</w:t>
            </w:r>
          </w:p>
        </w:tc>
        <w:tc>
          <w:tcPr>
            <w:tcW w:w="243" w:type="pct"/>
            <w:tcBorders>
              <w:top w:val="single" w:sz="4" w:space="0" w:color="auto"/>
              <w:left w:val="nil"/>
              <w:right w:val="nil"/>
            </w:tcBorders>
            <w:shd w:val="solid" w:color="969696" w:fill="969696"/>
          </w:tcPr>
          <w:p w14:paraId="07ABA9B5" w14:textId="1D385794"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2006</w:t>
            </w:r>
          </w:p>
        </w:tc>
        <w:tc>
          <w:tcPr>
            <w:tcW w:w="243" w:type="pct"/>
            <w:tcBorders>
              <w:top w:val="single" w:sz="4" w:space="0" w:color="auto"/>
              <w:left w:val="nil"/>
              <w:right w:val="nil"/>
            </w:tcBorders>
            <w:shd w:val="solid" w:color="969696" w:fill="969696"/>
          </w:tcPr>
          <w:p w14:paraId="70A9888E" w14:textId="6154A786"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2008</w:t>
            </w:r>
          </w:p>
        </w:tc>
        <w:tc>
          <w:tcPr>
            <w:tcW w:w="243" w:type="pct"/>
            <w:tcBorders>
              <w:top w:val="single" w:sz="4" w:space="0" w:color="auto"/>
              <w:left w:val="nil"/>
              <w:right w:val="nil"/>
            </w:tcBorders>
            <w:shd w:val="solid" w:color="969696" w:fill="969696"/>
          </w:tcPr>
          <w:p w14:paraId="32E8A5AD" w14:textId="77777777"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2010</w:t>
            </w:r>
          </w:p>
        </w:tc>
        <w:tc>
          <w:tcPr>
            <w:tcW w:w="240" w:type="pct"/>
            <w:tcBorders>
              <w:top w:val="single" w:sz="4" w:space="0" w:color="auto"/>
              <w:left w:val="nil"/>
              <w:right w:val="nil"/>
            </w:tcBorders>
            <w:shd w:val="solid" w:color="969696" w:fill="969696"/>
          </w:tcPr>
          <w:p w14:paraId="22289B84" w14:textId="77777777"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2012</w:t>
            </w:r>
          </w:p>
        </w:tc>
        <w:tc>
          <w:tcPr>
            <w:tcW w:w="243" w:type="pct"/>
            <w:tcBorders>
              <w:top w:val="single" w:sz="4" w:space="0" w:color="auto"/>
              <w:left w:val="nil"/>
              <w:right w:val="nil"/>
            </w:tcBorders>
            <w:shd w:val="solid" w:color="969696" w:fill="969696"/>
          </w:tcPr>
          <w:p w14:paraId="0AE2DD3D" w14:textId="77777777"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2014</w:t>
            </w:r>
          </w:p>
        </w:tc>
        <w:tc>
          <w:tcPr>
            <w:tcW w:w="243" w:type="pct"/>
            <w:tcBorders>
              <w:top w:val="single" w:sz="4" w:space="0" w:color="auto"/>
              <w:left w:val="nil"/>
              <w:right w:val="nil"/>
            </w:tcBorders>
            <w:shd w:val="solid" w:color="969696" w:fill="969696"/>
          </w:tcPr>
          <w:p w14:paraId="337EB31E" w14:textId="49FF8968"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2015</w:t>
            </w:r>
          </w:p>
        </w:tc>
        <w:tc>
          <w:tcPr>
            <w:tcW w:w="243" w:type="pct"/>
            <w:tcBorders>
              <w:top w:val="single" w:sz="4" w:space="0" w:color="auto"/>
              <w:left w:val="nil"/>
              <w:right w:val="nil"/>
            </w:tcBorders>
            <w:shd w:val="solid" w:color="969696" w:fill="969696"/>
          </w:tcPr>
          <w:p w14:paraId="3C4E2F2C" w14:textId="0425A6DA"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2016</w:t>
            </w:r>
          </w:p>
        </w:tc>
        <w:tc>
          <w:tcPr>
            <w:tcW w:w="243" w:type="pct"/>
            <w:tcBorders>
              <w:top w:val="single" w:sz="4" w:space="0" w:color="auto"/>
              <w:left w:val="nil"/>
              <w:right w:val="nil"/>
            </w:tcBorders>
            <w:shd w:val="solid" w:color="969696" w:fill="969696"/>
          </w:tcPr>
          <w:p w14:paraId="1E7485CD" w14:textId="77777777"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2018</w:t>
            </w:r>
          </w:p>
        </w:tc>
        <w:tc>
          <w:tcPr>
            <w:tcW w:w="243" w:type="pct"/>
            <w:tcBorders>
              <w:top w:val="single" w:sz="4" w:space="0" w:color="auto"/>
              <w:left w:val="nil"/>
              <w:right w:val="nil"/>
            </w:tcBorders>
            <w:shd w:val="solid" w:color="969696" w:fill="969696"/>
          </w:tcPr>
          <w:p w14:paraId="773DC2A4" w14:textId="77777777"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2019</w:t>
            </w:r>
          </w:p>
        </w:tc>
        <w:tc>
          <w:tcPr>
            <w:tcW w:w="244" w:type="pct"/>
            <w:tcBorders>
              <w:top w:val="single" w:sz="4" w:space="0" w:color="auto"/>
              <w:left w:val="nil"/>
            </w:tcBorders>
            <w:shd w:val="solid" w:color="969696" w:fill="969696"/>
          </w:tcPr>
          <w:p w14:paraId="1760FE20" w14:textId="77777777"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2020</w:t>
            </w:r>
          </w:p>
        </w:tc>
        <w:tc>
          <w:tcPr>
            <w:tcW w:w="227" w:type="pct"/>
            <w:tcBorders>
              <w:top w:val="single" w:sz="4" w:space="0" w:color="auto"/>
              <w:right w:val="single" w:sz="4" w:space="0" w:color="auto"/>
            </w:tcBorders>
            <w:shd w:val="solid" w:color="969696" w:fill="969696"/>
          </w:tcPr>
          <w:p w14:paraId="1EE3675D" w14:textId="4939B70D" w:rsidR="005C467B" w:rsidRPr="009C5581" w:rsidRDefault="005C467B" w:rsidP="005C467B">
            <w:pPr>
              <w:autoSpaceDE w:val="0"/>
              <w:autoSpaceDN w:val="0"/>
              <w:adjustRightInd w:val="0"/>
              <w:spacing w:after="0" w:line="240" w:lineRule="auto"/>
              <w:jc w:val="right"/>
              <w:rPr>
                <w:rFonts w:ascii="Times New Roman" w:hAnsi="Times New Roman" w:cs="Times New Roman"/>
                <w:color w:val="FFFFFF"/>
                <w:sz w:val="14"/>
                <w:szCs w:val="14"/>
              </w:rPr>
            </w:pPr>
            <w:r w:rsidRPr="009C5581">
              <w:rPr>
                <w:rFonts w:ascii="Times New Roman" w:hAnsi="Times New Roman" w:cs="Times New Roman"/>
                <w:color w:val="FFFFFF"/>
                <w:sz w:val="14"/>
                <w:szCs w:val="14"/>
              </w:rPr>
              <w:t>2021</w:t>
            </w:r>
          </w:p>
        </w:tc>
        <w:tc>
          <w:tcPr>
            <w:tcW w:w="219" w:type="pct"/>
            <w:tcBorders>
              <w:top w:val="single" w:sz="4" w:space="0" w:color="auto"/>
              <w:left w:val="single" w:sz="4" w:space="0" w:color="auto"/>
              <w:right w:val="single" w:sz="4" w:space="0" w:color="auto"/>
            </w:tcBorders>
            <w:shd w:val="solid" w:color="969696" w:fill="969696"/>
          </w:tcPr>
          <w:p w14:paraId="0AE75F0C" w14:textId="4D2BA846" w:rsidR="005C467B" w:rsidRPr="009C5581" w:rsidRDefault="005C467B" w:rsidP="005C467B">
            <w:pPr>
              <w:autoSpaceDE w:val="0"/>
              <w:autoSpaceDN w:val="0"/>
              <w:adjustRightInd w:val="0"/>
              <w:spacing w:after="0" w:line="240" w:lineRule="auto"/>
              <w:jc w:val="center"/>
              <w:rPr>
                <w:rFonts w:ascii="Times New Roman" w:hAnsi="Times New Roman" w:cs="Times New Roman"/>
                <w:color w:val="FFFFFF"/>
                <w:sz w:val="14"/>
                <w:szCs w:val="14"/>
              </w:rPr>
            </w:pPr>
            <w:r w:rsidRPr="009C5581">
              <w:rPr>
                <w:rFonts w:ascii="Times New Roman" w:hAnsi="Times New Roman" w:cs="Times New Roman"/>
                <w:color w:val="FFFFFF"/>
                <w:sz w:val="14"/>
                <w:szCs w:val="14"/>
              </w:rPr>
              <w:t>5y</w:t>
            </w:r>
          </w:p>
        </w:tc>
      </w:tr>
      <w:tr w:rsidR="005C467B" w:rsidRPr="009C5581" w14:paraId="716B59FF" w14:textId="6935FA84"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shd w:val="clear" w:color="auto" w:fill="F2F2F2" w:themeFill="background1" w:themeFillShade="F2"/>
          </w:tcPr>
          <w:p w14:paraId="04EE1A10" w14:textId="43322F4E"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GDP (const. 2015 USD, billions)</w:t>
            </w:r>
          </w:p>
        </w:tc>
        <w:tc>
          <w:tcPr>
            <w:tcW w:w="243" w:type="pct"/>
            <w:tcBorders>
              <w:left w:val="nil"/>
              <w:right w:val="nil"/>
            </w:tcBorders>
            <w:shd w:val="solid" w:color="FFFFFF" w:fill="FFFFFF"/>
          </w:tcPr>
          <w:p w14:paraId="41B7C22A" w14:textId="7E420C2C" w:rsidR="005C467B" w:rsidRPr="009C5581" w:rsidRDefault="007048BC"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31.5</w:t>
            </w:r>
          </w:p>
        </w:tc>
        <w:tc>
          <w:tcPr>
            <w:tcW w:w="243" w:type="pct"/>
            <w:tcBorders>
              <w:left w:val="nil"/>
              <w:right w:val="nil"/>
            </w:tcBorders>
            <w:shd w:val="solid" w:color="FFFFFF" w:fill="FFFFFF"/>
          </w:tcPr>
          <w:p w14:paraId="5ACD9CDA" w14:textId="64F55248"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36.6</w:t>
            </w:r>
          </w:p>
        </w:tc>
        <w:tc>
          <w:tcPr>
            <w:tcW w:w="243" w:type="pct"/>
            <w:tcBorders>
              <w:left w:val="nil"/>
              <w:right w:val="nil"/>
            </w:tcBorders>
            <w:shd w:val="solid" w:color="FFFFFF" w:fill="FFFFFF"/>
          </w:tcPr>
          <w:p w14:paraId="3C9685BB" w14:textId="23F3CB5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38.2</w:t>
            </w:r>
          </w:p>
        </w:tc>
        <w:tc>
          <w:tcPr>
            <w:tcW w:w="243" w:type="pct"/>
            <w:tcBorders>
              <w:left w:val="nil"/>
              <w:right w:val="nil"/>
            </w:tcBorders>
            <w:shd w:val="solid" w:color="FFFFFF" w:fill="FFFFFF"/>
          </w:tcPr>
          <w:p w14:paraId="759534E4" w14:textId="476107A4"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41.4</w:t>
            </w:r>
          </w:p>
        </w:tc>
        <w:tc>
          <w:tcPr>
            <w:tcW w:w="243" w:type="pct"/>
            <w:tcBorders>
              <w:left w:val="nil"/>
              <w:right w:val="nil"/>
            </w:tcBorders>
            <w:shd w:val="solid" w:color="FFFFFF" w:fill="FFFFFF"/>
          </w:tcPr>
          <w:p w14:paraId="781B067C" w14:textId="6EF1B35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43.8</w:t>
            </w:r>
          </w:p>
        </w:tc>
        <w:tc>
          <w:tcPr>
            <w:tcW w:w="243" w:type="pct"/>
            <w:tcBorders>
              <w:left w:val="nil"/>
              <w:right w:val="nil"/>
            </w:tcBorders>
            <w:shd w:val="solid" w:color="FFFFFF" w:fill="FFFFFF"/>
          </w:tcPr>
          <w:p w14:paraId="7106DEFB" w14:textId="19770E8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46.6</w:t>
            </w:r>
          </w:p>
        </w:tc>
        <w:tc>
          <w:tcPr>
            <w:tcW w:w="243" w:type="pct"/>
            <w:tcBorders>
              <w:left w:val="nil"/>
              <w:right w:val="nil"/>
            </w:tcBorders>
            <w:shd w:val="solid" w:color="FFFFFF" w:fill="FFFFFF"/>
          </w:tcPr>
          <w:p w14:paraId="3FD4C666" w14:textId="10183A9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49.9</w:t>
            </w:r>
          </w:p>
        </w:tc>
        <w:tc>
          <w:tcPr>
            <w:tcW w:w="243" w:type="pct"/>
            <w:tcBorders>
              <w:left w:val="nil"/>
              <w:right w:val="nil"/>
            </w:tcBorders>
            <w:shd w:val="solid" w:color="FFFFFF" w:fill="FFFFFF"/>
          </w:tcPr>
          <w:p w14:paraId="60CBFA90" w14:textId="22FC77E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55.7</w:t>
            </w:r>
          </w:p>
        </w:tc>
        <w:tc>
          <w:tcPr>
            <w:tcW w:w="240" w:type="pct"/>
            <w:tcBorders>
              <w:left w:val="nil"/>
              <w:right w:val="nil"/>
            </w:tcBorders>
            <w:shd w:val="solid" w:color="FFFFFF" w:fill="FFFFFF"/>
          </w:tcPr>
          <w:p w14:paraId="0C585968" w14:textId="4FB6149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61.3</w:t>
            </w:r>
          </w:p>
        </w:tc>
        <w:tc>
          <w:tcPr>
            <w:tcW w:w="243" w:type="pct"/>
            <w:tcBorders>
              <w:left w:val="nil"/>
              <w:right w:val="nil"/>
            </w:tcBorders>
            <w:shd w:val="solid" w:color="FFFFFF" w:fill="FFFFFF"/>
          </w:tcPr>
          <w:p w14:paraId="346A9E42" w14:textId="11A27B8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66.8</w:t>
            </w:r>
          </w:p>
        </w:tc>
        <w:tc>
          <w:tcPr>
            <w:tcW w:w="243" w:type="pct"/>
            <w:tcBorders>
              <w:left w:val="nil"/>
              <w:right w:val="nil"/>
            </w:tcBorders>
            <w:shd w:val="solid" w:color="FFFFFF" w:fill="FFFFFF"/>
          </w:tcPr>
          <w:p w14:paraId="05C0AE86" w14:textId="13899F4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70.1</w:t>
            </w:r>
          </w:p>
        </w:tc>
        <w:tc>
          <w:tcPr>
            <w:tcW w:w="243" w:type="pct"/>
            <w:tcBorders>
              <w:left w:val="nil"/>
              <w:right w:val="nil"/>
            </w:tcBorders>
            <w:shd w:val="solid" w:color="FFFFFF" w:fill="FFFFFF"/>
          </w:tcPr>
          <w:p w14:paraId="79461BA5" w14:textId="28E4F4C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73.1</w:t>
            </w:r>
          </w:p>
        </w:tc>
        <w:tc>
          <w:tcPr>
            <w:tcW w:w="243" w:type="pct"/>
            <w:tcBorders>
              <w:left w:val="nil"/>
              <w:right w:val="nil"/>
            </w:tcBorders>
            <w:shd w:val="solid" w:color="FFFFFF" w:fill="FFFFFF"/>
          </w:tcPr>
          <w:p w14:paraId="119F88B3" w14:textId="4037B73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80.2</w:t>
            </w:r>
          </w:p>
        </w:tc>
        <w:tc>
          <w:tcPr>
            <w:tcW w:w="243" w:type="pct"/>
            <w:tcBorders>
              <w:left w:val="nil"/>
              <w:right w:val="nil"/>
            </w:tcBorders>
            <w:shd w:val="solid" w:color="FFFFFF" w:fill="FFFFFF"/>
          </w:tcPr>
          <w:p w14:paraId="304BE2F7" w14:textId="347BD4A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84.3</w:t>
            </w:r>
          </w:p>
        </w:tc>
        <w:tc>
          <w:tcPr>
            <w:tcW w:w="244" w:type="pct"/>
            <w:tcBorders>
              <w:left w:val="nil"/>
            </w:tcBorders>
            <w:shd w:val="solid" w:color="FFFFFF" w:fill="FFFFFF"/>
          </w:tcPr>
          <w:p w14:paraId="6A4EF073" w14:textId="0D99DC3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84.1</w:t>
            </w:r>
          </w:p>
        </w:tc>
        <w:tc>
          <w:tcPr>
            <w:tcW w:w="227" w:type="pct"/>
            <w:tcBorders>
              <w:right w:val="single" w:sz="4" w:space="0" w:color="auto"/>
            </w:tcBorders>
            <w:shd w:val="solid" w:color="FFFFFF" w:fill="FFFFFF"/>
          </w:tcPr>
          <w:p w14:paraId="2244B4E2" w14:textId="75B73A34"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90.4</w:t>
            </w:r>
          </w:p>
        </w:tc>
        <w:tc>
          <w:tcPr>
            <w:tcW w:w="219" w:type="pct"/>
            <w:tcBorders>
              <w:left w:val="single" w:sz="4" w:space="0" w:color="auto"/>
              <w:right w:val="single" w:sz="4" w:space="0" w:color="auto"/>
            </w:tcBorders>
            <w:shd w:val="solid" w:color="FFFFFF" w:fill="FFFFFF"/>
          </w:tcPr>
          <w:p w14:paraId="56D88BC5" w14:textId="791239F1"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7997D49D" w14:textId="4C76DB09"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tcPr>
          <w:p w14:paraId="47265E57" w14:textId="59EBBF4A"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Annual GDP growth (%)</w:t>
            </w:r>
          </w:p>
        </w:tc>
        <w:tc>
          <w:tcPr>
            <w:tcW w:w="243" w:type="pct"/>
            <w:tcBorders>
              <w:left w:val="nil"/>
              <w:right w:val="nil"/>
            </w:tcBorders>
          </w:tcPr>
          <w:p w14:paraId="34DD8453" w14:textId="2908514A" w:rsidR="005C467B" w:rsidRPr="009C5581" w:rsidRDefault="00E233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2.6</w:t>
            </w:r>
          </w:p>
        </w:tc>
        <w:tc>
          <w:tcPr>
            <w:tcW w:w="243" w:type="pct"/>
            <w:tcBorders>
              <w:left w:val="nil"/>
              <w:right w:val="nil"/>
            </w:tcBorders>
          </w:tcPr>
          <w:p w14:paraId="55BC5EF3" w14:textId="326286CC"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0.6</w:t>
            </w:r>
          </w:p>
        </w:tc>
        <w:tc>
          <w:tcPr>
            <w:tcW w:w="243" w:type="pct"/>
            <w:tcBorders>
              <w:left w:val="nil"/>
              <w:right w:val="nil"/>
            </w:tcBorders>
          </w:tcPr>
          <w:p w14:paraId="1C1C5ED7" w14:textId="454A7D7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0.5</w:t>
            </w:r>
          </w:p>
        </w:tc>
        <w:tc>
          <w:tcPr>
            <w:tcW w:w="243" w:type="pct"/>
            <w:tcBorders>
              <w:left w:val="nil"/>
              <w:right w:val="nil"/>
            </w:tcBorders>
          </w:tcPr>
          <w:p w14:paraId="076F273D" w14:textId="7E1E50C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5.1</w:t>
            </w:r>
          </w:p>
        </w:tc>
        <w:tc>
          <w:tcPr>
            <w:tcW w:w="243" w:type="pct"/>
            <w:tcBorders>
              <w:left w:val="nil"/>
              <w:right w:val="nil"/>
            </w:tcBorders>
          </w:tcPr>
          <w:p w14:paraId="4E410D6D" w14:textId="54A99D7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5.9</w:t>
            </w:r>
          </w:p>
        </w:tc>
        <w:tc>
          <w:tcPr>
            <w:tcW w:w="243" w:type="pct"/>
            <w:tcBorders>
              <w:left w:val="nil"/>
              <w:right w:val="nil"/>
            </w:tcBorders>
          </w:tcPr>
          <w:p w14:paraId="6FAA4154" w14:textId="57A36374"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6.5</w:t>
            </w:r>
          </w:p>
        </w:tc>
        <w:tc>
          <w:tcPr>
            <w:tcW w:w="243" w:type="pct"/>
            <w:tcBorders>
              <w:left w:val="nil"/>
              <w:right w:val="nil"/>
            </w:tcBorders>
          </w:tcPr>
          <w:p w14:paraId="30ACE644" w14:textId="3E55589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0.2</w:t>
            </w:r>
          </w:p>
        </w:tc>
        <w:tc>
          <w:tcPr>
            <w:tcW w:w="243" w:type="pct"/>
            <w:tcBorders>
              <w:left w:val="nil"/>
              <w:right w:val="nil"/>
            </w:tcBorders>
          </w:tcPr>
          <w:p w14:paraId="740A861B" w14:textId="6052F2E8"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8.1</w:t>
            </w:r>
          </w:p>
        </w:tc>
        <w:tc>
          <w:tcPr>
            <w:tcW w:w="240" w:type="pct"/>
            <w:tcBorders>
              <w:left w:val="nil"/>
              <w:right w:val="nil"/>
            </w:tcBorders>
          </w:tcPr>
          <w:p w14:paraId="52C7BDFB" w14:textId="7B36C0E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4.6</w:t>
            </w:r>
          </w:p>
        </w:tc>
        <w:tc>
          <w:tcPr>
            <w:tcW w:w="243" w:type="pct"/>
            <w:tcBorders>
              <w:left w:val="nil"/>
              <w:right w:val="nil"/>
            </w:tcBorders>
          </w:tcPr>
          <w:p w14:paraId="53D02FE8" w14:textId="196ECB5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5.0</w:t>
            </w:r>
          </w:p>
        </w:tc>
        <w:tc>
          <w:tcPr>
            <w:tcW w:w="243" w:type="pct"/>
            <w:tcBorders>
              <w:left w:val="nil"/>
              <w:right w:val="nil"/>
            </w:tcBorders>
          </w:tcPr>
          <w:p w14:paraId="67C0D4DA" w14:textId="6A51A9C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5.0</w:t>
            </w:r>
          </w:p>
        </w:tc>
        <w:tc>
          <w:tcPr>
            <w:tcW w:w="243" w:type="pct"/>
            <w:tcBorders>
              <w:left w:val="nil"/>
              <w:right w:val="nil"/>
            </w:tcBorders>
          </w:tcPr>
          <w:p w14:paraId="74CABC6E" w14:textId="0F9FC6A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4.2</w:t>
            </w:r>
          </w:p>
        </w:tc>
        <w:tc>
          <w:tcPr>
            <w:tcW w:w="243" w:type="pct"/>
            <w:tcBorders>
              <w:left w:val="nil"/>
              <w:right w:val="nil"/>
            </w:tcBorders>
          </w:tcPr>
          <w:p w14:paraId="20ABD068" w14:textId="62A10F4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5.6</w:t>
            </w:r>
          </w:p>
        </w:tc>
        <w:tc>
          <w:tcPr>
            <w:tcW w:w="243" w:type="pct"/>
            <w:tcBorders>
              <w:left w:val="nil"/>
              <w:right w:val="nil"/>
            </w:tcBorders>
          </w:tcPr>
          <w:p w14:paraId="7A66F6C7" w14:textId="57D30714"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5.1</w:t>
            </w:r>
          </w:p>
        </w:tc>
        <w:tc>
          <w:tcPr>
            <w:tcW w:w="244" w:type="pct"/>
            <w:tcBorders>
              <w:left w:val="nil"/>
            </w:tcBorders>
          </w:tcPr>
          <w:p w14:paraId="5B1617B1" w14:textId="55C37BA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-0.3</w:t>
            </w:r>
          </w:p>
        </w:tc>
        <w:tc>
          <w:tcPr>
            <w:tcW w:w="227" w:type="pct"/>
            <w:tcBorders>
              <w:right w:val="single" w:sz="4" w:space="0" w:color="auto"/>
            </w:tcBorders>
          </w:tcPr>
          <w:p w14:paraId="7499D8FB" w14:textId="2AACCF9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7.</w:t>
            </w:r>
            <w:r w:rsidR="009F0B5C" w:rsidRPr="009C5581">
              <w:rPr>
                <w:rFonts w:ascii="Times New Roman" w:hAnsi="Times New Roman" w:cs="Times New Roman"/>
                <w:sz w:val="14"/>
                <w:szCs w:val="14"/>
              </w:rPr>
              <w:t>6</w:t>
            </w:r>
          </w:p>
        </w:tc>
        <w:tc>
          <w:tcPr>
            <w:tcW w:w="219" w:type="pct"/>
            <w:tcBorders>
              <w:left w:val="single" w:sz="4" w:space="0" w:color="auto"/>
              <w:right w:val="single" w:sz="4" w:space="0" w:color="auto"/>
            </w:tcBorders>
          </w:tcPr>
          <w:p w14:paraId="06BDB347" w14:textId="6F858080"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6C2BCEF6" w14:textId="36935773"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shd w:val="clear" w:color="auto" w:fill="F2F2F2" w:themeFill="background1" w:themeFillShade="F2"/>
          </w:tcPr>
          <w:p w14:paraId="50C479C7" w14:textId="7D73AE1E"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GDP per capita (const. 2015 USD, thousands)</w:t>
            </w:r>
          </w:p>
        </w:tc>
        <w:tc>
          <w:tcPr>
            <w:tcW w:w="243" w:type="pct"/>
            <w:tcBorders>
              <w:left w:val="nil"/>
              <w:right w:val="nil"/>
            </w:tcBorders>
            <w:shd w:val="solid" w:color="FFFFFF" w:fill="EDEDED" w:themeFill="accent3" w:themeFillTint="33"/>
          </w:tcPr>
          <w:p w14:paraId="26A0C79C" w14:textId="0EA79A77" w:rsidR="005C467B" w:rsidRPr="009C5581" w:rsidRDefault="00747173"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1.2</w:t>
            </w:r>
          </w:p>
        </w:tc>
        <w:tc>
          <w:tcPr>
            <w:tcW w:w="243" w:type="pct"/>
            <w:tcBorders>
              <w:left w:val="nil"/>
              <w:right w:val="nil"/>
            </w:tcBorders>
            <w:shd w:val="solid" w:color="FFFFFF" w:fill="EDEDED" w:themeFill="accent3" w:themeFillTint="33"/>
          </w:tcPr>
          <w:p w14:paraId="062F0E78" w14:textId="08DA1681"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1.1</w:t>
            </w:r>
          </w:p>
        </w:tc>
        <w:tc>
          <w:tcPr>
            <w:tcW w:w="243" w:type="pct"/>
            <w:tcBorders>
              <w:left w:val="nil"/>
              <w:right w:val="nil"/>
            </w:tcBorders>
            <w:shd w:val="solid" w:color="FFFFFF" w:fill="EDEDED" w:themeFill="accent3" w:themeFillTint="33"/>
          </w:tcPr>
          <w:p w14:paraId="106447FD" w14:textId="547E23C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1.1</w:t>
            </w:r>
          </w:p>
        </w:tc>
        <w:tc>
          <w:tcPr>
            <w:tcW w:w="243" w:type="pct"/>
            <w:tcBorders>
              <w:left w:val="nil"/>
              <w:right w:val="nil"/>
            </w:tcBorders>
            <w:shd w:val="solid" w:color="FFFFFF" w:fill="EDEDED" w:themeFill="accent3" w:themeFillTint="33"/>
          </w:tcPr>
          <w:p w14:paraId="722A7053" w14:textId="01B858E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1.2</w:t>
            </w:r>
          </w:p>
        </w:tc>
        <w:tc>
          <w:tcPr>
            <w:tcW w:w="243" w:type="pct"/>
            <w:tcBorders>
              <w:left w:val="nil"/>
              <w:right w:val="nil"/>
            </w:tcBorders>
            <w:shd w:val="solid" w:color="FFFFFF" w:fill="EDEDED" w:themeFill="accent3" w:themeFillTint="33"/>
          </w:tcPr>
          <w:p w14:paraId="612421ED" w14:textId="3BA60D2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1.2</w:t>
            </w:r>
          </w:p>
        </w:tc>
        <w:tc>
          <w:tcPr>
            <w:tcW w:w="243" w:type="pct"/>
            <w:tcBorders>
              <w:left w:val="nil"/>
              <w:right w:val="nil"/>
            </w:tcBorders>
            <w:shd w:val="solid" w:color="FFFFFF" w:fill="EDEDED" w:themeFill="accent3" w:themeFillTint="33"/>
          </w:tcPr>
          <w:p w14:paraId="17F3C612" w14:textId="05BC45D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1.2</w:t>
            </w:r>
          </w:p>
        </w:tc>
        <w:tc>
          <w:tcPr>
            <w:tcW w:w="243" w:type="pct"/>
            <w:tcBorders>
              <w:left w:val="nil"/>
              <w:right w:val="nil"/>
            </w:tcBorders>
            <w:shd w:val="solid" w:color="FFFFFF" w:fill="EDEDED" w:themeFill="accent3" w:themeFillTint="33"/>
          </w:tcPr>
          <w:p w14:paraId="42367204" w14:textId="437E1A2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1.3</w:t>
            </w:r>
          </w:p>
        </w:tc>
        <w:tc>
          <w:tcPr>
            <w:tcW w:w="243" w:type="pct"/>
            <w:tcBorders>
              <w:left w:val="nil"/>
              <w:right w:val="nil"/>
            </w:tcBorders>
            <w:shd w:val="solid" w:color="FFFFFF" w:fill="EDEDED" w:themeFill="accent3" w:themeFillTint="33"/>
          </w:tcPr>
          <w:p w14:paraId="3DC0D307" w14:textId="47FC11A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1.3</w:t>
            </w:r>
          </w:p>
        </w:tc>
        <w:tc>
          <w:tcPr>
            <w:tcW w:w="240" w:type="pct"/>
            <w:tcBorders>
              <w:left w:val="nil"/>
              <w:right w:val="nil"/>
            </w:tcBorders>
            <w:shd w:val="solid" w:color="FFFFFF" w:fill="EDEDED" w:themeFill="accent3" w:themeFillTint="33"/>
          </w:tcPr>
          <w:p w14:paraId="296C89A3" w14:textId="42C4000C"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1.4</w:t>
            </w:r>
          </w:p>
        </w:tc>
        <w:tc>
          <w:tcPr>
            <w:tcW w:w="243" w:type="pct"/>
            <w:tcBorders>
              <w:left w:val="nil"/>
              <w:right w:val="nil"/>
            </w:tcBorders>
            <w:shd w:val="solid" w:color="FFFFFF" w:fill="EDEDED" w:themeFill="accent3" w:themeFillTint="33"/>
          </w:tcPr>
          <w:p w14:paraId="43E900BD" w14:textId="3C72FE4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1.4</w:t>
            </w:r>
          </w:p>
        </w:tc>
        <w:tc>
          <w:tcPr>
            <w:tcW w:w="243" w:type="pct"/>
            <w:tcBorders>
              <w:left w:val="nil"/>
              <w:right w:val="nil"/>
            </w:tcBorders>
            <w:shd w:val="solid" w:color="FFFFFF" w:fill="EDEDED" w:themeFill="accent3" w:themeFillTint="33"/>
          </w:tcPr>
          <w:p w14:paraId="3DD23254" w14:textId="2511BBE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1.5</w:t>
            </w:r>
          </w:p>
        </w:tc>
        <w:tc>
          <w:tcPr>
            <w:tcW w:w="243" w:type="pct"/>
            <w:tcBorders>
              <w:left w:val="nil"/>
              <w:right w:val="nil"/>
            </w:tcBorders>
            <w:shd w:val="solid" w:color="FFFFFF" w:fill="EDEDED" w:themeFill="accent3" w:themeFillTint="33"/>
          </w:tcPr>
          <w:p w14:paraId="5CCE3A49" w14:textId="5D274BE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1.5</w:t>
            </w:r>
          </w:p>
        </w:tc>
        <w:tc>
          <w:tcPr>
            <w:tcW w:w="243" w:type="pct"/>
            <w:tcBorders>
              <w:left w:val="nil"/>
              <w:right w:val="nil"/>
            </w:tcBorders>
            <w:shd w:val="solid" w:color="FFFFFF" w:fill="EDEDED" w:themeFill="accent3" w:themeFillTint="33"/>
          </w:tcPr>
          <w:p w14:paraId="6E9EE460" w14:textId="55A7B91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1.6</w:t>
            </w:r>
          </w:p>
        </w:tc>
        <w:tc>
          <w:tcPr>
            <w:tcW w:w="243" w:type="pct"/>
            <w:tcBorders>
              <w:left w:val="nil"/>
              <w:right w:val="nil"/>
            </w:tcBorders>
            <w:shd w:val="solid" w:color="FFFFFF" w:fill="EDEDED" w:themeFill="accent3" w:themeFillTint="33"/>
          </w:tcPr>
          <w:p w14:paraId="60AC1941" w14:textId="1C47817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1.6</w:t>
            </w:r>
          </w:p>
        </w:tc>
        <w:tc>
          <w:tcPr>
            <w:tcW w:w="244" w:type="pct"/>
            <w:tcBorders>
              <w:left w:val="nil"/>
            </w:tcBorders>
            <w:shd w:val="solid" w:color="FFFFFF" w:fill="EDEDED" w:themeFill="accent3" w:themeFillTint="33"/>
          </w:tcPr>
          <w:p w14:paraId="4551BF7C" w14:textId="26558E5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1.6</w:t>
            </w:r>
          </w:p>
        </w:tc>
        <w:tc>
          <w:tcPr>
            <w:tcW w:w="227" w:type="pct"/>
            <w:tcBorders>
              <w:right w:val="single" w:sz="4" w:space="0" w:color="auto"/>
            </w:tcBorders>
            <w:shd w:val="solid" w:color="FFFFFF" w:fill="EDEDED" w:themeFill="accent3" w:themeFillTint="33"/>
          </w:tcPr>
          <w:p w14:paraId="1C18007E" w14:textId="5D53EE0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1.6</w:t>
            </w:r>
          </w:p>
        </w:tc>
        <w:tc>
          <w:tcPr>
            <w:tcW w:w="219" w:type="pct"/>
            <w:tcBorders>
              <w:left w:val="single" w:sz="4" w:space="0" w:color="auto"/>
              <w:right w:val="single" w:sz="4" w:space="0" w:color="auto"/>
            </w:tcBorders>
            <w:shd w:val="solid" w:color="FFFFFF" w:fill="EDEDED" w:themeFill="accent3" w:themeFillTint="33"/>
          </w:tcPr>
          <w:p w14:paraId="4D8EBA82" w14:textId="53A46657"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334CAF" w:rsidRPr="009C5581" w14:paraId="347359DC" w14:textId="77777777"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shd w:val="clear" w:color="auto" w:fill="auto"/>
          </w:tcPr>
          <w:p w14:paraId="287877C9" w14:textId="7D294078" w:rsidR="00334CAF" w:rsidRPr="009C5581" w:rsidRDefault="00334CAF"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b/>
                <w:bCs/>
                <w:sz w:val="14"/>
                <w:szCs w:val="14"/>
              </w:rPr>
              <w:t>Based on consumption data</w:t>
            </w:r>
          </w:p>
        </w:tc>
        <w:tc>
          <w:tcPr>
            <w:tcW w:w="243" w:type="pct"/>
            <w:tcBorders>
              <w:left w:val="nil"/>
              <w:right w:val="nil"/>
            </w:tcBorders>
          </w:tcPr>
          <w:p w14:paraId="309833EF"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5A0D3077"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47091A80"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434A6F1A"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199500AE"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0447CA96"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513398E2"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437CFF60"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0" w:type="pct"/>
            <w:tcBorders>
              <w:left w:val="nil"/>
              <w:right w:val="nil"/>
            </w:tcBorders>
            <w:shd w:val="clear" w:color="auto" w:fill="auto"/>
          </w:tcPr>
          <w:p w14:paraId="2D5DE795"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068A1394"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7A1DBD13"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61EB7777"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2152E9EC"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shd w:val="clear" w:color="auto" w:fill="auto"/>
          </w:tcPr>
          <w:p w14:paraId="04E4C679"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4" w:type="pct"/>
            <w:tcBorders>
              <w:left w:val="nil"/>
            </w:tcBorders>
            <w:shd w:val="clear" w:color="auto" w:fill="auto"/>
          </w:tcPr>
          <w:p w14:paraId="579ECB39"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27" w:type="pct"/>
            <w:tcBorders>
              <w:right w:val="single" w:sz="4" w:space="0" w:color="auto"/>
            </w:tcBorders>
          </w:tcPr>
          <w:p w14:paraId="01E73D8D"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19" w:type="pct"/>
            <w:tcBorders>
              <w:left w:val="single" w:sz="4" w:space="0" w:color="auto"/>
              <w:right w:val="single" w:sz="4" w:space="0" w:color="auto"/>
            </w:tcBorders>
            <w:shd w:val="clear" w:color="auto" w:fill="auto"/>
          </w:tcPr>
          <w:p w14:paraId="1F30F6A8" w14:textId="77777777" w:rsidR="00334CAF" w:rsidRPr="009C5581" w:rsidRDefault="00334CAF" w:rsidP="005C467B">
            <w:pPr>
              <w:autoSpaceDE w:val="0"/>
              <w:autoSpaceDN w:val="0"/>
              <w:adjustRightInd w:val="0"/>
              <w:spacing w:after="0" w:line="240" w:lineRule="auto"/>
              <w:jc w:val="center"/>
              <w:rPr>
                <w:rFonts w:ascii="Times New Roman" w:hAnsi="Times New Roman" w:cs="Times New Roman"/>
                <w:sz w:val="14"/>
                <w:szCs w:val="14"/>
              </w:rPr>
            </w:pPr>
          </w:p>
        </w:tc>
      </w:tr>
      <w:tr w:rsidR="005C467B" w:rsidRPr="009C5581" w14:paraId="0DA67222" w14:textId="01857988"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shd w:val="clear" w:color="auto" w:fill="auto"/>
          </w:tcPr>
          <w:p w14:paraId="67AFA82E" w14:textId="77777777"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Gini index</w:t>
            </w:r>
            <w:r w:rsidRPr="009C5581">
              <w:rPr>
                <w:rStyle w:val="FootnoteReference"/>
                <w:rFonts w:ascii="Times New Roman" w:eastAsia="Times New Roman" w:hAnsi="Times New Roman" w:cs="Times New Roman"/>
                <w:color w:val="000000"/>
                <w:sz w:val="14"/>
                <w:szCs w:val="14"/>
                <w:lang w:eastAsia="es-ES"/>
              </w:rPr>
              <w:footnoteReference w:id="5"/>
            </w:r>
          </w:p>
        </w:tc>
        <w:tc>
          <w:tcPr>
            <w:tcW w:w="243" w:type="pct"/>
            <w:tcBorders>
              <w:left w:val="nil"/>
              <w:right w:val="nil"/>
            </w:tcBorders>
          </w:tcPr>
          <w:p w14:paraId="6F43D20E" w14:textId="25069E13" w:rsidR="005C467B" w:rsidRPr="009C5581" w:rsidRDefault="00E17BDF"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46.0</w:t>
            </w:r>
          </w:p>
        </w:tc>
        <w:tc>
          <w:tcPr>
            <w:tcW w:w="243" w:type="pct"/>
            <w:tcBorders>
              <w:left w:val="nil"/>
              <w:right w:val="nil"/>
            </w:tcBorders>
          </w:tcPr>
          <w:p w14:paraId="58407542" w14:textId="319E16E6"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507D54FF" w14:textId="2B39821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73329885" w14:textId="6808632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77121701" w14:textId="4B97B3F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47.0</w:t>
            </w:r>
          </w:p>
        </w:tc>
        <w:tc>
          <w:tcPr>
            <w:tcW w:w="243" w:type="pct"/>
            <w:tcBorders>
              <w:left w:val="nil"/>
              <w:right w:val="nil"/>
            </w:tcBorders>
          </w:tcPr>
          <w:p w14:paraId="42788F1D" w14:textId="6F4A78F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0C0988C3" w14:textId="170E7AB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64D05D01" w14:textId="218664C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right w:val="nil"/>
            </w:tcBorders>
            <w:shd w:val="clear" w:color="auto" w:fill="auto"/>
          </w:tcPr>
          <w:p w14:paraId="288CEA19" w14:textId="3BD4AC7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40FD88CA" w14:textId="68E81A7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622B981D" w14:textId="4307004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40.4</w:t>
            </w:r>
          </w:p>
        </w:tc>
        <w:tc>
          <w:tcPr>
            <w:tcW w:w="243" w:type="pct"/>
            <w:tcBorders>
              <w:left w:val="nil"/>
              <w:right w:val="nil"/>
            </w:tcBorders>
            <w:shd w:val="clear" w:color="auto" w:fill="auto"/>
          </w:tcPr>
          <w:p w14:paraId="597580B4" w14:textId="397CD9C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0BD752A2" w14:textId="05BB614B"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5E89D123" w14:textId="00901DF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tcBorders>
            <w:shd w:val="clear" w:color="auto" w:fill="auto"/>
          </w:tcPr>
          <w:p w14:paraId="68292612" w14:textId="33DB3F0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tcPr>
          <w:p w14:paraId="00F0588F" w14:textId="7D0E2B1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shd w:val="clear" w:color="auto" w:fill="auto"/>
          </w:tcPr>
          <w:p w14:paraId="7893FE44" w14:textId="0940516E"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452EF4EA" w14:textId="608E68D2"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shd w:val="clear" w:color="auto" w:fill="auto"/>
          </w:tcPr>
          <w:p w14:paraId="457543EA" w14:textId="77777777"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Theil index</w:t>
            </w:r>
            <w:r w:rsidRPr="009C5581">
              <w:rPr>
                <w:rStyle w:val="FootnoteReference"/>
                <w:rFonts w:ascii="Times New Roman" w:eastAsia="Times New Roman" w:hAnsi="Times New Roman" w:cs="Times New Roman"/>
                <w:sz w:val="14"/>
                <w:szCs w:val="14"/>
                <w:lang w:eastAsia="es-ES"/>
              </w:rPr>
              <w:footnoteReference w:id="6"/>
            </w:r>
          </w:p>
        </w:tc>
        <w:tc>
          <w:tcPr>
            <w:tcW w:w="243" w:type="pct"/>
            <w:tcBorders>
              <w:left w:val="nil"/>
              <w:right w:val="nil"/>
            </w:tcBorders>
          </w:tcPr>
          <w:p w14:paraId="4A37219D" w14:textId="50A1F182" w:rsidR="005C467B" w:rsidRPr="009C5581" w:rsidRDefault="007612D4"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44.6</w:t>
            </w:r>
          </w:p>
        </w:tc>
        <w:tc>
          <w:tcPr>
            <w:tcW w:w="243" w:type="pct"/>
            <w:tcBorders>
              <w:left w:val="nil"/>
              <w:right w:val="nil"/>
            </w:tcBorders>
          </w:tcPr>
          <w:p w14:paraId="5841DA20" w14:textId="18E14CB3"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307B17C6" w14:textId="021E1CC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7D4BCEDC" w14:textId="00C03D7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604BB625" w14:textId="0296D4C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45.4</w:t>
            </w:r>
          </w:p>
        </w:tc>
        <w:tc>
          <w:tcPr>
            <w:tcW w:w="243" w:type="pct"/>
            <w:tcBorders>
              <w:left w:val="nil"/>
              <w:right w:val="nil"/>
            </w:tcBorders>
          </w:tcPr>
          <w:p w14:paraId="642A1542" w14:textId="5F61E70B"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53979CC1" w14:textId="49E96AFC"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7A6586DB" w14:textId="13F687B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right w:val="nil"/>
            </w:tcBorders>
            <w:shd w:val="clear" w:color="auto" w:fill="auto"/>
          </w:tcPr>
          <w:p w14:paraId="23F36B3C" w14:textId="73C23FA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4C659105" w14:textId="7E114D1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2ACB2471" w14:textId="63F2654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29.1</w:t>
            </w:r>
          </w:p>
        </w:tc>
        <w:tc>
          <w:tcPr>
            <w:tcW w:w="243" w:type="pct"/>
            <w:tcBorders>
              <w:left w:val="nil"/>
              <w:right w:val="nil"/>
            </w:tcBorders>
            <w:shd w:val="clear" w:color="auto" w:fill="auto"/>
          </w:tcPr>
          <w:p w14:paraId="6F795DCE" w14:textId="24B2270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1E10A4BE" w14:textId="618FB37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7F8CDF11" w14:textId="0811E7E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tcBorders>
            <w:shd w:val="clear" w:color="auto" w:fill="auto"/>
          </w:tcPr>
          <w:p w14:paraId="5A568B68" w14:textId="31F989E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tcPr>
          <w:p w14:paraId="3962400A" w14:textId="4D2CB46B"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shd w:val="clear" w:color="auto" w:fill="auto"/>
          </w:tcPr>
          <w:p w14:paraId="525817E1" w14:textId="19CA3AA0"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p>
        </w:tc>
      </w:tr>
      <w:tr w:rsidR="005C467B" w:rsidRPr="009C5581" w14:paraId="647BE417" w14:textId="1898F98B"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shd w:val="clear" w:color="auto" w:fill="auto"/>
          </w:tcPr>
          <w:p w14:paraId="35769092" w14:textId="77777777"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Palma ratio</w:t>
            </w:r>
            <w:r w:rsidRPr="009C5581">
              <w:rPr>
                <w:rStyle w:val="FootnoteReference"/>
                <w:rFonts w:ascii="Times New Roman" w:eastAsia="Times New Roman" w:hAnsi="Times New Roman" w:cs="Times New Roman"/>
                <w:color w:val="000000"/>
                <w:sz w:val="14"/>
                <w:szCs w:val="14"/>
                <w:lang w:eastAsia="es-ES"/>
              </w:rPr>
              <w:footnoteReference w:id="7"/>
            </w:r>
          </w:p>
        </w:tc>
        <w:tc>
          <w:tcPr>
            <w:tcW w:w="243" w:type="pct"/>
            <w:tcBorders>
              <w:left w:val="nil"/>
              <w:right w:val="nil"/>
            </w:tcBorders>
          </w:tcPr>
          <w:p w14:paraId="34DC0365" w14:textId="191FD8A4" w:rsidR="005C467B" w:rsidRPr="009C5581" w:rsidRDefault="007612D4"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2.8</w:t>
            </w:r>
          </w:p>
        </w:tc>
        <w:tc>
          <w:tcPr>
            <w:tcW w:w="243" w:type="pct"/>
            <w:tcBorders>
              <w:left w:val="nil"/>
              <w:right w:val="nil"/>
            </w:tcBorders>
          </w:tcPr>
          <w:p w14:paraId="0ADAB0F2" w14:textId="16482C06"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109B6DBE" w14:textId="0F5A00BB"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35CDC281" w14:textId="41DE4BD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31AB9659" w14:textId="68AC7428"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2.8</w:t>
            </w:r>
          </w:p>
        </w:tc>
        <w:tc>
          <w:tcPr>
            <w:tcW w:w="243" w:type="pct"/>
            <w:tcBorders>
              <w:left w:val="nil"/>
              <w:right w:val="nil"/>
            </w:tcBorders>
          </w:tcPr>
          <w:p w14:paraId="54161A03" w14:textId="4288FE2B"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1EB392C0" w14:textId="1C8B8B78"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6A118EFD" w14:textId="687B6C9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right w:val="nil"/>
            </w:tcBorders>
            <w:shd w:val="clear" w:color="auto" w:fill="auto"/>
          </w:tcPr>
          <w:p w14:paraId="3EA76570" w14:textId="6202190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36EB583F" w14:textId="0585F2A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4F792BDD" w14:textId="7E67332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2.0</w:t>
            </w:r>
          </w:p>
        </w:tc>
        <w:tc>
          <w:tcPr>
            <w:tcW w:w="243" w:type="pct"/>
            <w:tcBorders>
              <w:left w:val="nil"/>
              <w:right w:val="nil"/>
            </w:tcBorders>
            <w:shd w:val="clear" w:color="auto" w:fill="auto"/>
          </w:tcPr>
          <w:p w14:paraId="7DA54B90" w14:textId="4720EF3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4950DBFB" w14:textId="55866F84"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clear" w:color="auto" w:fill="auto"/>
          </w:tcPr>
          <w:p w14:paraId="3E141203" w14:textId="1B257C1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tcBorders>
            <w:shd w:val="clear" w:color="auto" w:fill="auto"/>
          </w:tcPr>
          <w:p w14:paraId="2303D129" w14:textId="0817315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tcPr>
          <w:p w14:paraId="3F7D496A" w14:textId="7CCC910C"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shd w:val="clear" w:color="auto" w:fill="auto"/>
          </w:tcPr>
          <w:p w14:paraId="3FAA0510" w14:textId="624F79C8"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50B43294" w14:textId="78912029"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shd w:val="clear" w:color="auto" w:fill="F2F2F2" w:themeFill="background1" w:themeFillShade="F2"/>
          </w:tcPr>
          <w:p w14:paraId="7FEA2A28" w14:textId="77777777"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Income share held by top 10%</w:t>
            </w:r>
          </w:p>
        </w:tc>
        <w:tc>
          <w:tcPr>
            <w:tcW w:w="243" w:type="pct"/>
            <w:tcBorders>
              <w:left w:val="nil"/>
              <w:right w:val="nil"/>
            </w:tcBorders>
            <w:shd w:val="solid" w:color="FFFFFF" w:fill="FFFFFF"/>
          </w:tcPr>
          <w:p w14:paraId="61F2B764" w14:textId="527A05ED" w:rsidR="005C467B" w:rsidRPr="009C5581" w:rsidRDefault="00A875C2"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31.2</w:t>
            </w:r>
          </w:p>
        </w:tc>
        <w:tc>
          <w:tcPr>
            <w:tcW w:w="243" w:type="pct"/>
            <w:tcBorders>
              <w:left w:val="nil"/>
              <w:right w:val="nil"/>
            </w:tcBorders>
            <w:shd w:val="solid" w:color="FFFFFF" w:fill="FFFFFF"/>
          </w:tcPr>
          <w:p w14:paraId="4A1FF2B8" w14:textId="69CD901C"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684FC1AA" w14:textId="36287BB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56C5776A" w14:textId="6E557A9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7083037C" w14:textId="4A3EB958"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41.6</w:t>
            </w:r>
          </w:p>
        </w:tc>
        <w:tc>
          <w:tcPr>
            <w:tcW w:w="243" w:type="pct"/>
            <w:tcBorders>
              <w:left w:val="nil"/>
              <w:right w:val="nil"/>
            </w:tcBorders>
            <w:shd w:val="solid" w:color="FFFFFF" w:fill="FFFFFF"/>
          </w:tcPr>
          <w:p w14:paraId="653BA9D3" w14:textId="2B8A265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6D298E0D" w14:textId="6DEC8A7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6E3B790A" w14:textId="2688513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right w:val="nil"/>
            </w:tcBorders>
            <w:shd w:val="solid" w:color="FFFFFF" w:fill="FFFFFF"/>
          </w:tcPr>
          <w:p w14:paraId="7A9F5942" w14:textId="56A18DE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4E303715" w14:textId="0ECE346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3C3486C8" w14:textId="43201CF4"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29.8</w:t>
            </w:r>
          </w:p>
        </w:tc>
        <w:tc>
          <w:tcPr>
            <w:tcW w:w="243" w:type="pct"/>
            <w:tcBorders>
              <w:left w:val="nil"/>
              <w:right w:val="nil"/>
            </w:tcBorders>
            <w:shd w:val="solid" w:color="FFFFFF" w:fill="FFFFFF"/>
          </w:tcPr>
          <w:p w14:paraId="2ABDEF15" w14:textId="54D6511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5389B2EC" w14:textId="3CF1B3A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64A1EDB6" w14:textId="1F85CE6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tcBorders>
            <w:shd w:val="solid" w:color="FFFFFF" w:fill="FFFFFF"/>
          </w:tcPr>
          <w:p w14:paraId="33294120" w14:textId="6B4C4338"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shd w:val="solid" w:color="FFFFFF" w:fill="FFFFFF"/>
          </w:tcPr>
          <w:p w14:paraId="684CFF05" w14:textId="67BBBA9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shd w:val="solid" w:color="FFFFFF" w:fill="FFFFFF"/>
          </w:tcPr>
          <w:p w14:paraId="728BAD91" w14:textId="625F13C6"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67E71FDF" w14:textId="738E8A6F"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tcPr>
          <w:p w14:paraId="2C053C52" w14:textId="77777777"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Income share held by bottom 10%</w:t>
            </w:r>
          </w:p>
        </w:tc>
        <w:tc>
          <w:tcPr>
            <w:tcW w:w="243" w:type="pct"/>
            <w:tcBorders>
              <w:left w:val="nil"/>
              <w:right w:val="nil"/>
            </w:tcBorders>
          </w:tcPr>
          <w:p w14:paraId="433C01D9" w14:textId="2FE1C37A" w:rsidR="005C467B" w:rsidRPr="009C5581" w:rsidRDefault="00B43AA5"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1.4</w:t>
            </w:r>
          </w:p>
        </w:tc>
        <w:tc>
          <w:tcPr>
            <w:tcW w:w="243" w:type="pct"/>
            <w:tcBorders>
              <w:left w:val="nil"/>
              <w:right w:val="nil"/>
            </w:tcBorders>
          </w:tcPr>
          <w:p w14:paraId="5A5B1597" w14:textId="0E1E6947"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E8214F0" w14:textId="1B6DB23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3F6A18A0" w14:textId="5B661B2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643F7901" w14:textId="1CCDD41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1.5</w:t>
            </w:r>
          </w:p>
        </w:tc>
        <w:tc>
          <w:tcPr>
            <w:tcW w:w="243" w:type="pct"/>
            <w:tcBorders>
              <w:left w:val="nil"/>
              <w:right w:val="nil"/>
            </w:tcBorders>
          </w:tcPr>
          <w:p w14:paraId="609ECB3A" w14:textId="681A5E6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7212151E" w14:textId="56A3A37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3AC12678" w14:textId="5EC2686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right w:val="nil"/>
            </w:tcBorders>
          </w:tcPr>
          <w:p w14:paraId="1EEDAC20" w14:textId="632C8B1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1EF11BFF" w14:textId="3EE0D05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B27D841" w14:textId="2D866DC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2.4</w:t>
            </w:r>
          </w:p>
        </w:tc>
        <w:tc>
          <w:tcPr>
            <w:tcW w:w="243" w:type="pct"/>
            <w:tcBorders>
              <w:left w:val="nil"/>
              <w:right w:val="nil"/>
            </w:tcBorders>
          </w:tcPr>
          <w:p w14:paraId="22CBCD58" w14:textId="77A08B9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7F917C49" w14:textId="6517E19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0B59FC20" w14:textId="60355D0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tcBorders>
          </w:tcPr>
          <w:p w14:paraId="162A17FE" w14:textId="7A3FB2B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tcPr>
          <w:p w14:paraId="4B8CE6F0" w14:textId="78B7B4AC"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tcPr>
          <w:p w14:paraId="3E61C0C8" w14:textId="039AF4B5"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0AB0862E" w14:textId="472D8742"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shd w:val="clear" w:color="auto" w:fill="F2F2F2" w:themeFill="background1" w:themeFillShade="F2"/>
          </w:tcPr>
          <w:p w14:paraId="335FA5FC" w14:textId="637E56A6"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Poverty headcount ratio (USD 3.65/day)</w:t>
            </w:r>
          </w:p>
        </w:tc>
        <w:tc>
          <w:tcPr>
            <w:tcW w:w="243" w:type="pct"/>
            <w:tcBorders>
              <w:left w:val="nil"/>
              <w:right w:val="nil"/>
            </w:tcBorders>
            <w:shd w:val="solid" w:color="FFFFFF" w:fill="FFFFFF"/>
          </w:tcPr>
          <w:p w14:paraId="7C955D25" w14:textId="2A7F7EA1" w:rsidR="005C467B" w:rsidRPr="009C5581" w:rsidRDefault="00E95B23"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53.5</w:t>
            </w:r>
          </w:p>
        </w:tc>
        <w:tc>
          <w:tcPr>
            <w:tcW w:w="243" w:type="pct"/>
            <w:tcBorders>
              <w:left w:val="nil"/>
              <w:right w:val="nil"/>
            </w:tcBorders>
            <w:shd w:val="solid" w:color="FFFFFF" w:fill="FFFFFF"/>
          </w:tcPr>
          <w:p w14:paraId="2E17778D" w14:textId="3FB979DF"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0CD047FC" w14:textId="00BB577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2D665881" w14:textId="5EDCD02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4A5E0B0E" w14:textId="09DB6B5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64.4</w:t>
            </w:r>
          </w:p>
        </w:tc>
        <w:tc>
          <w:tcPr>
            <w:tcW w:w="243" w:type="pct"/>
            <w:tcBorders>
              <w:left w:val="nil"/>
              <w:right w:val="nil"/>
            </w:tcBorders>
            <w:shd w:val="solid" w:color="FFFFFF" w:fill="FFFFFF"/>
          </w:tcPr>
          <w:p w14:paraId="148EC222" w14:textId="0D40EDA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14DAE8C9" w14:textId="0EE8D9A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2D21328C" w14:textId="15F1F2C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right w:val="nil"/>
            </w:tcBorders>
            <w:shd w:val="solid" w:color="FFFFFF" w:fill="FFFFFF"/>
          </w:tcPr>
          <w:p w14:paraId="6D9D024B" w14:textId="7DFB3E0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3B6DE47E" w14:textId="2A87001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7582B883" w14:textId="432DBD0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59.6</w:t>
            </w:r>
          </w:p>
        </w:tc>
        <w:tc>
          <w:tcPr>
            <w:tcW w:w="243" w:type="pct"/>
            <w:tcBorders>
              <w:left w:val="nil"/>
              <w:right w:val="nil"/>
            </w:tcBorders>
            <w:shd w:val="solid" w:color="FFFFFF" w:fill="FFFFFF"/>
          </w:tcPr>
          <w:p w14:paraId="01E38953" w14:textId="08DD0B8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1117D693" w14:textId="2311084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5A8F7954" w14:textId="5F7830E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tcBorders>
            <w:shd w:val="solid" w:color="FFFFFF" w:fill="FFFFFF"/>
          </w:tcPr>
          <w:p w14:paraId="4D2E77A3" w14:textId="20F94AAA"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shd w:val="solid" w:color="FFFFFF" w:fill="FFFFFF"/>
          </w:tcPr>
          <w:p w14:paraId="3423EDD1" w14:textId="16B2247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shd w:val="solid" w:color="FFFFFF" w:fill="FFFFFF"/>
          </w:tcPr>
          <w:p w14:paraId="38AAB735" w14:textId="3EC55A3F"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0</w:t>
            </w:r>
          </w:p>
        </w:tc>
      </w:tr>
      <w:tr w:rsidR="005C467B" w:rsidRPr="009C5581" w14:paraId="43ACC647" w14:textId="084349FE"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tcPr>
          <w:p w14:paraId="31183DA5" w14:textId="7ED7A483"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Extreme poverty headcount ratio (USD 2.15/day)</w:t>
            </w:r>
          </w:p>
        </w:tc>
        <w:tc>
          <w:tcPr>
            <w:tcW w:w="243" w:type="pct"/>
            <w:tcBorders>
              <w:left w:val="nil"/>
              <w:right w:val="nil"/>
            </w:tcBorders>
          </w:tcPr>
          <w:p w14:paraId="14487D9A" w14:textId="437CC9D4" w:rsidR="005C467B" w:rsidRPr="009C5581" w:rsidRDefault="00DC26E6"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2</w:t>
            </w:r>
            <w:r w:rsidR="00A81049" w:rsidRPr="009C5581">
              <w:rPr>
                <w:rFonts w:ascii="Times New Roman" w:hAnsi="Times New Roman" w:cs="Times New Roman"/>
                <w:color w:val="000000"/>
                <w:sz w:val="14"/>
                <w:szCs w:val="14"/>
              </w:rPr>
              <w:t>5</w:t>
            </w:r>
            <w:r w:rsidRPr="009C5581">
              <w:rPr>
                <w:rFonts w:ascii="Times New Roman" w:hAnsi="Times New Roman" w:cs="Times New Roman"/>
                <w:color w:val="000000"/>
                <w:sz w:val="14"/>
                <w:szCs w:val="14"/>
              </w:rPr>
              <w:t>.</w:t>
            </w:r>
            <w:r w:rsidR="00A81049" w:rsidRPr="009C5581">
              <w:rPr>
                <w:rFonts w:ascii="Times New Roman" w:hAnsi="Times New Roman" w:cs="Times New Roman"/>
                <w:color w:val="000000"/>
                <w:sz w:val="14"/>
                <w:szCs w:val="14"/>
              </w:rPr>
              <w:t>9</w:t>
            </w:r>
          </w:p>
        </w:tc>
        <w:tc>
          <w:tcPr>
            <w:tcW w:w="243" w:type="pct"/>
            <w:tcBorders>
              <w:left w:val="nil"/>
              <w:right w:val="nil"/>
            </w:tcBorders>
          </w:tcPr>
          <w:p w14:paraId="75484CEE" w14:textId="498538E0"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0029F108" w14:textId="1099BF3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6410636C" w14:textId="2371A5F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63C303D2" w14:textId="0BA63C3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36.7</w:t>
            </w:r>
          </w:p>
        </w:tc>
        <w:tc>
          <w:tcPr>
            <w:tcW w:w="243" w:type="pct"/>
            <w:tcBorders>
              <w:left w:val="nil"/>
              <w:right w:val="nil"/>
            </w:tcBorders>
          </w:tcPr>
          <w:p w14:paraId="14235F9A" w14:textId="368D061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4B76727E" w14:textId="5B2EA25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1A13387F" w14:textId="2716366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right w:val="nil"/>
            </w:tcBorders>
          </w:tcPr>
          <w:p w14:paraId="6E6B291D" w14:textId="1A32B92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20153A98" w14:textId="26F5166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8B45188" w14:textId="1A2E57B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29.4</w:t>
            </w:r>
          </w:p>
        </w:tc>
        <w:tc>
          <w:tcPr>
            <w:tcW w:w="243" w:type="pct"/>
            <w:tcBorders>
              <w:left w:val="nil"/>
              <w:right w:val="nil"/>
            </w:tcBorders>
          </w:tcPr>
          <w:p w14:paraId="697592D6" w14:textId="1F31D7D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E8F0FBB" w14:textId="56321A2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315B59AB" w14:textId="5B21920C"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tcBorders>
          </w:tcPr>
          <w:p w14:paraId="188BBBB5" w14:textId="31ECAE54"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tcPr>
          <w:p w14:paraId="699D0E1E" w14:textId="5FE8896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tcPr>
          <w:p w14:paraId="187A51AB" w14:textId="33CADD65"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4D0E64E3" w14:textId="279BD009"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shd w:val="clear" w:color="auto" w:fill="F2F2F2" w:themeFill="background1" w:themeFillShade="F2"/>
          </w:tcPr>
          <w:p w14:paraId="563F5C1F" w14:textId="77777777"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Poverty gap (%)</w:t>
            </w:r>
          </w:p>
        </w:tc>
        <w:tc>
          <w:tcPr>
            <w:tcW w:w="243" w:type="pct"/>
            <w:tcBorders>
              <w:left w:val="nil"/>
              <w:right w:val="nil"/>
            </w:tcBorders>
            <w:shd w:val="solid" w:color="FFFFFF" w:fill="FFFFFF"/>
          </w:tcPr>
          <w:p w14:paraId="4E8EC8DC" w14:textId="734C8460" w:rsidR="005C467B" w:rsidRPr="009C5581" w:rsidRDefault="00DC26E6"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21.</w:t>
            </w:r>
            <w:r w:rsidR="00AB255D" w:rsidRPr="009C5581">
              <w:rPr>
                <w:rFonts w:ascii="Times New Roman" w:hAnsi="Times New Roman" w:cs="Times New Roman"/>
                <w:color w:val="000000"/>
                <w:sz w:val="14"/>
                <w:szCs w:val="14"/>
              </w:rPr>
              <w:t>8</w:t>
            </w:r>
          </w:p>
        </w:tc>
        <w:tc>
          <w:tcPr>
            <w:tcW w:w="243" w:type="pct"/>
            <w:tcBorders>
              <w:left w:val="nil"/>
              <w:right w:val="nil"/>
            </w:tcBorders>
            <w:shd w:val="solid" w:color="FFFFFF" w:fill="FFFFFF"/>
          </w:tcPr>
          <w:p w14:paraId="01E7D23A" w14:textId="16E3D38D"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2D0509B4" w14:textId="339F50B4"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35520BCB" w14:textId="221AF59B"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279B3693" w14:textId="4ABB49C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29.0</w:t>
            </w:r>
          </w:p>
        </w:tc>
        <w:tc>
          <w:tcPr>
            <w:tcW w:w="243" w:type="pct"/>
            <w:tcBorders>
              <w:left w:val="nil"/>
              <w:right w:val="nil"/>
            </w:tcBorders>
            <w:shd w:val="solid" w:color="FFFFFF" w:fill="FFFFFF"/>
          </w:tcPr>
          <w:p w14:paraId="662C9154" w14:textId="3A505CE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0889785A" w14:textId="44000A3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1CDACB19" w14:textId="00AD349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right w:val="nil"/>
            </w:tcBorders>
            <w:shd w:val="solid" w:color="FFFFFF" w:fill="FFFFFF"/>
          </w:tcPr>
          <w:p w14:paraId="10AE2C9E" w14:textId="634E25A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04F25529" w14:textId="6B63167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19036DCB" w14:textId="1365498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23.9</w:t>
            </w:r>
          </w:p>
        </w:tc>
        <w:tc>
          <w:tcPr>
            <w:tcW w:w="243" w:type="pct"/>
            <w:tcBorders>
              <w:left w:val="nil"/>
              <w:right w:val="nil"/>
            </w:tcBorders>
            <w:shd w:val="solid" w:color="FFFFFF" w:fill="FFFFFF"/>
          </w:tcPr>
          <w:p w14:paraId="5FB9BC5E" w14:textId="2C30589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737C3E02" w14:textId="6F51ED52"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shd w:val="solid" w:color="FFFFFF" w:fill="FFFFFF"/>
          </w:tcPr>
          <w:p w14:paraId="0063C718" w14:textId="673A41FC"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tcBorders>
            <w:shd w:val="solid" w:color="FFFFFF" w:fill="FFFFFF"/>
          </w:tcPr>
          <w:p w14:paraId="0ED99AA5" w14:textId="1246A2E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shd w:val="solid" w:color="FFFFFF" w:fill="FFFFFF"/>
          </w:tcPr>
          <w:p w14:paraId="085D03A3" w14:textId="0F873D4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shd w:val="solid" w:color="FFFFFF" w:fill="FFFFFF"/>
          </w:tcPr>
          <w:p w14:paraId="1F88A49D" w14:textId="6F3B1788"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08125AAC" w14:textId="581FEF7A"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tcPr>
          <w:p w14:paraId="3C414278" w14:textId="77777777"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Extreme poverty gap (%)</w:t>
            </w:r>
          </w:p>
        </w:tc>
        <w:tc>
          <w:tcPr>
            <w:tcW w:w="243" w:type="pct"/>
            <w:tcBorders>
              <w:left w:val="nil"/>
              <w:right w:val="nil"/>
            </w:tcBorders>
          </w:tcPr>
          <w:p w14:paraId="20D6A10A" w14:textId="5BAC2912" w:rsidR="005C467B" w:rsidRPr="009C5581" w:rsidRDefault="00F10CCE"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8.9</w:t>
            </w:r>
          </w:p>
        </w:tc>
        <w:tc>
          <w:tcPr>
            <w:tcW w:w="243" w:type="pct"/>
            <w:tcBorders>
              <w:left w:val="nil"/>
              <w:right w:val="nil"/>
            </w:tcBorders>
          </w:tcPr>
          <w:p w14:paraId="2AC50E67" w14:textId="3D378A76"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453317FF" w14:textId="2A30BCBB"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42C5958" w14:textId="6D33AD3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446C584A" w14:textId="728A3EF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12.9</w:t>
            </w:r>
          </w:p>
        </w:tc>
        <w:tc>
          <w:tcPr>
            <w:tcW w:w="243" w:type="pct"/>
            <w:tcBorders>
              <w:left w:val="nil"/>
              <w:right w:val="nil"/>
            </w:tcBorders>
          </w:tcPr>
          <w:p w14:paraId="024E03A7" w14:textId="3C9FB93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0B83E820" w14:textId="56925C0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E6CD3E9" w14:textId="47E291C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right w:val="nil"/>
            </w:tcBorders>
          </w:tcPr>
          <w:p w14:paraId="100A8C01" w14:textId="5A0043F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7FA9CD96" w14:textId="573BE9B7"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6262E7C2" w14:textId="3081F7E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8.6</w:t>
            </w:r>
          </w:p>
        </w:tc>
        <w:tc>
          <w:tcPr>
            <w:tcW w:w="243" w:type="pct"/>
            <w:tcBorders>
              <w:left w:val="nil"/>
              <w:right w:val="nil"/>
            </w:tcBorders>
          </w:tcPr>
          <w:p w14:paraId="304101C8" w14:textId="051064BD"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48EE2D19" w14:textId="60F557E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7444F0F2" w14:textId="3F398644"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tcBorders>
          </w:tcPr>
          <w:p w14:paraId="13DC5E17" w14:textId="1CE0C0A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tcPr>
          <w:p w14:paraId="72435D1D" w14:textId="754AF033"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tcPr>
          <w:p w14:paraId="5C33105B" w14:textId="068F3B14"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1F3B60A8" w14:textId="77777777"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tcPr>
          <w:p w14:paraId="5824DD1D" w14:textId="4C3C023B"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Poverty incidence (national estimate)</w:t>
            </w:r>
          </w:p>
        </w:tc>
        <w:tc>
          <w:tcPr>
            <w:tcW w:w="243" w:type="pct"/>
            <w:tcBorders>
              <w:left w:val="nil"/>
              <w:right w:val="nil"/>
            </w:tcBorders>
          </w:tcPr>
          <w:p w14:paraId="68C84F68" w14:textId="0B7B7689" w:rsidR="005C467B" w:rsidRPr="009C5581" w:rsidRDefault="00C74EE8"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40.3</w:t>
            </w:r>
          </w:p>
        </w:tc>
        <w:tc>
          <w:tcPr>
            <w:tcW w:w="243" w:type="pct"/>
            <w:tcBorders>
              <w:left w:val="nil"/>
              <w:right w:val="nil"/>
            </w:tcBorders>
          </w:tcPr>
          <w:p w14:paraId="255FECB4" w14:textId="16C79A3A"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4FE340E3" w14:textId="0590F6FD"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C3D25F2" w14:textId="5F9699AE"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30E59AD1" w14:textId="44F6B614"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73711EF6" w14:textId="2377142E"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5BDB7CE" w14:textId="2A4DEF72"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6A413E2A" w14:textId="0AE7ADE0"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0" w:type="pct"/>
            <w:tcBorders>
              <w:left w:val="nil"/>
              <w:right w:val="nil"/>
            </w:tcBorders>
          </w:tcPr>
          <w:p w14:paraId="63FAB369" w14:textId="75062C75"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23C1C167" w14:textId="08E48CA7"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B25425D" w14:textId="30728B2F"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36.1</w:t>
            </w:r>
          </w:p>
        </w:tc>
        <w:tc>
          <w:tcPr>
            <w:tcW w:w="243" w:type="pct"/>
            <w:tcBorders>
              <w:left w:val="nil"/>
              <w:right w:val="nil"/>
            </w:tcBorders>
          </w:tcPr>
          <w:p w14:paraId="3F6FE199" w14:textId="3C701845"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422E6F11" w14:textId="335FDA85"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0A67B9C5" w14:textId="7F4EF6C8"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4" w:type="pct"/>
            <w:tcBorders>
              <w:left w:val="nil"/>
            </w:tcBorders>
          </w:tcPr>
          <w:p w14:paraId="484E5ED5" w14:textId="135E4807"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tcPr>
          <w:p w14:paraId="0198E7ED" w14:textId="22FDE147"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tcPr>
          <w:p w14:paraId="62061AB4" w14:textId="5AA71576"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5C467B" w:rsidRPr="009C5581" w14:paraId="7911D92A" w14:textId="77777777"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tcPr>
          <w:p w14:paraId="43F7D63C" w14:textId="12A16FF4"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Multidimensional poverty incidence (national estimate)</w:t>
            </w:r>
          </w:p>
        </w:tc>
        <w:tc>
          <w:tcPr>
            <w:tcW w:w="243" w:type="pct"/>
            <w:tcBorders>
              <w:left w:val="nil"/>
              <w:right w:val="nil"/>
            </w:tcBorders>
          </w:tcPr>
          <w:p w14:paraId="10846F67" w14:textId="77777777"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14935B13" w14:textId="02744FE2"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333CA13D" w14:textId="5D9E14DD"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380268F1" w14:textId="5FC2C842"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4F80BFD7" w14:textId="09A1837B"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194C703A" w14:textId="0805753F"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247A21BC" w14:textId="546FB984"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7C6CF9C4" w14:textId="5D2CEFAB"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0" w:type="pct"/>
            <w:tcBorders>
              <w:left w:val="nil"/>
              <w:right w:val="nil"/>
            </w:tcBorders>
          </w:tcPr>
          <w:p w14:paraId="7BB6D78D" w14:textId="1FF3507C"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30782619" w14:textId="546364F6"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0C5A59E3" w14:textId="49E54BC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53.0</w:t>
            </w:r>
          </w:p>
        </w:tc>
        <w:tc>
          <w:tcPr>
            <w:tcW w:w="243" w:type="pct"/>
            <w:tcBorders>
              <w:left w:val="nil"/>
              <w:right w:val="nil"/>
            </w:tcBorders>
          </w:tcPr>
          <w:p w14:paraId="013713EA" w14:textId="1BD2A5F0"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39039F32" w14:textId="7B34A7E0"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right w:val="nil"/>
            </w:tcBorders>
          </w:tcPr>
          <w:p w14:paraId="5AFF1AEE" w14:textId="2E19255A"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4" w:type="pct"/>
            <w:tcBorders>
              <w:left w:val="nil"/>
            </w:tcBorders>
          </w:tcPr>
          <w:p w14:paraId="07B8F2A2" w14:textId="15BAB39B"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27" w:type="pct"/>
            <w:tcBorders>
              <w:right w:val="single" w:sz="4" w:space="0" w:color="auto"/>
            </w:tcBorders>
          </w:tcPr>
          <w:p w14:paraId="5D40DFFB" w14:textId="368906D8"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19" w:type="pct"/>
            <w:tcBorders>
              <w:left w:val="single" w:sz="4" w:space="0" w:color="auto"/>
              <w:right w:val="single" w:sz="4" w:space="0" w:color="auto"/>
            </w:tcBorders>
          </w:tcPr>
          <w:p w14:paraId="1CDD83B1" w14:textId="4C089353"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r w:rsidR="00334CAF" w:rsidRPr="009C5581" w14:paraId="2A41146B" w14:textId="77777777" w:rsidTr="00334CAF">
        <w:trPr>
          <w:cantSplit/>
          <w:trHeight w:val="20"/>
        </w:trPr>
        <w:tc>
          <w:tcPr>
            <w:tcW w:w="910" w:type="pct"/>
            <w:tcBorders>
              <w:top w:val="single" w:sz="6" w:space="0" w:color="C0C0C0"/>
              <w:left w:val="single" w:sz="4" w:space="0" w:color="auto"/>
              <w:bottom w:val="single" w:sz="6" w:space="0" w:color="C0C0C0"/>
              <w:right w:val="single" w:sz="4" w:space="0" w:color="auto"/>
            </w:tcBorders>
          </w:tcPr>
          <w:p w14:paraId="6D4D520B" w14:textId="3FC2770D" w:rsidR="00334CAF" w:rsidRPr="009C5581" w:rsidRDefault="00334CAF"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b/>
                <w:bCs/>
                <w:sz w:val="14"/>
                <w:szCs w:val="14"/>
              </w:rPr>
              <w:t>Based on corrected data</w:t>
            </w:r>
          </w:p>
        </w:tc>
        <w:tc>
          <w:tcPr>
            <w:tcW w:w="243" w:type="pct"/>
            <w:tcBorders>
              <w:left w:val="nil"/>
              <w:right w:val="nil"/>
            </w:tcBorders>
          </w:tcPr>
          <w:p w14:paraId="4A515DEA"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2E8CC5D5"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698E3E77"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10FF3D04"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2AD47781"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33F95A6B"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000E8A73"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48E20D82"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0" w:type="pct"/>
            <w:tcBorders>
              <w:left w:val="nil"/>
              <w:right w:val="nil"/>
            </w:tcBorders>
          </w:tcPr>
          <w:p w14:paraId="232D02C1"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10CF7504"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01C8D833"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sz w:val="14"/>
                <w:szCs w:val="14"/>
              </w:rPr>
            </w:pPr>
          </w:p>
        </w:tc>
        <w:tc>
          <w:tcPr>
            <w:tcW w:w="243" w:type="pct"/>
            <w:tcBorders>
              <w:left w:val="nil"/>
              <w:right w:val="nil"/>
            </w:tcBorders>
          </w:tcPr>
          <w:p w14:paraId="111AC36B"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4AC79DC4"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right w:val="nil"/>
            </w:tcBorders>
          </w:tcPr>
          <w:p w14:paraId="66FC3407"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4" w:type="pct"/>
            <w:tcBorders>
              <w:left w:val="nil"/>
            </w:tcBorders>
          </w:tcPr>
          <w:p w14:paraId="7464E9D9"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27" w:type="pct"/>
            <w:tcBorders>
              <w:right w:val="single" w:sz="4" w:space="0" w:color="auto"/>
            </w:tcBorders>
          </w:tcPr>
          <w:p w14:paraId="5E6C2CF4" w14:textId="77777777" w:rsidR="00334CAF" w:rsidRPr="009C5581" w:rsidRDefault="00334CAF"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19" w:type="pct"/>
            <w:tcBorders>
              <w:left w:val="single" w:sz="4" w:space="0" w:color="auto"/>
              <w:right w:val="single" w:sz="4" w:space="0" w:color="auto"/>
            </w:tcBorders>
          </w:tcPr>
          <w:p w14:paraId="7705880B" w14:textId="77777777" w:rsidR="00334CAF" w:rsidRPr="009C5581" w:rsidRDefault="00334CAF" w:rsidP="005C467B">
            <w:pPr>
              <w:autoSpaceDE w:val="0"/>
              <w:autoSpaceDN w:val="0"/>
              <w:adjustRightInd w:val="0"/>
              <w:spacing w:after="0" w:line="240" w:lineRule="auto"/>
              <w:jc w:val="center"/>
              <w:rPr>
                <w:rFonts w:ascii="Times New Roman" w:hAnsi="Times New Roman" w:cs="Times New Roman"/>
                <w:sz w:val="14"/>
                <w:szCs w:val="14"/>
              </w:rPr>
            </w:pPr>
          </w:p>
        </w:tc>
      </w:tr>
      <w:tr w:rsidR="005C467B" w:rsidRPr="009C5581" w14:paraId="667EE7EC" w14:textId="1CB4C702" w:rsidTr="00334CAF">
        <w:trPr>
          <w:cantSplit/>
          <w:trHeight w:val="20"/>
        </w:trPr>
        <w:tc>
          <w:tcPr>
            <w:tcW w:w="910" w:type="pct"/>
            <w:tcBorders>
              <w:top w:val="single" w:sz="6" w:space="0" w:color="C0C0C0"/>
              <w:left w:val="single" w:sz="4" w:space="0" w:color="auto"/>
              <w:bottom w:val="single" w:sz="4" w:space="0" w:color="auto"/>
              <w:right w:val="single" w:sz="4" w:space="0" w:color="auto"/>
            </w:tcBorders>
          </w:tcPr>
          <w:p w14:paraId="5DA4C7D4" w14:textId="6BF0F70F" w:rsidR="005C467B" w:rsidRPr="009C5581" w:rsidRDefault="005C467B" w:rsidP="005C467B">
            <w:pPr>
              <w:autoSpaceDE w:val="0"/>
              <w:autoSpaceDN w:val="0"/>
              <w:adjustRightInd w:val="0"/>
              <w:spacing w:after="0" w:line="240" w:lineRule="auto"/>
              <w:rPr>
                <w:rFonts w:ascii="Times New Roman" w:hAnsi="Times New Roman" w:cs="Times New Roman"/>
                <w:sz w:val="14"/>
                <w:szCs w:val="14"/>
              </w:rPr>
            </w:pPr>
            <w:r w:rsidRPr="009C5581">
              <w:rPr>
                <w:rFonts w:ascii="Times New Roman" w:hAnsi="Times New Roman" w:cs="Times New Roman"/>
                <w:sz w:val="14"/>
                <w:szCs w:val="14"/>
              </w:rPr>
              <w:t>Gini index</w:t>
            </w:r>
          </w:p>
        </w:tc>
        <w:tc>
          <w:tcPr>
            <w:tcW w:w="243" w:type="pct"/>
            <w:tcBorders>
              <w:left w:val="nil"/>
              <w:bottom w:val="single" w:sz="4" w:space="0" w:color="auto"/>
              <w:right w:val="nil"/>
            </w:tcBorders>
          </w:tcPr>
          <w:p w14:paraId="7B999C46" w14:textId="77777777"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p>
        </w:tc>
        <w:tc>
          <w:tcPr>
            <w:tcW w:w="243" w:type="pct"/>
            <w:tcBorders>
              <w:left w:val="nil"/>
              <w:bottom w:val="single" w:sz="4" w:space="0" w:color="auto"/>
              <w:right w:val="nil"/>
            </w:tcBorders>
          </w:tcPr>
          <w:p w14:paraId="2D703EC2" w14:textId="4329360B"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432A6550" w14:textId="4F2083E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4C7D874D" w14:textId="71E8A7B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06BC7BA1" w14:textId="591016B6"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sz w:val="14"/>
                <w:szCs w:val="14"/>
              </w:rPr>
              <w:t>51.8</w:t>
            </w:r>
          </w:p>
        </w:tc>
        <w:tc>
          <w:tcPr>
            <w:tcW w:w="243" w:type="pct"/>
            <w:tcBorders>
              <w:left w:val="nil"/>
              <w:bottom w:val="single" w:sz="4" w:space="0" w:color="auto"/>
              <w:right w:val="nil"/>
            </w:tcBorders>
          </w:tcPr>
          <w:p w14:paraId="0C67639A" w14:textId="381DC1A9"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07DF7D20" w14:textId="689B4A7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23CFD97E" w14:textId="2884511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0" w:type="pct"/>
            <w:tcBorders>
              <w:left w:val="nil"/>
              <w:bottom w:val="single" w:sz="4" w:space="0" w:color="auto"/>
              <w:right w:val="nil"/>
            </w:tcBorders>
          </w:tcPr>
          <w:p w14:paraId="77D77855" w14:textId="3FA56D15"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2030529C" w14:textId="48568AE8"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4DA9887F" w14:textId="3B1BBCAD" w:rsidR="005C467B" w:rsidRPr="009C5581" w:rsidRDefault="005C467B" w:rsidP="005C467B">
            <w:pPr>
              <w:autoSpaceDE w:val="0"/>
              <w:autoSpaceDN w:val="0"/>
              <w:adjustRightInd w:val="0"/>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78DDFCB7" w14:textId="785F446E"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7734F4B5" w14:textId="79D12E70"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3" w:type="pct"/>
            <w:tcBorders>
              <w:left w:val="nil"/>
              <w:bottom w:val="single" w:sz="4" w:space="0" w:color="auto"/>
              <w:right w:val="nil"/>
            </w:tcBorders>
          </w:tcPr>
          <w:p w14:paraId="459CCA40" w14:textId="33165FD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44" w:type="pct"/>
            <w:tcBorders>
              <w:left w:val="nil"/>
              <w:bottom w:val="single" w:sz="4" w:space="0" w:color="auto"/>
            </w:tcBorders>
          </w:tcPr>
          <w:p w14:paraId="2B07D4E4" w14:textId="7C669E21"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27" w:type="pct"/>
            <w:tcBorders>
              <w:bottom w:val="single" w:sz="4" w:space="0" w:color="auto"/>
              <w:right w:val="single" w:sz="4" w:space="0" w:color="auto"/>
            </w:tcBorders>
          </w:tcPr>
          <w:p w14:paraId="33580711" w14:textId="07CD5A98" w:rsidR="005C467B" w:rsidRPr="009C5581" w:rsidRDefault="005C467B" w:rsidP="005C467B">
            <w:pPr>
              <w:autoSpaceDE w:val="0"/>
              <w:autoSpaceDN w:val="0"/>
              <w:adjustRightInd w:val="0"/>
              <w:spacing w:after="0" w:line="240" w:lineRule="auto"/>
              <w:jc w:val="right"/>
              <w:rPr>
                <w:rFonts w:ascii="Times New Roman" w:hAnsi="Times New Roman" w:cs="Times New Roman"/>
                <w:sz w:val="14"/>
                <w:szCs w:val="14"/>
              </w:rPr>
            </w:pPr>
            <w:r w:rsidRPr="009C5581">
              <w:rPr>
                <w:rFonts w:ascii="Times New Roman" w:hAnsi="Times New Roman" w:cs="Times New Roman"/>
                <w:color w:val="000000"/>
                <w:sz w:val="14"/>
                <w:szCs w:val="14"/>
              </w:rPr>
              <w:t>..</w:t>
            </w:r>
          </w:p>
        </w:tc>
        <w:tc>
          <w:tcPr>
            <w:tcW w:w="219" w:type="pct"/>
            <w:tcBorders>
              <w:left w:val="single" w:sz="4" w:space="0" w:color="auto"/>
              <w:bottom w:val="single" w:sz="4" w:space="0" w:color="auto"/>
              <w:right w:val="single" w:sz="4" w:space="0" w:color="auto"/>
            </w:tcBorders>
          </w:tcPr>
          <w:p w14:paraId="5E435730" w14:textId="08085A82" w:rsidR="005C467B" w:rsidRPr="009C5581" w:rsidRDefault="005C467B" w:rsidP="005C467B">
            <w:pPr>
              <w:autoSpaceDE w:val="0"/>
              <w:autoSpaceDN w:val="0"/>
              <w:adjustRightInd w:val="0"/>
              <w:spacing w:after="0" w:line="240" w:lineRule="auto"/>
              <w:jc w:val="center"/>
              <w:rPr>
                <w:rFonts w:ascii="Times New Roman" w:hAnsi="Times New Roman" w:cs="Times New Roman"/>
                <w:sz w:val="14"/>
                <w:szCs w:val="14"/>
              </w:rPr>
            </w:pPr>
            <w:r w:rsidRPr="009C5581">
              <w:rPr>
                <w:rFonts w:ascii="Times New Roman" w:hAnsi="Times New Roman" w:cs="Times New Roman"/>
                <w:sz w:val="14"/>
                <w:szCs w:val="14"/>
              </w:rPr>
              <w:t>..</w:t>
            </w:r>
          </w:p>
        </w:tc>
      </w:tr>
    </w:tbl>
    <w:p w14:paraId="199023F1" w14:textId="669B891D" w:rsidR="009D3671" w:rsidRPr="009C5581" w:rsidRDefault="00EF2B26" w:rsidP="002E06A9">
      <w:pPr>
        <w:pStyle w:val="NoSpacing"/>
        <w:contextualSpacing/>
        <w:jc w:val="both"/>
        <w:rPr>
          <w:rFonts w:ascii="Times New Roman" w:hAnsi="Times New Roman" w:cs="Times New Roman"/>
          <w:sz w:val="16"/>
          <w:szCs w:val="16"/>
        </w:rPr>
      </w:pPr>
      <w:r w:rsidRPr="009C5581">
        <w:rPr>
          <w:rFonts w:ascii="Times New Roman" w:hAnsi="Times New Roman" w:cs="Times New Roman"/>
          <w:sz w:val="16"/>
          <w:szCs w:val="16"/>
        </w:rPr>
        <w:t xml:space="preserve">Source: </w:t>
      </w:r>
      <w:r w:rsidR="00672A3C" w:rsidRPr="009C5581">
        <w:rPr>
          <w:rFonts w:ascii="Times New Roman" w:hAnsi="Times New Roman" w:cs="Times New Roman"/>
          <w:sz w:val="16"/>
          <w:szCs w:val="16"/>
        </w:rPr>
        <w:t xml:space="preserve">World Bank, </w:t>
      </w:r>
      <w:r w:rsidR="00672A3C" w:rsidRPr="009C5581">
        <w:rPr>
          <w:rFonts w:ascii="Times New Roman" w:hAnsi="Times New Roman" w:cs="Times New Roman"/>
          <w:i/>
          <w:iCs/>
          <w:sz w:val="16"/>
          <w:szCs w:val="16"/>
        </w:rPr>
        <w:t>World Development Indicators</w:t>
      </w:r>
      <w:r w:rsidR="00672A3C" w:rsidRPr="009C5581">
        <w:rPr>
          <w:rFonts w:ascii="Times New Roman" w:hAnsi="Times New Roman" w:cs="Times New Roman"/>
          <w:sz w:val="16"/>
          <w:szCs w:val="16"/>
        </w:rPr>
        <w:t xml:space="preserve">. Palma </w:t>
      </w:r>
      <w:r w:rsidR="000D2A7E" w:rsidRPr="009C5581">
        <w:rPr>
          <w:rFonts w:ascii="Times New Roman" w:hAnsi="Times New Roman" w:cs="Times New Roman"/>
          <w:sz w:val="16"/>
          <w:szCs w:val="16"/>
        </w:rPr>
        <w:t>r</w:t>
      </w:r>
      <w:r w:rsidR="00672A3C" w:rsidRPr="009C5581">
        <w:rPr>
          <w:rFonts w:ascii="Times New Roman" w:hAnsi="Times New Roman" w:cs="Times New Roman"/>
          <w:sz w:val="16"/>
          <w:szCs w:val="16"/>
        </w:rPr>
        <w:t>atio: own calculation with World Bank data.</w:t>
      </w:r>
      <w:r w:rsidR="00394416" w:rsidRPr="009C5581">
        <w:rPr>
          <w:rFonts w:ascii="Times New Roman" w:hAnsi="Times New Roman" w:cs="Times New Roman"/>
          <w:sz w:val="16"/>
          <w:szCs w:val="16"/>
        </w:rPr>
        <w:t xml:space="preserve"> </w:t>
      </w:r>
      <w:r w:rsidR="00DF32A9" w:rsidRPr="009C5581">
        <w:rPr>
          <w:rFonts w:ascii="Times New Roman" w:hAnsi="Times New Roman" w:cs="Times New Roman"/>
          <w:sz w:val="16"/>
          <w:szCs w:val="16"/>
        </w:rPr>
        <w:t>KNBS (202</w:t>
      </w:r>
      <w:r w:rsidR="00DA2F8F" w:rsidRPr="009C5581">
        <w:rPr>
          <w:rFonts w:ascii="Times New Roman" w:hAnsi="Times New Roman" w:cs="Times New Roman"/>
          <w:sz w:val="16"/>
          <w:szCs w:val="16"/>
        </w:rPr>
        <w:t>0</w:t>
      </w:r>
      <w:r w:rsidR="00E02965" w:rsidRPr="009C5581">
        <w:rPr>
          <w:rFonts w:ascii="Times New Roman" w:hAnsi="Times New Roman" w:cs="Times New Roman"/>
          <w:sz w:val="16"/>
          <w:szCs w:val="16"/>
        </w:rPr>
        <w:t>b</w:t>
      </w:r>
      <w:r w:rsidR="00DF32A9" w:rsidRPr="009C5581">
        <w:rPr>
          <w:rFonts w:ascii="Times New Roman" w:hAnsi="Times New Roman" w:cs="Times New Roman"/>
          <w:sz w:val="16"/>
          <w:szCs w:val="16"/>
        </w:rPr>
        <w:t xml:space="preserve">) for </w:t>
      </w:r>
      <w:r w:rsidR="00F808BD" w:rsidRPr="009C5581">
        <w:rPr>
          <w:rFonts w:ascii="Times New Roman" w:hAnsi="Times New Roman" w:cs="Times New Roman"/>
          <w:sz w:val="16"/>
          <w:szCs w:val="16"/>
        </w:rPr>
        <w:t>inequality indices</w:t>
      </w:r>
      <w:r w:rsidR="00550301" w:rsidRPr="009C5581">
        <w:rPr>
          <w:rFonts w:ascii="Times New Roman" w:hAnsi="Times New Roman" w:cs="Times New Roman"/>
          <w:sz w:val="16"/>
          <w:szCs w:val="16"/>
        </w:rPr>
        <w:t xml:space="preserve"> and national poverty estimates</w:t>
      </w:r>
      <w:r w:rsidR="00DF32A9" w:rsidRPr="009C5581">
        <w:rPr>
          <w:rFonts w:ascii="Times New Roman" w:hAnsi="Times New Roman" w:cs="Times New Roman"/>
          <w:sz w:val="16"/>
          <w:szCs w:val="16"/>
        </w:rPr>
        <w:t>.</w:t>
      </w:r>
    </w:p>
    <w:p w14:paraId="49BF8614" w14:textId="0E85B252" w:rsidR="009D3671" w:rsidRPr="009C5581" w:rsidRDefault="009D3671" w:rsidP="001625B5">
      <w:pPr>
        <w:spacing w:after="0" w:line="240" w:lineRule="auto"/>
        <w:jc w:val="both"/>
        <w:rPr>
          <w:rFonts w:ascii="Times New Roman" w:eastAsia="Constantia" w:hAnsi="Times New Roman" w:cs="Times New Roman"/>
          <w:i/>
          <w:sz w:val="16"/>
          <w:szCs w:val="16"/>
          <w:lang w:eastAsia="en-GB"/>
        </w:rPr>
      </w:pPr>
      <w:r w:rsidRPr="009C5581">
        <w:rPr>
          <w:rFonts w:ascii="Times New Roman" w:eastAsia="Constantia" w:hAnsi="Times New Roman" w:cs="Times New Roman"/>
          <w:i/>
          <w:sz w:val="16"/>
          <w:szCs w:val="16"/>
          <w:lang w:eastAsia="en-GB"/>
        </w:rPr>
        <w:t>Note</w:t>
      </w:r>
      <w:r w:rsidR="0086217B" w:rsidRPr="009C5581">
        <w:rPr>
          <w:rFonts w:ascii="Times New Roman" w:eastAsia="Constantia" w:hAnsi="Times New Roman" w:cs="Times New Roman"/>
          <w:i/>
          <w:sz w:val="16"/>
          <w:szCs w:val="16"/>
          <w:lang w:eastAsia="en-GB"/>
        </w:rPr>
        <w:t>s</w:t>
      </w:r>
      <w:r w:rsidRPr="009C5581">
        <w:rPr>
          <w:rFonts w:ascii="Times New Roman" w:eastAsia="Constantia" w:hAnsi="Times New Roman" w:cs="Times New Roman"/>
          <w:i/>
          <w:sz w:val="16"/>
          <w:szCs w:val="16"/>
          <w:lang w:eastAsia="en-GB"/>
        </w:rPr>
        <w:t>:</w:t>
      </w:r>
      <w:r w:rsidR="00A76902" w:rsidRPr="009C5581">
        <w:rPr>
          <w:rFonts w:ascii="Times New Roman" w:eastAsia="Constantia" w:hAnsi="Times New Roman" w:cs="Times New Roman"/>
          <w:i/>
          <w:sz w:val="16"/>
          <w:szCs w:val="16"/>
          <w:lang w:eastAsia="en-GB"/>
        </w:rPr>
        <w:t xml:space="preserve"> Figures for poverty and inequality are based on </w:t>
      </w:r>
      <w:r w:rsidR="00715A62" w:rsidRPr="009C5581">
        <w:rPr>
          <w:rFonts w:ascii="Times New Roman" w:eastAsia="Constantia" w:hAnsi="Times New Roman" w:cs="Times New Roman"/>
          <w:i/>
          <w:sz w:val="16"/>
          <w:szCs w:val="16"/>
          <w:lang w:eastAsia="en-GB"/>
        </w:rPr>
        <w:t>the</w:t>
      </w:r>
      <w:r w:rsidR="00074AE1" w:rsidRPr="009C5581">
        <w:rPr>
          <w:rFonts w:ascii="Times New Roman" w:eastAsia="Constantia" w:hAnsi="Times New Roman" w:cs="Times New Roman"/>
          <w:i/>
          <w:sz w:val="16"/>
          <w:szCs w:val="16"/>
          <w:lang w:eastAsia="en-GB"/>
        </w:rPr>
        <w:t xml:space="preserve"> Welfare Monitoring Survey (W</w:t>
      </w:r>
      <w:r w:rsidR="00C40984" w:rsidRPr="009C5581">
        <w:rPr>
          <w:rFonts w:ascii="Times New Roman" w:eastAsia="Constantia" w:hAnsi="Times New Roman" w:cs="Times New Roman"/>
          <w:i/>
          <w:sz w:val="16"/>
          <w:szCs w:val="16"/>
          <w:lang w:eastAsia="en-GB"/>
        </w:rPr>
        <w:t>M</w:t>
      </w:r>
      <w:r w:rsidR="00074AE1" w:rsidRPr="009C5581">
        <w:rPr>
          <w:rFonts w:ascii="Times New Roman" w:eastAsia="Constantia" w:hAnsi="Times New Roman" w:cs="Times New Roman"/>
          <w:i/>
          <w:sz w:val="16"/>
          <w:szCs w:val="16"/>
          <w:lang w:eastAsia="en-GB"/>
        </w:rPr>
        <w:t>S</w:t>
      </w:r>
      <w:r w:rsidR="00C40984" w:rsidRPr="009C5581">
        <w:rPr>
          <w:rFonts w:ascii="Times New Roman" w:eastAsia="Constantia" w:hAnsi="Times New Roman" w:cs="Times New Roman"/>
          <w:i/>
          <w:sz w:val="16"/>
          <w:szCs w:val="16"/>
          <w:lang w:eastAsia="en-GB"/>
        </w:rPr>
        <w:t xml:space="preserve">) conducted in </w:t>
      </w:r>
      <w:r w:rsidR="001B1332" w:rsidRPr="009C5581">
        <w:rPr>
          <w:rFonts w:ascii="Times New Roman" w:eastAsia="Constantia" w:hAnsi="Times New Roman" w:cs="Times New Roman"/>
          <w:i/>
          <w:sz w:val="16"/>
          <w:szCs w:val="16"/>
          <w:lang w:eastAsia="en-GB"/>
        </w:rPr>
        <w:t xml:space="preserve">1994 </w:t>
      </w:r>
      <w:r w:rsidR="00C40984" w:rsidRPr="009C5581">
        <w:rPr>
          <w:rFonts w:ascii="Times New Roman" w:eastAsia="Constantia" w:hAnsi="Times New Roman" w:cs="Times New Roman"/>
          <w:i/>
          <w:sz w:val="16"/>
          <w:szCs w:val="16"/>
          <w:lang w:eastAsia="en-GB"/>
        </w:rPr>
        <w:t>and the</w:t>
      </w:r>
      <w:r w:rsidR="00715A62" w:rsidRPr="009C5581">
        <w:rPr>
          <w:rFonts w:ascii="Times New Roman" w:eastAsia="Constantia" w:hAnsi="Times New Roman" w:cs="Times New Roman"/>
          <w:i/>
          <w:sz w:val="16"/>
          <w:szCs w:val="16"/>
          <w:lang w:eastAsia="en-GB"/>
        </w:rPr>
        <w:t xml:space="preserve"> Kenya Integrated Budget Household Survey (KIBHS) </w:t>
      </w:r>
      <w:r w:rsidR="0029593E" w:rsidRPr="009C5581">
        <w:rPr>
          <w:rFonts w:ascii="Times New Roman" w:eastAsia="Constantia" w:hAnsi="Times New Roman" w:cs="Times New Roman"/>
          <w:i/>
          <w:sz w:val="16"/>
          <w:szCs w:val="16"/>
          <w:lang w:eastAsia="en-GB"/>
        </w:rPr>
        <w:t xml:space="preserve">conducted in </w:t>
      </w:r>
      <w:r w:rsidR="00A76902" w:rsidRPr="009C5581">
        <w:rPr>
          <w:rFonts w:ascii="Times New Roman" w:eastAsia="Constantia" w:hAnsi="Times New Roman" w:cs="Times New Roman"/>
          <w:i/>
          <w:sz w:val="16"/>
          <w:szCs w:val="16"/>
          <w:lang w:eastAsia="en-GB"/>
        </w:rPr>
        <w:t>2005/06 and 2015/16</w:t>
      </w:r>
      <w:r w:rsidR="002E0CEA" w:rsidRPr="009C5581">
        <w:rPr>
          <w:rFonts w:ascii="Times New Roman" w:eastAsia="Constantia" w:hAnsi="Times New Roman" w:cs="Times New Roman"/>
          <w:i/>
          <w:sz w:val="16"/>
          <w:szCs w:val="16"/>
          <w:lang w:eastAsia="en-GB"/>
        </w:rPr>
        <w:t>,</w:t>
      </w:r>
      <w:r w:rsidR="00A76902" w:rsidRPr="009C5581">
        <w:rPr>
          <w:rFonts w:ascii="Times New Roman" w:eastAsia="Constantia" w:hAnsi="Times New Roman" w:cs="Times New Roman"/>
          <w:i/>
          <w:sz w:val="16"/>
          <w:szCs w:val="16"/>
          <w:lang w:eastAsia="en-GB"/>
        </w:rPr>
        <w:t xml:space="preserve"> respectively. </w:t>
      </w:r>
      <w:r w:rsidRPr="009C5581">
        <w:rPr>
          <w:rFonts w:ascii="Times New Roman" w:eastAsia="Constantia" w:hAnsi="Times New Roman" w:cs="Times New Roman"/>
          <w:i/>
          <w:sz w:val="16"/>
          <w:szCs w:val="16"/>
          <w:lang w:eastAsia="en-GB"/>
        </w:rPr>
        <w:t>Cumulative change below 10% over the past f</w:t>
      </w:r>
      <w:r w:rsidR="004558CA" w:rsidRPr="009C5581">
        <w:rPr>
          <w:rFonts w:ascii="Times New Roman" w:eastAsia="Constantia" w:hAnsi="Times New Roman" w:cs="Times New Roman"/>
          <w:i/>
          <w:sz w:val="16"/>
          <w:szCs w:val="16"/>
          <w:lang w:eastAsia="en-GB"/>
        </w:rPr>
        <w:t>ive</w:t>
      </w:r>
      <w:r w:rsidRPr="009C5581">
        <w:rPr>
          <w:rFonts w:ascii="Times New Roman" w:eastAsia="Constantia" w:hAnsi="Times New Roman" w:cs="Times New Roman"/>
          <w:i/>
          <w:sz w:val="16"/>
          <w:szCs w:val="16"/>
          <w:lang w:eastAsia="en-GB"/>
        </w:rPr>
        <w:t xml:space="preserve"> years are indicated as zero to account for margins of error in estimation. </w:t>
      </w:r>
    </w:p>
    <w:p w14:paraId="3F81F13E" w14:textId="77777777" w:rsidR="00386D3B" w:rsidRPr="009C5581" w:rsidRDefault="00386D3B">
      <w:pPr>
        <w:rPr>
          <w:rFonts w:ascii="Times New Roman" w:hAnsi="Times New Roman" w:cs="Times New Roman"/>
          <w:b/>
          <w:bCs/>
          <w:sz w:val="20"/>
          <w:szCs w:val="20"/>
        </w:rPr>
      </w:pPr>
      <w:bookmarkStart w:id="16" w:name="_Ref118726000"/>
      <w:r w:rsidRPr="009C5581">
        <w:rPr>
          <w:rFonts w:ascii="Times New Roman" w:hAnsi="Times New Roman" w:cs="Times New Roman"/>
          <w:b/>
          <w:bCs/>
          <w:sz w:val="20"/>
          <w:szCs w:val="20"/>
        </w:rPr>
        <w:br w:type="page"/>
      </w:r>
    </w:p>
    <w:p w14:paraId="2C154366" w14:textId="2286A274" w:rsidR="00A55FA7" w:rsidRPr="009C5581" w:rsidRDefault="00A55FA7" w:rsidP="001625B5">
      <w:pPr>
        <w:spacing w:before="120" w:after="0" w:line="240" w:lineRule="auto"/>
        <w:jc w:val="center"/>
        <w:rPr>
          <w:rFonts w:ascii="Times New Roman" w:hAnsi="Times New Roman" w:cs="Times New Roman"/>
          <w:sz w:val="20"/>
          <w:szCs w:val="20"/>
        </w:rPr>
      </w:pPr>
      <w:bookmarkStart w:id="17" w:name="_Ref137807718"/>
      <w:bookmarkStart w:id="18" w:name="_Toc144414573"/>
      <w:r w:rsidRPr="009C5581">
        <w:rPr>
          <w:rFonts w:ascii="Times New Roman" w:hAnsi="Times New Roman" w:cs="Times New Roman"/>
          <w:b/>
          <w:bCs/>
          <w:sz w:val="20"/>
          <w:szCs w:val="20"/>
        </w:rPr>
        <w:t xml:space="preserve">Figure </w:t>
      </w:r>
      <w:r w:rsidR="00B84F08" w:rsidRPr="009C5581">
        <w:rPr>
          <w:rFonts w:ascii="Times New Roman" w:hAnsi="Times New Roman" w:cs="Times New Roman"/>
          <w:b/>
          <w:bCs/>
          <w:sz w:val="20"/>
          <w:szCs w:val="20"/>
        </w:rPr>
        <w:fldChar w:fldCharType="begin"/>
      </w:r>
      <w:r w:rsidR="00B84F08" w:rsidRPr="009C5581">
        <w:rPr>
          <w:rFonts w:ascii="Times New Roman" w:hAnsi="Times New Roman" w:cs="Times New Roman"/>
          <w:b/>
          <w:bCs/>
          <w:sz w:val="20"/>
          <w:szCs w:val="20"/>
        </w:rPr>
        <w:instrText xml:space="preserve"> SEQ Figure \* ARABIC </w:instrText>
      </w:r>
      <w:r w:rsidR="00B84F08"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1</w:t>
      </w:r>
      <w:r w:rsidR="00B84F08" w:rsidRPr="009C5581">
        <w:rPr>
          <w:rFonts w:ascii="Times New Roman" w:hAnsi="Times New Roman" w:cs="Times New Roman"/>
          <w:b/>
          <w:bCs/>
          <w:sz w:val="20"/>
          <w:szCs w:val="20"/>
        </w:rPr>
        <w:fldChar w:fldCharType="end"/>
      </w:r>
      <w:bookmarkEnd w:id="17"/>
      <w:r w:rsidRPr="009C5581">
        <w:rPr>
          <w:rFonts w:ascii="Times New Roman" w:hAnsi="Times New Roman" w:cs="Times New Roman"/>
          <w:sz w:val="20"/>
          <w:szCs w:val="20"/>
        </w:rPr>
        <w:t>: Development of GDP, 2000-2021</w:t>
      </w:r>
      <w:bookmarkEnd w:id="18"/>
    </w:p>
    <w:p w14:paraId="46C75E8B" w14:textId="77777777" w:rsidR="00A55FA7" w:rsidRPr="009C5581" w:rsidRDefault="00A55FA7" w:rsidP="00A55FA7">
      <w:pPr>
        <w:tabs>
          <w:tab w:val="left" w:pos="2427"/>
        </w:tabs>
        <w:spacing w:after="120" w:line="240" w:lineRule="auto"/>
        <w:jc w:val="both"/>
        <w:rPr>
          <w:rFonts w:ascii="Times New Roman" w:hAnsi="Times New Roman" w:cs="Times New Roman"/>
        </w:rPr>
      </w:pPr>
      <w:r w:rsidRPr="009C5581">
        <w:rPr>
          <w:rFonts w:ascii="Times New Roman" w:hAnsi="Times New Roman" w:cs="Times New Roman"/>
          <w:noProof/>
        </w:rPr>
        <w:t xml:space="preserve"> </w:t>
      </w:r>
      <w:r w:rsidRPr="009C5581">
        <w:rPr>
          <w:noProof/>
          <w:lang w:val="en-US"/>
        </w:rPr>
        <w:drawing>
          <wp:inline distT="0" distB="0" distL="0" distR="0" wp14:anchorId="5DE75895" wp14:editId="2B08F3A9">
            <wp:extent cx="2891155" cy="2226046"/>
            <wp:effectExtent l="0" t="0" r="4445" b="3175"/>
            <wp:docPr id="1" name="Chart 1">
              <a:extLst xmlns:a="http://schemas.openxmlformats.org/drawingml/2006/main">
                <a:ext uri="{FF2B5EF4-FFF2-40B4-BE49-F238E27FC236}">
                  <a16:creationId xmlns:a16="http://schemas.microsoft.com/office/drawing/2014/main" id="{995E4EA5-69C0-80DD-7520-6102B4254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C5581">
        <w:rPr>
          <w:noProof/>
          <w:lang w:val="en-US"/>
        </w:rPr>
        <w:drawing>
          <wp:inline distT="0" distB="0" distL="0" distR="0" wp14:anchorId="5F06E3F8" wp14:editId="079A67A7">
            <wp:extent cx="2968625" cy="2226343"/>
            <wp:effectExtent l="0" t="0" r="3175" b="2540"/>
            <wp:docPr id="3" name="Chart 3">
              <a:extLst xmlns:a="http://schemas.openxmlformats.org/drawingml/2006/main">
                <a:ext uri="{FF2B5EF4-FFF2-40B4-BE49-F238E27FC236}">
                  <a16:creationId xmlns:a16="http://schemas.microsoft.com/office/drawing/2014/main" id="{33E2A2BC-2E52-1096-648A-949473A8E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82E711" w14:textId="77777777" w:rsidR="00A55FA7" w:rsidRPr="009C5581" w:rsidRDefault="00A55FA7" w:rsidP="00A55FA7">
      <w:pPr>
        <w:tabs>
          <w:tab w:val="left" w:pos="2427"/>
        </w:tabs>
        <w:spacing w:after="120" w:line="240" w:lineRule="auto"/>
        <w:jc w:val="center"/>
        <w:rPr>
          <w:rFonts w:ascii="Times New Roman" w:hAnsi="Times New Roman" w:cs="Times New Roman"/>
        </w:rPr>
      </w:pPr>
      <w:r w:rsidRPr="009C5581">
        <w:rPr>
          <w:rFonts w:ascii="Times New Roman" w:hAnsi="Times New Roman" w:cs="Times New Roman"/>
          <w:sz w:val="16"/>
          <w:szCs w:val="16"/>
        </w:rPr>
        <w:t xml:space="preserve">Source: World Bank, </w:t>
      </w:r>
      <w:r w:rsidRPr="009C5581">
        <w:rPr>
          <w:rFonts w:ascii="Times New Roman" w:hAnsi="Times New Roman" w:cs="Times New Roman"/>
          <w:i/>
          <w:iCs/>
          <w:sz w:val="16"/>
          <w:szCs w:val="16"/>
        </w:rPr>
        <w:t>World Development Indicators</w:t>
      </w:r>
      <w:r w:rsidRPr="009C5581">
        <w:rPr>
          <w:rFonts w:ascii="Times New Roman" w:hAnsi="Times New Roman" w:cs="Times New Roman"/>
          <w:sz w:val="16"/>
          <w:szCs w:val="16"/>
        </w:rPr>
        <w:t>.</w:t>
      </w:r>
    </w:p>
    <w:p w14:paraId="73DA749C" w14:textId="127CB153" w:rsidR="00645595" w:rsidRPr="00346D1C" w:rsidRDefault="008A68A8" w:rsidP="00645595">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 xml:space="preserve">According to the World Development Indicators, </w:t>
      </w:r>
      <w:r w:rsidR="00C14AF5" w:rsidRPr="00346D1C">
        <w:rPr>
          <w:rFonts w:ascii="Georgia" w:hAnsi="Georgia" w:cs="Times New Roman"/>
          <w:sz w:val="24"/>
          <w:szCs w:val="24"/>
        </w:rPr>
        <w:t>a</w:t>
      </w:r>
      <w:r w:rsidR="00645595" w:rsidRPr="00346D1C">
        <w:rPr>
          <w:rFonts w:ascii="Georgia" w:hAnsi="Georgia" w:cs="Times New Roman"/>
          <w:sz w:val="24"/>
          <w:szCs w:val="24"/>
        </w:rPr>
        <w:t>pproximately 64% of the Kenyan population lived in monetary poverty in 2005, earning less than USD 3.65 per day. The poverty incidence decreased to 60% in 2015</w:t>
      </w:r>
      <w:r w:rsidR="004E4356" w:rsidRPr="00346D1C">
        <w:rPr>
          <w:rFonts w:ascii="Georgia" w:hAnsi="Georgia" w:cs="Times New Roman"/>
          <w:sz w:val="24"/>
          <w:szCs w:val="24"/>
        </w:rPr>
        <w:t xml:space="preserve"> but</w:t>
      </w:r>
      <w:r w:rsidR="00647335" w:rsidRPr="00346D1C">
        <w:rPr>
          <w:rFonts w:ascii="Georgia" w:hAnsi="Georgia" w:cs="Times New Roman"/>
          <w:sz w:val="24"/>
          <w:szCs w:val="24"/>
        </w:rPr>
        <w:t xml:space="preserve"> was still much higher than</w:t>
      </w:r>
      <w:r w:rsidR="00CE1C48" w:rsidRPr="00346D1C">
        <w:rPr>
          <w:rFonts w:ascii="Georgia" w:hAnsi="Georgia" w:cs="Times New Roman"/>
          <w:sz w:val="24"/>
          <w:szCs w:val="24"/>
        </w:rPr>
        <w:t xml:space="preserve"> </w:t>
      </w:r>
      <w:r w:rsidR="004E14F9" w:rsidRPr="00346D1C">
        <w:rPr>
          <w:rFonts w:ascii="Georgia" w:hAnsi="Georgia" w:cs="Times New Roman"/>
          <w:sz w:val="24"/>
          <w:szCs w:val="24"/>
        </w:rPr>
        <w:t xml:space="preserve">the </w:t>
      </w:r>
      <w:r w:rsidR="00285135" w:rsidRPr="00346D1C">
        <w:rPr>
          <w:rFonts w:ascii="Georgia" w:hAnsi="Georgia" w:cs="Times New Roman"/>
          <w:sz w:val="24"/>
          <w:szCs w:val="24"/>
        </w:rPr>
        <w:t>5</w:t>
      </w:r>
      <w:r w:rsidR="004E14F9" w:rsidRPr="00346D1C">
        <w:rPr>
          <w:rFonts w:ascii="Georgia" w:hAnsi="Georgia" w:cs="Times New Roman"/>
          <w:sz w:val="24"/>
          <w:szCs w:val="24"/>
        </w:rPr>
        <w:t>4%</w:t>
      </w:r>
      <w:r w:rsidR="00647335" w:rsidRPr="00346D1C">
        <w:rPr>
          <w:rFonts w:ascii="Georgia" w:hAnsi="Georgia" w:cs="Times New Roman"/>
          <w:sz w:val="24"/>
          <w:szCs w:val="24"/>
        </w:rPr>
        <w:t xml:space="preserve"> </w:t>
      </w:r>
      <w:r w:rsidR="004947A7" w:rsidRPr="00346D1C">
        <w:rPr>
          <w:rFonts w:ascii="Georgia" w:hAnsi="Georgia" w:cs="Times New Roman"/>
          <w:sz w:val="24"/>
          <w:szCs w:val="24"/>
        </w:rPr>
        <w:t xml:space="preserve">of the population that was </w:t>
      </w:r>
      <w:r w:rsidR="00B51C63" w:rsidRPr="00346D1C">
        <w:rPr>
          <w:rFonts w:ascii="Georgia" w:hAnsi="Georgia" w:cs="Times New Roman"/>
          <w:sz w:val="24"/>
          <w:szCs w:val="24"/>
        </w:rPr>
        <w:t xml:space="preserve">poor </w:t>
      </w:r>
      <w:r w:rsidR="00647335" w:rsidRPr="00346D1C">
        <w:rPr>
          <w:rFonts w:ascii="Georgia" w:hAnsi="Georgia" w:cs="Times New Roman"/>
          <w:sz w:val="24"/>
          <w:szCs w:val="24"/>
        </w:rPr>
        <w:t>in 1994</w:t>
      </w:r>
      <w:r w:rsidR="00645595" w:rsidRPr="00346D1C">
        <w:rPr>
          <w:rFonts w:ascii="Georgia" w:hAnsi="Georgia" w:cs="Times New Roman"/>
          <w:sz w:val="24"/>
          <w:szCs w:val="24"/>
        </w:rPr>
        <w:t xml:space="preserve">. Extreme poverty also declined in </w:t>
      </w:r>
      <w:r w:rsidR="0079451B" w:rsidRPr="00346D1C">
        <w:rPr>
          <w:rFonts w:ascii="Georgia" w:hAnsi="Georgia" w:cs="Times New Roman"/>
          <w:sz w:val="24"/>
          <w:szCs w:val="24"/>
        </w:rPr>
        <w:t>2005-2015</w:t>
      </w:r>
      <w:r w:rsidR="00645595" w:rsidRPr="00346D1C">
        <w:rPr>
          <w:rFonts w:ascii="Georgia" w:hAnsi="Georgia" w:cs="Times New Roman"/>
          <w:sz w:val="24"/>
          <w:szCs w:val="24"/>
        </w:rPr>
        <w:t>, from 37% to 29%.</w:t>
      </w:r>
    </w:p>
    <w:p w14:paraId="1EB88999" w14:textId="42424A06" w:rsidR="00645595" w:rsidRPr="00346D1C" w:rsidRDefault="00645595" w:rsidP="00645595">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 xml:space="preserve">KNBS (2020a: 14) used a different poverty line and estimated that 36% of the population was </w:t>
      </w:r>
      <w:r w:rsidR="003152F6" w:rsidRPr="00346D1C">
        <w:rPr>
          <w:rFonts w:ascii="Georgia" w:hAnsi="Georgia" w:cs="Times New Roman"/>
          <w:sz w:val="24"/>
          <w:szCs w:val="24"/>
        </w:rPr>
        <w:t xml:space="preserve">monetary </w:t>
      </w:r>
      <w:r w:rsidRPr="00346D1C">
        <w:rPr>
          <w:rFonts w:ascii="Georgia" w:hAnsi="Georgia" w:cs="Times New Roman"/>
          <w:sz w:val="24"/>
          <w:szCs w:val="24"/>
        </w:rPr>
        <w:t>poor in 2015/16.</w:t>
      </w:r>
      <w:r w:rsidR="003152F6" w:rsidRPr="00346D1C">
        <w:rPr>
          <w:rFonts w:ascii="Georgia" w:hAnsi="Georgia" w:cs="Times New Roman"/>
          <w:sz w:val="24"/>
          <w:szCs w:val="24"/>
        </w:rPr>
        <w:t xml:space="preserve"> </w:t>
      </w:r>
      <w:r w:rsidR="00F546C9" w:rsidRPr="00346D1C">
        <w:rPr>
          <w:rFonts w:ascii="Georgia" w:hAnsi="Georgia" w:cs="Times New Roman"/>
          <w:sz w:val="24"/>
          <w:szCs w:val="24"/>
        </w:rPr>
        <w:t xml:space="preserve">This estimate compares with </w:t>
      </w:r>
      <w:r w:rsidR="00A56D93" w:rsidRPr="00346D1C">
        <w:rPr>
          <w:rFonts w:ascii="Georgia" w:hAnsi="Georgia" w:cs="Times New Roman"/>
          <w:sz w:val="24"/>
          <w:szCs w:val="24"/>
        </w:rPr>
        <w:t xml:space="preserve">a headcount rate of 40% in 1994 </w:t>
      </w:r>
      <w:r w:rsidR="00B04EF7" w:rsidRPr="00346D1C">
        <w:rPr>
          <w:rFonts w:ascii="Georgia" w:hAnsi="Georgia" w:cs="Times New Roman"/>
          <w:sz w:val="24"/>
          <w:szCs w:val="24"/>
        </w:rPr>
        <w:t xml:space="preserve">presented in the </w:t>
      </w:r>
      <w:r w:rsidR="00A56D93" w:rsidRPr="00346D1C">
        <w:rPr>
          <w:rFonts w:ascii="Georgia" w:hAnsi="Georgia" w:cs="Times New Roman"/>
          <w:sz w:val="24"/>
          <w:szCs w:val="24"/>
        </w:rPr>
        <w:t>Wor</w:t>
      </w:r>
      <w:r w:rsidR="00B04EF7" w:rsidRPr="00346D1C">
        <w:rPr>
          <w:rFonts w:ascii="Georgia" w:hAnsi="Georgia" w:cs="Times New Roman"/>
          <w:sz w:val="24"/>
          <w:szCs w:val="24"/>
        </w:rPr>
        <w:t>ld Development Indicators.</w:t>
      </w:r>
      <w:r w:rsidR="00891149" w:rsidRPr="00346D1C">
        <w:rPr>
          <w:rStyle w:val="FootnoteReference"/>
          <w:rFonts w:ascii="Georgia" w:hAnsi="Georgia" w:cs="Times New Roman"/>
          <w:sz w:val="24"/>
          <w:szCs w:val="24"/>
        </w:rPr>
        <w:footnoteReference w:id="8"/>
      </w:r>
      <w:r w:rsidRPr="00346D1C">
        <w:rPr>
          <w:rFonts w:ascii="Georgia" w:hAnsi="Georgia" w:cs="Times New Roman"/>
          <w:sz w:val="24"/>
          <w:szCs w:val="24"/>
        </w:rPr>
        <w:t xml:space="preserve"> The incidence of monetary poverty</w:t>
      </w:r>
      <w:r w:rsidR="00B04EF7" w:rsidRPr="00346D1C">
        <w:rPr>
          <w:rFonts w:ascii="Georgia" w:hAnsi="Georgia" w:cs="Times New Roman"/>
          <w:sz w:val="24"/>
          <w:szCs w:val="24"/>
        </w:rPr>
        <w:t xml:space="preserve"> in 2015/16</w:t>
      </w:r>
      <w:r w:rsidRPr="00346D1C">
        <w:rPr>
          <w:rFonts w:ascii="Georgia" w:hAnsi="Georgia" w:cs="Times New Roman"/>
          <w:sz w:val="24"/>
          <w:szCs w:val="24"/>
        </w:rPr>
        <w:t xml:space="preserve"> partially overlapped with the incidence of multidimensional poverty: 27% of the population was poor according to both definitions, 26% was multidimensionally poor only (hence, overall, the multidimensional poverty incidence was 53%), while another 9% was monetary poor only. On average, the poverty rate was not different for men and women, but monetary poverty was above-average among children under 18. In comparison, the multidimensional poverty incidence was above-average among adult and elderly women. At the same time, estimates according to both definitions clearly indicate that rural poverty was much higher than urban poverty. The degree of poverty also differed across the 47 counties of Kenya, with the monetary poverty incidence in 2015/16 ranging from 17% in Nairobi to 79% in Turkana (</w:t>
      </w:r>
      <w:r w:rsidR="00D11B9B" w:rsidRPr="00346D1C">
        <w:rPr>
          <w:rFonts w:ascii="Georgia" w:hAnsi="Georgia" w:cs="Times New Roman"/>
          <w:sz w:val="24"/>
          <w:szCs w:val="24"/>
        </w:rPr>
        <w:fldChar w:fldCharType="begin"/>
      </w:r>
      <w:r w:rsidR="00D11B9B" w:rsidRPr="00346D1C">
        <w:rPr>
          <w:rFonts w:ascii="Georgia" w:hAnsi="Georgia" w:cs="Times New Roman"/>
          <w:sz w:val="24"/>
          <w:szCs w:val="24"/>
        </w:rPr>
        <w:instrText xml:space="preserve"> REF _Ref137807750 \h  \* MERGEFORMAT </w:instrText>
      </w:r>
      <w:r w:rsidR="00D11B9B" w:rsidRPr="00346D1C">
        <w:rPr>
          <w:rFonts w:ascii="Georgia" w:hAnsi="Georgia" w:cs="Times New Roman"/>
          <w:sz w:val="24"/>
          <w:szCs w:val="24"/>
        </w:rPr>
      </w:r>
      <w:r w:rsidR="00D11B9B"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2</w:t>
      </w:r>
      <w:r w:rsidR="00D11B9B" w:rsidRPr="00346D1C">
        <w:rPr>
          <w:rFonts w:ascii="Georgia" w:hAnsi="Georgia" w:cs="Times New Roman"/>
          <w:sz w:val="24"/>
          <w:szCs w:val="24"/>
        </w:rPr>
        <w:fldChar w:fldCharType="end"/>
      </w:r>
      <w:r w:rsidRPr="00346D1C">
        <w:rPr>
          <w:rFonts w:ascii="Georgia" w:hAnsi="Georgia" w:cs="Times New Roman"/>
          <w:sz w:val="24"/>
          <w:szCs w:val="24"/>
        </w:rPr>
        <w:t>).</w:t>
      </w:r>
    </w:p>
    <w:p w14:paraId="0CE22796" w14:textId="66A90013" w:rsidR="000455C3" w:rsidRPr="00346D1C" w:rsidRDefault="00DB3F37" w:rsidP="00645595">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Estimate</w:t>
      </w:r>
      <w:r w:rsidR="00DA418B" w:rsidRPr="00346D1C">
        <w:rPr>
          <w:rFonts w:ascii="Georgia" w:hAnsi="Georgia" w:cs="Times New Roman"/>
          <w:sz w:val="24"/>
          <w:szCs w:val="24"/>
        </w:rPr>
        <w:t>s</w:t>
      </w:r>
      <w:r w:rsidR="00C50FDD" w:rsidRPr="00346D1C">
        <w:rPr>
          <w:rFonts w:ascii="Georgia" w:hAnsi="Georgia" w:cs="Times New Roman"/>
          <w:sz w:val="24"/>
          <w:szCs w:val="24"/>
        </w:rPr>
        <w:t xml:space="preserve"> for recent years</w:t>
      </w:r>
      <w:r w:rsidR="00DA418B" w:rsidRPr="00346D1C">
        <w:rPr>
          <w:rFonts w:ascii="Georgia" w:hAnsi="Georgia" w:cs="Times New Roman"/>
          <w:sz w:val="24"/>
          <w:szCs w:val="24"/>
        </w:rPr>
        <w:t xml:space="preserve"> </w:t>
      </w:r>
      <w:r w:rsidRPr="00346D1C">
        <w:rPr>
          <w:rFonts w:ascii="Georgia" w:hAnsi="Georgia" w:cs="Times New Roman"/>
          <w:sz w:val="24"/>
          <w:szCs w:val="24"/>
        </w:rPr>
        <w:t>based on the Kenya Continuous Household Surveys</w:t>
      </w:r>
      <w:r w:rsidR="00DA418B" w:rsidRPr="00346D1C">
        <w:rPr>
          <w:rFonts w:ascii="Georgia" w:hAnsi="Georgia" w:cs="Times New Roman"/>
          <w:sz w:val="24"/>
          <w:szCs w:val="24"/>
        </w:rPr>
        <w:t xml:space="preserve"> </w:t>
      </w:r>
      <w:r w:rsidR="000B0BC2" w:rsidRPr="00346D1C">
        <w:rPr>
          <w:rFonts w:ascii="Georgia" w:hAnsi="Georgia" w:cs="Times New Roman"/>
          <w:sz w:val="24"/>
          <w:szCs w:val="24"/>
        </w:rPr>
        <w:t xml:space="preserve">show a decrease of the </w:t>
      </w:r>
      <w:r w:rsidR="00526006" w:rsidRPr="00346D1C">
        <w:rPr>
          <w:rFonts w:ascii="Georgia" w:hAnsi="Georgia" w:cs="Times New Roman"/>
          <w:sz w:val="24"/>
          <w:szCs w:val="24"/>
        </w:rPr>
        <w:t xml:space="preserve">monetary </w:t>
      </w:r>
      <w:r w:rsidR="000B0BC2" w:rsidRPr="00346D1C">
        <w:rPr>
          <w:rFonts w:ascii="Georgia" w:hAnsi="Georgia" w:cs="Times New Roman"/>
          <w:sz w:val="24"/>
          <w:szCs w:val="24"/>
        </w:rPr>
        <w:t>poverty incidence</w:t>
      </w:r>
      <w:r w:rsidR="00526006" w:rsidRPr="00346D1C">
        <w:rPr>
          <w:rFonts w:ascii="Georgia" w:hAnsi="Georgia" w:cs="Times New Roman"/>
          <w:sz w:val="24"/>
          <w:szCs w:val="24"/>
        </w:rPr>
        <w:t xml:space="preserve"> to 34% in 2019</w:t>
      </w:r>
      <w:r w:rsidR="001545C9" w:rsidRPr="00346D1C">
        <w:rPr>
          <w:rFonts w:ascii="Georgia" w:hAnsi="Georgia" w:cs="Times New Roman"/>
          <w:sz w:val="24"/>
          <w:szCs w:val="24"/>
        </w:rPr>
        <w:t xml:space="preserve"> (from 36% in 2015/16)</w:t>
      </w:r>
      <w:r w:rsidR="00526006" w:rsidRPr="00346D1C">
        <w:rPr>
          <w:rFonts w:ascii="Georgia" w:hAnsi="Georgia" w:cs="Times New Roman"/>
          <w:sz w:val="24"/>
          <w:szCs w:val="24"/>
        </w:rPr>
        <w:t xml:space="preserve">, </w:t>
      </w:r>
      <w:r w:rsidR="007726D7" w:rsidRPr="00346D1C">
        <w:rPr>
          <w:rFonts w:ascii="Georgia" w:hAnsi="Georgia" w:cs="Times New Roman"/>
          <w:sz w:val="24"/>
          <w:szCs w:val="24"/>
        </w:rPr>
        <w:t xml:space="preserve">followed by a sharp rise to 43% in the first year of the </w:t>
      </w:r>
      <w:r w:rsidR="005C3D12" w:rsidRPr="00346D1C">
        <w:rPr>
          <w:rFonts w:ascii="Georgia" w:hAnsi="Georgia" w:cs="Times New Roman"/>
          <w:sz w:val="24"/>
          <w:szCs w:val="24"/>
        </w:rPr>
        <w:t>COVID</w:t>
      </w:r>
      <w:r w:rsidR="007726D7" w:rsidRPr="00346D1C">
        <w:rPr>
          <w:rFonts w:ascii="Georgia" w:hAnsi="Georgia" w:cs="Times New Roman"/>
          <w:sz w:val="24"/>
          <w:szCs w:val="24"/>
        </w:rPr>
        <w:t>-19 pandemic (</w:t>
      </w:r>
      <w:r w:rsidR="00DA418B" w:rsidRPr="00346D1C">
        <w:rPr>
          <w:rFonts w:ascii="Georgia" w:hAnsi="Georgia" w:cs="Times New Roman"/>
          <w:sz w:val="24"/>
          <w:szCs w:val="24"/>
        </w:rPr>
        <w:t>KNBS</w:t>
      </w:r>
      <w:r w:rsidR="007726D7" w:rsidRPr="00346D1C">
        <w:rPr>
          <w:rFonts w:ascii="Georgia" w:hAnsi="Georgia" w:cs="Times New Roman"/>
          <w:sz w:val="24"/>
          <w:szCs w:val="24"/>
        </w:rPr>
        <w:t xml:space="preserve">, </w:t>
      </w:r>
      <w:r w:rsidR="00DA418B" w:rsidRPr="00346D1C">
        <w:rPr>
          <w:rFonts w:ascii="Georgia" w:hAnsi="Georgia" w:cs="Times New Roman"/>
          <w:sz w:val="24"/>
          <w:szCs w:val="24"/>
        </w:rPr>
        <w:t>2023</w:t>
      </w:r>
      <w:r w:rsidR="00E515EB" w:rsidRPr="00346D1C">
        <w:rPr>
          <w:rFonts w:ascii="Georgia" w:hAnsi="Georgia" w:cs="Times New Roman"/>
          <w:sz w:val="24"/>
          <w:szCs w:val="24"/>
        </w:rPr>
        <w:t>b</w:t>
      </w:r>
      <w:r w:rsidR="007726D7" w:rsidRPr="00346D1C">
        <w:rPr>
          <w:rFonts w:ascii="Georgia" w:hAnsi="Georgia" w:cs="Times New Roman"/>
          <w:sz w:val="24"/>
          <w:szCs w:val="24"/>
        </w:rPr>
        <w:t>: Table 4.2)</w:t>
      </w:r>
      <w:r w:rsidR="00DA418B" w:rsidRPr="00346D1C">
        <w:rPr>
          <w:rFonts w:ascii="Georgia" w:hAnsi="Georgia" w:cs="Times New Roman"/>
          <w:sz w:val="24"/>
          <w:szCs w:val="24"/>
        </w:rPr>
        <w:t>.</w:t>
      </w:r>
    </w:p>
    <w:p w14:paraId="186CF24D" w14:textId="12C8D11A" w:rsidR="00C22BAF" w:rsidRPr="00346D1C" w:rsidRDefault="00020E78" w:rsidP="00C22BAF">
      <w:pPr>
        <w:tabs>
          <w:tab w:val="left" w:pos="2427"/>
        </w:tabs>
        <w:spacing w:after="120" w:line="240" w:lineRule="auto"/>
        <w:jc w:val="both"/>
        <w:rPr>
          <w:rFonts w:ascii="Georgia" w:hAnsi="Georgia" w:cs="Times New Roman"/>
          <w:b/>
          <w:bCs/>
          <w:sz w:val="24"/>
          <w:szCs w:val="24"/>
        </w:rPr>
      </w:pPr>
      <w:r w:rsidRPr="00346D1C">
        <w:rPr>
          <w:rFonts w:ascii="Georgia" w:hAnsi="Georgia" w:cs="Times New Roman"/>
          <w:sz w:val="24"/>
          <w:szCs w:val="24"/>
        </w:rPr>
        <w:t>It is likely that the strong GDP per capita growth was the main driver of the (extreme) poverty reduction between 2005 and 2015 according to the data in Table 1, though the observed reduction in inequality probably also helped to reduce poverty.</w:t>
      </w:r>
      <w:r w:rsidR="002573C7" w:rsidRPr="00346D1C">
        <w:rPr>
          <w:rFonts w:ascii="Georgia" w:hAnsi="Georgia" w:cs="Times New Roman"/>
          <w:sz w:val="24"/>
          <w:szCs w:val="24"/>
        </w:rPr>
        <w:t xml:space="preserve"> </w:t>
      </w:r>
      <w:r w:rsidR="00C842ED" w:rsidRPr="00346D1C">
        <w:rPr>
          <w:rFonts w:ascii="Georgia" w:hAnsi="Georgia" w:cs="Times New Roman"/>
          <w:sz w:val="24"/>
          <w:szCs w:val="24"/>
        </w:rPr>
        <w:t>Mwabu (2023) found that there is</w:t>
      </w:r>
      <w:r w:rsidR="001E0163" w:rsidRPr="00346D1C">
        <w:rPr>
          <w:rFonts w:ascii="Georgia" w:hAnsi="Georgia" w:cs="Times New Roman"/>
          <w:sz w:val="24"/>
          <w:szCs w:val="24"/>
        </w:rPr>
        <w:t xml:space="preserve"> actually</w:t>
      </w:r>
      <w:r w:rsidR="00C842ED" w:rsidRPr="00346D1C">
        <w:rPr>
          <w:rFonts w:ascii="Georgia" w:hAnsi="Georgia" w:cs="Times New Roman"/>
          <w:sz w:val="24"/>
          <w:szCs w:val="24"/>
        </w:rPr>
        <w:t xml:space="preserve"> a virtuous spiral of poverty reduction, higher growth and less inequality over time and shows that human capital formation is the key mechanism underlying the virtuous spiral.</w:t>
      </w:r>
      <w:r w:rsidR="00A57A9A" w:rsidRPr="00346D1C">
        <w:rPr>
          <w:rFonts w:ascii="Georgia" w:hAnsi="Georgia" w:cs="Times New Roman"/>
          <w:sz w:val="24"/>
          <w:szCs w:val="24"/>
        </w:rPr>
        <w:t xml:space="preserve"> </w:t>
      </w:r>
      <w:r w:rsidRPr="00346D1C">
        <w:rPr>
          <w:rFonts w:ascii="Georgia" w:hAnsi="Georgia" w:cs="Times New Roman"/>
          <w:sz w:val="24"/>
          <w:szCs w:val="24"/>
        </w:rPr>
        <w:t>Table 1 shows that the Gini index was 47 in 2005, while the Theil index stood at 45 and the Palma ratio at 2.</w:t>
      </w:r>
      <w:r w:rsidR="00A109BB" w:rsidRPr="00346D1C">
        <w:rPr>
          <w:rFonts w:ascii="Georgia" w:hAnsi="Georgia" w:cs="Times New Roman"/>
          <w:sz w:val="24"/>
          <w:szCs w:val="24"/>
        </w:rPr>
        <w:t>8</w:t>
      </w:r>
      <w:r w:rsidR="00922C00" w:rsidRPr="00346D1C">
        <w:rPr>
          <w:rFonts w:ascii="Georgia" w:hAnsi="Georgia" w:cs="Times New Roman"/>
          <w:sz w:val="24"/>
          <w:szCs w:val="24"/>
        </w:rPr>
        <w:t xml:space="preserve">, suggesting that there was not much change </w:t>
      </w:r>
      <w:r w:rsidR="002233F5" w:rsidRPr="00346D1C">
        <w:rPr>
          <w:rFonts w:ascii="Georgia" w:hAnsi="Georgia" w:cs="Times New Roman"/>
          <w:sz w:val="24"/>
          <w:szCs w:val="24"/>
        </w:rPr>
        <w:t>if compared to the inequality indices in 1994</w:t>
      </w:r>
      <w:r w:rsidRPr="00346D1C">
        <w:rPr>
          <w:rFonts w:ascii="Georgia" w:hAnsi="Georgia" w:cs="Times New Roman"/>
          <w:sz w:val="24"/>
          <w:szCs w:val="24"/>
        </w:rPr>
        <w:t>. By 2015,</w:t>
      </w:r>
      <w:r w:rsidR="00232A68" w:rsidRPr="00346D1C">
        <w:rPr>
          <w:rFonts w:ascii="Georgia" w:hAnsi="Georgia" w:cs="Times New Roman"/>
          <w:sz w:val="24"/>
          <w:szCs w:val="24"/>
        </w:rPr>
        <w:t xml:space="preserve"> however,</w:t>
      </w:r>
      <w:r w:rsidRPr="00346D1C">
        <w:rPr>
          <w:rFonts w:ascii="Georgia" w:hAnsi="Georgia" w:cs="Times New Roman"/>
          <w:sz w:val="24"/>
          <w:szCs w:val="24"/>
        </w:rPr>
        <w:t xml:space="preserve"> these values were 4</w:t>
      </w:r>
      <w:r w:rsidR="00A109BB" w:rsidRPr="00346D1C">
        <w:rPr>
          <w:rFonts w:ascii="Georgia" w:hAnsi="Georgia" w:cs="Times New Roman"/>
          <w:sz w:val="24"/>
          <w:szCs w:val="24"/>
        </w:rPr>
        <w:t>0</w:t>
      </w:r>
      <w:r w:rsidRPr="00346D1C">
        <w:rPr>
          <w:rFonts w:ascii="Georgia" w:hAnsi="Georgia" w:cs="Times New Roman"/>
          <w:sz w:val="24"/>
          <w:szCs w:val="24"/>
        </w:rPr>
        <w:t xml:space="preserve">, 29 and </w:t>
      </w:r>
      <w:r w:rsidR="00A109BB" w:rsidRPr="00346D1C">
        <w:rPr>
          <w:rFonts w:ascii="Georgia" w:hAnsi="Georgia" w:cs="Times New Roman"/>
          <w:sz w:val="24"/>
          <w:szCs w:val="24"/>
        </w:rPr>
        <w:t>2</w:t>
      </w:r>
      <w:r w:rsidRPr="00346D1C">
        <w:rPr>
          <w:rFonts w:ascii="Georgia" w:hAnsi="Georgia" w:cs="Times New Roman"/>
          <w:sz w:val="24"/>
          <w:szCs w:val="24"/>
        </w:rPr>
        <w:t>.</w:t>
      </w:r>
      <w:r w:rsidR="00A109BB" w:rsidRPr="00346D1C">
        <w:rPr>
          <w:rFonts w:ascii="Georgia" w:hAnsi="Georgia" w:cs="Times New Roman"/>
          <w:sz w:val="24"/>
          <w:szCs w:val="24"/>
        </w:rPr>
        <w:t>0</w:t>
      </w:r>
      <w:r w:rsidRPr="00346D1C">
        <w:rPr>
          <w:rFonts w:ascii="Georgia" w:hAnsi="Georgia" w:cs="Times New Roman"/>
          <w:sz w:val="24"/>
          <w:szCs w:val="24"/>
        </w:rPr>
        <w:t>, respectively.</w:t>
      </w:r>
      <w:r w:rsidR="00EA0124" w:rsidRPr="00346D1C">
        <w:rPr>
          <w:rStyle w:val="FootnoteReference"/>
          <w:rFonts w:ascii="Georgia" w:hAnsi="Georgia" w:cs="Times New Roman"/>
          <w:sz w:val="24"/>
          <w:szCs w:val="24"/>
        </w:rPr>
        <w:footnoteReference w:id="9"/>
      </w:r>
      <w:r w:rsidR="007335DB" w:rsidRPr="00346D1C">
        <w:rPr>
          <w:rFonts w:ascii="Georgia" w:hAnsi="Georgia" w:cs="Times New Roman"/>
          <w:sz w:val="24"/>
          <w:szCs w:val="24"/>
        </w:rPr>
        <w:t xml:space="preserve"> So, poverty was higher in 2015 than 1994</w:t>
      </w:r>
      <w:r w:rsidR="00FB1A18" w:rsidRPr="00346D1C">
        <w:rPr>
          <w:rFonts w:ascii="Georgia" w:hAnsi="Georgia" w:cs="Times New Roman"/>
          <w:sz w:val="24"/>
          <w:szCs w:val="24"/>
        </w:rPr>
        <w:t>, while</w:t>
      </w:r>
      <w:r w:rsidR="007335DB" w:rsidRPr="00346D1C">
        <w:rPr>
          <w:rFonts w:ascii="Georgia" w:hAnsi="Georgia" w:cs="Times New Roman"/>
          <w:sz w:val="24"/>
          <w:szCs w:val="24"/>
        </w:rPr>
        <w:t xml:space="preserve"> inequality </w:t>
      </w:r>
      <w:r w:rsidR="00FB1A18" w:rsidRPr="00346D1C">
        <w:rPr>
          <w:rFonts w:ascii="Georgia" w:hAnsi="Georgia" w:cs="Times New Roman"/>
          <w:sz w:val="24"/>
          <w:szCs w:val="24"/>
        </w:rPr>
        <w:t>wa</w:t>
      </w:r>
      <w:r w:rsidR="007335DB" w:rsidRPr="00346D1C">
        <w:rPr>
          <w:rFonts w:ascii="Georgia" w:hAnsi="Georgia" w:cs="Times New Roman"/>
          <w:sz w:val="24"/>
          <w:szCs w:val="24"/>
        </w:rPr>
        <w:t>s lower in 2015 compared to 1994</w:t>
      </w:r>
      <w:r w:rsidR="00FB1A18" w:rsidRPr="00346D1C">
        <w:rPr>
          <w:rFonts w:ascii="Georgia" w:hAnsi="Georgia" w:cs="Times New Roman"/>
          <w:sz w:val="24"/>
          <w:szCs w:val="24"/>
        </w:rPr>
        <w:t>.</w:t>
      </w:r>
      <w:r w:rsidRPr="00346D1C">
        <w:rPr>
          <w:rFonts w:ascii="Georgia" w:hAnsi="Georgia" w:cs="Times New Roman"/>
          <w:sz w:val="24"/>
          <w:szCs w:val="24"/>
        </w:rPr>
        <w:t xml:space="preserve">The decrease of the Palma ratio </w:t>
      </w:r>
      <w:r w:rsidR="002233F5" w:rsidRPr="00346D1C">
        <w:rPr>
          <w:rFonts w:ascii="Georgia" w:hAnsi="Georgia" w:cs="Times New Roman"/>
          <w:sz w:val="24"/>
          <w:szCs w:val="24"/>
        </w:rPr>
        <w:t xml:space="preserve">in 2005-2015 </w:t>
      </w:r>
      <w:r w:rsidRPr="00346D1C">
        <w:rPr>
          <w:rFonts w:ascii="Georgia" w:hAnsi="Georgia" w:cs="Times New Roman"/>
          <w:sz w:val="24"/>
          <w:szCs w:val="24"/>
        </w:rPr>
        <w:t xml:space="preserve">is a combined effect of a decline of the income share of the top 10% and an increase in that of the bottom 40% – the two poorest quintiles taken together (see </w:t>
      </w:r>
      <w:r w:rsidRPr="00346D1C">
        <w:rPr>
          <w:rFonts w:ascii="Georgia" w:hAnsi="Georgia" w:cs="Times New Roman"/>
          <w:sz w:val="24"/>
          <w:szCs w:val="24"/>
        </w:rPr>
        <w:fldChar w:fldCharType="begin"/>
      </w:r>
      <w:r w:rsidRPr="00346D1C">
        <w:rPr>
          <w:rFonts w:ascii="Georgia" w:hAnsi="Georgia" w:cs="Times New Roman"/>
          <w:sz w:val="24"/>
          <w:szCs w:val="24"/>
        </w:rPr>
        <w:instrText xml:space="preserve"> REF _Ref119578429 \h  \* MERGEFORMAT </w:instrText>
      </w:r>
      <w:r w:rsidRPr="00346D1C">
        <w:rPr>
          <w:rFonts w:ascii="Georgia" w:hAnsi="Georgia" w:cs="Times New Roman"/>
          <w:sz w:val="24"/>
          <w:szCs w:val="24"/>
        </w:rPr>
      </w:r>
      <w:r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3</w:t>
      </w:r>
      <w:r w:rsidRPr="00346D1C">
        <w:rPr>
          <w:rFonts w:ascii="Georgia" w:hAnsi="Georgia" w:cs="Times New Roman"/>
          <w:sz w:val="24"/>
          <w:szCs w:val="24"/>
        </w:rPr>
        <w:fldChar w:fldCharType="end"/>
      </w:r>
      <w:r w:rsidRPr="00346D1C">
        <w:rPr>
          <w:rFonts w:ascii="Georgia" w:hAnsi="Georgia" w:cs="Times New Roman"/>
          <w:sz w:val="24"/>
          <w:szCs w:val="24"/>
        </w:rPr>
        <w:t xml:space="preserve">). </w:t>
      </w:r>
      <w:r w:rsidRPr="00346D1C">
        <w:rPr>
          <w:rFonts w:ascii="Georgia" w:hAnsi="Georgia" w:cs="Times New Roman"/>
          <w:sz w:val="24"/>
          <w:szCs w:val="24"/>
        </w:rPr>
        <w:fldChar w:fldCharType="begin"/>
      </w:r>
      <w:r w:rsidRPr="00346D1C">
        <w:rPr>
          <w:rFonts w:ascii="Georgia" w:hAnsi="Georgia" w:cs="Times New Roman"/>
          <w:sz w:val="24"/>
          <w:szCs w:val="24"/>
        </w:rPr>
        <w:instrText xml:space="preserve"> REF _Ref119578429 \h  \* MERGEFORMAT </w:instrText>
      </w:r>
      <w:r w:rsidRPr="00346D1C">
        <w:rPr>
          <w:rFonts w:ascii="Georgia" w:hAnsi="Georgia" w:cs="Times New Roman"/>
          <w:sz w:val="24"/>
          <w:szCs w:val="24"/>
        </w:rPr>
      </w:r>
      <w:r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3</w:t>
      </w:r>
      <w:r w:rsidRPr="00346D1C">
        <w:rPr>
          <w:rFonts w:ascii="Georgia" w:hAnsi="Georgia" w:cs="Times New Roman"/>
          <w:sz w:val="24"/>
          <w:szCs w:val="24"/>
        </w:rPr>
        <w:fldChar w:fldCharType="end"/>
      </w:r>
      <w:r w:rsidRPr="00346D1C">
        <w:rPr>
          <w:rFonts w:ascii="Georgia" w:hAnsi="Georgia" w:cs="Times New Roman"/>
          <w:sz w:val="24"/>
          <w:szCs w:val="24"/>
        </w:rPr>
        <w:t xml:space="preserve"> furthermore shows that the top 20% of the population received </w:t>
      </w:r>
      <w:r w:rsidR="005346E5" w:rsidRPr="00346D1C">
        <w:rPr>
          <w:rFonts w:ascii="Georgia" w:hAnsi="Georgia" w:cs="Times New Roman"/>
          <w:sz w:val="24"/>
          <w:szCs w:val="24"/>
        </w:rPr>
        <w:t>over</w:t>
      </w:r>
      <w:r w:rsidRPr="00346D1C">
        <w:rPr>
          <w:rFonts w:ascii="Georgia" w:hAnsi="Georgia" w:cs="Times New Roman"/>
          <w:sz w:val="24"/>
          <w:szCs w:val="24"/>
        </w:rPr>
        <w:t xml:space="preserve"> half of the total income in 2005, whereas the share of the poorest quintile was only </w:t>
      </w:r>
      <w:r w:rsidR="000C65BF" w:rsidRPr="00346D1C">
        <w:rPr>
          <w:rFonts w:ascii="Georgia" w:hAnsi="Georgia" w:cs="Times New Roman"/>
          <w:sz w:val="24"/>
          <w:szCs w:val="24"/>
        </w:rPr>
        <w:t>4</w:t>
      </w:r>
      <w:r w:rsidRPr="00346D1C">
        <w:rPr>
          <w:rFonts w:ascii="Georgia" w:hAnsi="Georgia" w:cs="Times New Roman"/>
          <w:sz w:val="24"/>
          <w:szCs w:val="24"/>
        </w:rPr>
        <w:t xml:space="preserve">%. The changes in the quintile shares point at </w:t>
      </w:r>
      <w:r w:rsidR="00331E53" w:rsidRPr="00346D1C">
        <w:rPr>
          <w:rFonts w:ascii="Georgia" w:hAnsi="Georgia" w:cs="Times New Roman"/>
          <w:sz w:val="24"/>
          <w:szCs w:val="24"/>
        </w:rPr>
        <w:t>some</w:t>
      </w:r>
      <w:r w:rsidRPr="00346D1C">
        <w:rPr>
          <w:rFonts w:ascii="Georgia" w:hAnsi="Georgia" w:cs="Times New Roman"/>
          <w:sz w:val="24"/>
          <w:szCs w:val="24"/>
        </w:rPr>
        <w:t xml:space="preserve"> improvement of the income distribution</w:t>
      </w:r>
      <w:r w:rsidR="00AB01D9" w:rsidRPr="00346D1C">
        <w:rPr>
          <w:rFonts w:ascii="Georgia" w:hAnsi="Georgia" w:cs="Times New Roman"/>
          <w:sz w:val="24"/>
          <w:szCs w:val="24"/>
        </w:rPr>
        <w:t xml:space="preserve"> </w:t>
      </w:r>
      <w:r w:rsidR="00355908" w:rsidRPr="00346D1C">
        <w:rPr>
          <w:rFonts w:ascii="Georgia" w:hAnsi="Georgia" w:cs="Times New Roman"/>
          <w:sz w:val="24"/>
          <w:szCs w:val="24"/>
        </w:rPr>
        <w:t xml:space="preserve">and the </w:t>
      </w:r>
      <w:r w:rsidR="00B43AA5" w:rsidRPr="00346D1C">
        <w:rPr>
          <w:rFonts w:ascii="Georgia" w:hAnsi="Georgia" w:cs="Times New Roman"/>
          <w:sz w:val="24"/>
          <w:szCs w:val="24"/>
        </w:rPr>
        <w:t xml:space="preserve">quintile </w:t>
      </w:r>
      <w:r w:rsidR="00355908" w:rsidRPr="00346D1C">
        <w:rPr>
          <w:rFonts w:ascii="Georgia" w:hAnsi="Georgia" w:cs="Times New Roman"/>
          <w:sz w:val="24"/>
          <w:szCs w:val="24"/>
        </w:rPr>
        <w:t xml:space="preserve">shares in 2015 were similar to those in </w:t>
      </w:r>
      <w:r w:rsidR="00940AB9" w:rsidRPr="00346D1C">
        <w:rPr>
          <w:rFonts w:ascii="Georgia" w:hAnsi="Georgia" w:cs="Times New Roman"/>
          <w:sz w:val="24"/>
          <w:szCs w:val="24"/>
        </w:rPr>
        <w:t>1994</w:t>
      </w:r>
      <w:r w:rsidRPr="00346D1C">
        <w:rPr>
          <w:rFonts w:ascii="Georgia" w:hAnsi="Georgia" w:cs="Times New Roman"/>
          <w:sz w:val="24"/>
          <w:szCs w:val="24"/>
        </w:rPr>
        <w:t>.</w:t>
      </w:r>
      <w:r w:rsidRPr="00346D1C">
        <w:rPr>
          <w:rStyle w:val="FootnoteReference"/>
          <w:rFonts w:ascii="Georgia" w:hAnsi="Georgia" w:cs="Times New Roman"/>
          <w:sz w:val="24"/>
          <w:szCs w:val="24"/>
        </w:rPr>
        <w:footnoteReference w:id="10"/>
      </w:r>
      <w:r w:rsidRPr="00346D1C">
        <w:rPr>
          <w:rFonts w:ascii="Georgia" w:hAnsi="Georgia" w:cs="Times New Roman"/>
          <w:sz w:val="24"/>
          <w:szCs w:val="24"/>
        </w:rPr>
        <w:t xml:space="preserve"> The changes in the extremes of the distribution – the top-10% and bottom-10% shares – were however more pronounced (see Table 1). According to estimates of the World Inequality Database, the share of the top-1% also diminished – from 21% in 2005 to 15% in 2015.</w:t>
      </w:r>
      <w:r w:rsidRPr="00346D1C">
        <w:rPr>
          <w:rStyle w:val="FootnoteReference"/>
          <w:rFonts w:ascii="Georgia" w:hAnsi="Georgia" w:cs="Times New Roman"/>
          <w:sz w:val="24"/>
          <w:szCs w:val="24"/>
        </w:rPr>
        <w:footnoteReference w:id="11"/>
      </w:r>
      <w:r w:rsidRPr="00346D1C">
        <w:rPr>
          <w:rFonts w:ascii="Georgia" w:hAnsi="Georgia" w:cs="Times New Roman"/>
          <w:sz w:val="24"/>
          <w:szCs w:val="24"/>
        </w:rPr>
        <w:t xml:space="preserve"> Nonetheless, the richest 1% still received a large share of national income.</w:t>
      </w:r>
      <w:r w:rsidRPr="00346D1C">
        <w:rPr>
          <w:rStyle w:val="FootnoteReference"/>
          <w:rFonts w:ascii="Georgia" w:hAnsi="Georgia" w:cs="Times New Roman"/>
          <w:sz w:val="24"/>
          <w:szCs w:val="24"/>
        </w:rPr>
        <w:footnoteReference w:id="12"/>
      </w:r>
      <w:bookmarkStart w:id="19" w:name="_Ref132122669"/>
    </w:p>
    <w:p w14:paraId="10C8404C" w14:textId="7B688CF4" w:rsidR="00352D49" w:rsidRPr="009C5581" w:rsidRDefault="00352D49" w:rsidP="00FB6F61">
      <w:pPr>
        <w:spacing w:after="0" w:line="240" w:lineRule="auto"/>
        <w:jc w:val="center"/>
        <w:rPr>
          <w:rFonts w:ascii="Times New Roman" w:hAnsi="Times New Roman" w:cs="Times New Roman"/>
          <w:sz w:val="20"/>
          <w:szCs w:val="20"/>
        </w:rPr>
      </w:pPr>
      <w:bookmarkStart w:id="20" w:name="_Ref137807750"/>
      <w:bookmarkStart w:id="21" w:name="_Toc144414574"/>
      <w:r w:rsidRPr="009C5581">
        <w:rPr>
          <w:rFonts w:ascii="Times New Roman" w:hAnsi="Times New Roman" w:cs="Times New Roman"/>
          <w:b/>
          <w:bCs/>
          <w:sz w:val="20"/>
          <w:szCs w:val="20"/>
        </w:rPr>
        <w:t xml:space="preserve">Figure </w:t>
      </w:r>
      <w:r w:rsidR="00B84F08" w:rsidRPr="009C5581">
        <w:rPr>
          <w:rFonts w:ascii="Times New Roman" w:hAnsi="Times New Roman" w:cs="Times New Roman"/>
          <w:b/>
          <w:bCs/>
          <w:sz w:val="20"/>
          <w:szCs w:val="20"/>
        </w:rPr>
        <w:fldChar w:fldCharType="begin"/>
      </w:r>
      <w:r w:rsidR="00B84F08" w:rsidRPr="009C5581">
        <w:rPr>
          <w:rFonts w:ascii="Times New Roman" w:hAnsi="Times New Roman" w:cs="Times New Roman"/>
          <w:b/>
          <w:bCs/>
          <w:sz w:val="20"/>
          <w:szCs w:val="20"/>
        </w:rPr>
        <w:instrText xml:space="preserve"> SEQ Figure \* ARABIC </w:instrText>
      </w:r>
      <w:r w:rsidR="00B84F08"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2</w:t>
      </w:r>
      <w:r w:rsidR="00B84F08" w:rsidRPr="009C5581">
        <w:rPr>
          <w:rFonts w:ascii="Times New Roman" w:hAnsi="Times New Roman" w:cs="Times New Roman"/>
          <w:b/>
          <w:bCs/>
          <w:sz w:val="20"/>
          <w:szCs w:val="20"/>
        </w:rPr>
        <w:fldChar w:fldCharType="end"/>
      </w:r>
      <w:bookmarkEnd w:id="19"/>
      <w:bookmarkEnd w:id="20"/>
      <w:r w:rsidRPr="009C5581">
        <w:rPr>
          <w:rFonts w:ascii="Times New Roman" w:hAnsi="Times New Roman" w:cs="Times New Roman"/>
          <w:sz w:val="20"/>
          <w:szCs w:val="20"/>
        </w:rPr>
        <w:t>: Poverty incidence per county, 2015</w:t>
      </w:r>
      <w:bookmarkEnd w:id="21"/>
    </w:p>
    <w:p w14:paraId="6D576625" w14:textId="77777777" w:rsidR="00352D49" w:rsidRPr="009C5581" w:rsidRDefault="00352D49" w:rsidP="00352D49">
      <w:pPr>
        <w:rPr>
          <w:rFonts w:ascii="Times New Roman" w:hAnsi="Times New Roman" w:cs="Times New Roman"/>
          <w:sz w:val="16"/>
          <w:szCs w:val="16"/>
        </w:rPr>
      </w:pPr>
      <w:r w:rsidRPr="009C5581">
        <w:rPr>
          <w:noProof/>
          <w:lang w:val="en-US"/>
        </w:rPr>
        <w:drawing>
          <wp:inline distT="0" distB="0" distL="0" distR="0" wp14:anchorId="27664F3F" wp14:editId="6214F53F">
            <wp:extent cx="5943600" cy="5562600"/>
            <wp:effectExtent l="0" t="0" r="0" b="0"/>
            <wp:docPr id="12" name="Chart 12">
              <a:extLst xmlns:a="http://schemas.openxmlformats.org/drawingml/2006/main">
                <a:ext uri="{FF2B5EF4-FFF2-40B4-BE49-F238E27FC236}">
                  <a16:creationId xmlns:a16="http://schemas.microsoft.com/office/drawing/2014/main" id="{1686C389-6D04-29E3-1716-F19EF8CC6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F67EAB" w14:textId="77777777" w:rsidR="00352D49" w:rsidRPr="009C5581" w:rsidRDefault="00352D49" w:rsidP="00352D49">
      <w:pPr>
        <w:tabs>
          <w:tab w:val="left" w:pos="2427"/>
        </w:tabs>
        <w:spacing w:after="120" w:line="240" w:lineRule="auto"/>
        <w:jc w:val="center"/>
        <w:rPr>
          <w:rFonts w:ascii="Times New Roman" w:hAnsi="Times New Roman" w:cs="Times New Roman"/>
          <w:sz w:val="16"/>
          <w:szCs w:val="16"/>
        </w:rPr>
      </w:pPr>
      <w:r w:rsidRPr="009C5581">
        <w:rPr>
          <w:rFonts w:ascii="Times New Roman" w:hAnsi="Times New Roman" w:cs="Times New Roman"/>
          <w:sz w:val="16"/>
          <w:szCs w:val="16"/>
        </w:rPr>
        <w:t>Source: KNBS (2020a: Annex 5)</w:t>
      </w:r>
    </w:p>
    <w:p w14:paraId="47548882" w14:textId="77777777" w:rsidR="009E16CF" w:rsidRDefault="009E16CF" w:rsidP="00304B21">
      <w:pPr>
        <w:spacing w:before="240" w:after="0" w:line="240" w:lineRule="auto"/>
        <w:jc w:val="center"/>
        <w:rPr>
          <w:rFonts w:ascii="Times New Roman" w:hAnsi="Times New Roman" w:cs="Times New Roman"/>
          <w:b/>
          <w:bCs/>
          <w:sz w:val="20"/>
          <w:szCs w:val="20"/>
        </w:rPr>
      </w:pPr>
      <w:bookmarkStart w:id="22" w:name="_Ref119578429"/>
      <w:bookmarkStart w:id="23" w:name="_Toc144414575"/>
      <w:bookmarkEnd w:id="16"/>
    </w:p>
    <w:p w14:paraId="257AB81B" w14:textId="77777777" w:rsidR="009E16CF" w:rsidRDefault="009E16CF" w:rsidP="00304B21">
      <w:pPr>
        <w:spacing w:before="240" w:after="0" w:line="240" w:lineRule="auto"/>
        <w:jc w:val="center"/>
        <w:rPr>
          <w:rFonts w:ascii="Times New Roman" w:hAnsi="Times New Roman" w:cs="Times New Roman"/>
          <w:b/>
          <w:bCs/>
          <w:sz w:val="20"/>
          <w:szCs w:val="20"/>
        </w:rPr>
      </w:pPr>
    </w:p>
    <w:p w14:paraId="23594A53" w14:textId="1105C59C" w:rsidR="008E593C" w:rsidRPr="009C5581" w:rsidRDefault="00452B9E" w:rsidP="00304B21">
      <w:pPr>
        <w:spacing w:before="240" w:after="0" w:line="240" w:lineRule="auto"/>
        <w:jc w:val="center"/>
        <w:rPr>
          <w:rFonts w:ascii="Times New Roman" w:hAnsi="Times New Roman" w:cs="Times New Roman"/>
          <w:sz w:val="20"/>
          <w:szCs w:val="20"/>
        </w:rPr>
      </w:pPr>
      <w:r w:rsidRPr="009C5581">
        <w:rPr>
          <w:rFonts w:ascii="Times New Roman" w:hAnsi="Times New Roman" w:cs="Times New Roman"/>
          <w:b/>
          <w:bCs/>
          <w:sz w:val="20"/>
          <w:szCs w:val="20"/>
        </w:rPr>
        <w:t xml:space="preserve">Figure </w:t>
      </w:r>
      <w:r w:rsidR="00B84F08" w:rsidRPr="009C5581">
        <w:rPr>
          <w:rFonts w:ascii="Times New Roman" w:hAnsi="Times New Roman" w:cs="Times New Roman"/>
          <w:b/>
          <w:bCs/>
          <w:sz w:val="20"/>
          <w:szCs w:val="20"/>
        </w:rPr>
        <w:fldChar w:fldCharType="begin"/>
      </w:r>
      <w:r w:rsidR="00B84F08" w:rsidRPr="009C5581">
        <w:rPr>
          <w:rFonts w:ascii="Times New Roman" w:hAnsi="Times New Roman" w:cs="Times New Roman"/>
          <w:b/>
          <w:bCs/>
          <w:sz w:val="20"/>
          <w:szCs w:val="20"/>
        </w:rPr>
        <w:instrText xml:space="preserve"> SEQ Figure \* ARABIC </w:instrText>
      </w:r>
      <w:r w:rsidR="00B84F08"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3</w:t>
      </w:r>
      <w:r w:rsidR="00B84F08" w:rsidRPr="009C5581">
        <w:rPr>
          <w:rFonts w:ascii="Times New Roman" w:hAnsi="Times New Roman" w:cs="Times New Roman"/>
          <w:b/>
          <w:bCs/>
          <w:sz w:val="20"/>
          <w:szCs w:val="20"/>
        </w:rPr>
        <w:fldChar w:fldCharType="end"/>
      </w:r>
      <w:bookmarkEnd w:id="22"/>
      <w:r w:rsidRPr="009C5581">
        <w:rPr>
          <w:rFonts w:ascii="Times New Roman" w:hAnsi="Times New Roman" w:cs="Times New Roman"/>
          <w:sz w:val="20"/>
          <w:szCs w:val="20"/>
        </w:rPr>
        <w:t xml:space="preserve">: </w:t>
      </w:r>
      <w:r w:rsidR="00013738" w:rsidRPr="009C5581">
        <w:rPr>
          <w:rFonts w:ascii="Times New Roman" w:hAnsi="Times New Roman" w:cs="Times New Roman"/>
          <w:sz w:val="20"/>
          <w:szCs w:val="20"/>
        </w:rPr>
        <w:t xml:space="preserve">Shares </w:t>
      </w:r>
      <w:r w:rsidR="00AB6B77" w:rsidRPr="009C5581">
        <w:rPr>
          <w:rFonts w:ascii="Times New Roman" w:hAnsi="Times New Roman" w:cs="Times New Roman"/>
          <w:sz w:val="20"/>
          <w:szCs w:val="20"/>
        </w:rPr>
        <w:t xml:space="preserve">of </w:t>
      </w:r>
      <w:r w:rsidRPr="009C5581">
        <w:rPr>
          <w:rFonts w:ascii="Times New Roman" w:hAnsi="Times New Roman" w:cs="Times New Roman"/>
          <w:sz w:val="20"/>
          <w:szCs w:val="20"/>
        </w:rPr>
        <w:t xml:space="preserve">total income, </w:t>
      </w:r>
      <w:r w:rsidR="00FB5BE1" w:rsidRPr="009C5581">
        <w:rPr>
          <w:rFonts w:ascii="Times New Roman" w:hAnsi="Times New Roman" w:cs="Times New Roman"/>
          <w:sz w:val="20"/>
          <w:szCs w:val="20"/>
        </w:rPr>
        <w:t xml:space="preserve">1994, </w:t>
      </w:r>
      <w:r w:rsidRPr="009C5581">
        <w:rPr>
          <w:rFonts w:ascii="Times New Roman" w:hAnsi="Times New Roman" w:cs="Times New Roman"/>
          <w:sz w:val="20"/>
          <w:szCs w:val="20"/>
        </w:rPr>
        <w:t>200</w:t>
      </w:r>
      <w:r w:rsidR="00887051" w:rsidRPr="009C5581">
        <w:rPr>
          <w:rFonts w:ascii="Times New Roman" w:hAnsi="Times New Roman" w:cs="Times New Roman"/>
          <w:sz w:val="20"/>
          <w:szCs w:val="20"/>
        </w:rPr>
        <w:t>5 and 2015</w:t>
      </w:r>
      <w:bookmarkEnd w:id="23"/>
    </w:p>
    <w:p w14:paraId="692CBC39" w14:textId="138445E1" w:rsidR="001D6131" w:rsidRPr="009C5581" w:rsidRDefault="001D6131" w:rsidP="00304B21">
      <w:pPr>
        <w:spacing w:before="240" w:after="0" w:line="240" w:lineRule="auto"/>
        <w:jc w:val="center"/>
        <w:rPr>
          <w:rFonts w:ascii="Times New Roman" w:hAnsi="Times New Roman" w:cs="Times New Roman"/>
          <w:sz w:val="20"/>
          <w:szCs w:val="20"/>
        </w:rPr>
      </w:pPr>
      <w:r w:rsidRPr="009C5581">
        <w:rPr>
          <w:noProof/>
          <w:lang w:val="en-US"/>
        </w:rPr>
        <w:drawing>
          <wp:inline distT="0" distB="0" distL="0" distR="0" wp14:anchorId="5479958A" wp14:editId="545E496E">
            <wp:extent cx="5943600" cy="3887470"/>
            <wp:effectExtent l="0" t="0" r="0" b="17780"/>
            <wp:docPr id="11" name="Chart 11">
              <a:extLst xmlns:a="http://schemas.openxmlformats.org/drawingml/2006/main">
                <a:ext uri="{FF2B5EF4-FFF2-40B4-BE49-F238E27FC236}">
                  <a16:creationId xmlns:a16="http://schemas.microsoft.com/office/drawing/2014/main" id="{65689CBB-909D-94ED-CBD8-D14745206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E7E33C" w14:textId="7E16B39E" w:rsidR="008C1A5A" w:rsidRPr="009C5581" w:rsidRDefault="008C1A5A" w:rsidP="00682005">
      <w:pPr>
        <w:spacing w:after="120" w:line="240" w:lineRule="auto"/>
        <w:jc w:val="center"/>
        <w:rPr>
          <w:rFonts w:ascii="Times New Roman" w:hAnsi="Times New Roman" w:cs="Times New Roman"/>
          <w:sz w:val="16"/>
          <w:szCs w:val="16"/>
        </w:rPr>
      </w:pPr>
      <w:r w:rsidRPr="009C5581">
        <w:rPr>
          <w:rFonts w:ascii="Times New Roman" w:hAnsi="Times New Roman" w:cs="Times New Roman"/>
          <w:sz w:val="16"/>
          <w:szCs w:val="16"/>
        </w:rPr>
        <w:t>Source:</w:t>
      </w:r>
      <w:r w:rsidR="009F7DD3" w:rsidRPr="009C5581">
        <w:rPr>
          <w:rFonts w:ascii="Times New Roman" w:hAnsi="Times New Roman" w:cs="Times New Roman"/>
          <w:sz w:val="16"/>
          <w:szCs w:val="16"/>
        </w:rPr>
        <w:t xml:space="preserve"> </w:t>
      </w:r>
      <w:r w:rsidR="00304B21" w:rsidRPr="009C5581">
        <w:rPr>
          <w:rFonts w:ascii="Times New Roman" w:hAnsi="Times New Roman" w:cs="Times New Roman"/>
          <w:sz w:val="16"/>
          <w:szCs w:val="16"/>
        </w:rPr>
        <w:t>KNBS</w:t>
      </w:r>
      <w:r w:rsidR="00527A2E" w:rsidRPr="009C5581">
        <w:rPr>
          <w:rFonts w:ascii="Times New Roman" w:hAnsi="Times New Roman" w:cs="Times New Roman"/>
          <w:sz w:val="16"/>
          <w:szCs w:val="16"/>
        </w:rPr>
        <w:t xml:space="preserve"> (2020b).</w:t>
      </w:r>
      <w:r w:rsidR="009E1C02" w:rsidRPr="009C5581">
        <w:rPr>
          <w:rFonts w:ascii="Times New Roman" w:hAnsi="Times New Roman" w:cs="Times New Roman"/>
          <w:sz w:val="16"/>
          <w:szCs w:val="16"/>
        </w:rPr>
        <w:t xml:space="preserve"> </w:t>
      </w:r>
      <w:r w:rsidR="009E1C02" w:rsidRPr="009C5581">
        <w:rPr>
          <w:rFonts w:ascii="Times New Roman" w:hAnsi="Times New Roman" w:cs="Times New Roman"/>
          <w:i/>
          <w:iCs/>
          <w:sz w:val="16"/>
          <w:szCs w:val="16"/>
        </w:rPr>
        <w:t>In</w:t>
      </w:r>
      <w:r w:rsidR="00340B76" w:rsidRPr="009C5581">
        <w:rPr>
          <w:rFonts w:ascii="Times New Roman" w:hAnsi="Times New Roman" w:cs="Times New Roman"/>
          <w:i/>
          <w:iCs/>
          <w:sz w:val="16"/>
          <w:szCs w:val="16"/>
        </w:rPr>
        <w:t xml:space="preserve">equality </w:t>
      </w:r>
      <w:r w:rsidR="00486823" w:rsidRPr="009C5581">
        <w:rPr>
          <w:rFonts w:ascii="Times New Roman" w:hAnsi="Times New Roman" w:cs="Times New Roman"/>
          <w:i/>
          <w:iCs/>
          <w:sz w:val="16"/>
          <w:szCs w:val="16"/>
        </w:rPr>
        <w:t>Trends and Diagnostics in Kenya 2020</w:t>
      </w:r>
      <w:r w:rsidR="00CA70E2" w:rsidRPr="009C5581">
        <w:rPr>
          <w:rFonts w:ascii="Times New Roman" w:hAnsi="Times New Roman" w:cs="Times New Roman"/>
          <w:sz w:val="16"/>
          <w:szCs w:val="16"/>
        </w:rPr>
        <w:t xml:space="preserve">, </w:t>
      </w:r>
      <w:r w:rsidR="00C639DD" w:rsidRPr="009C5581">
        <w:rPr>
          <w:rFonts w:ascii="Times New Roman" w:hAnsi="Times New Roman" w:cs="Times New Roman"/>
          <w:sz w:val="16"/>
          <w:szCs w:val="16"/>
        </w:rPr>
        <w:t>Figure 4.2</w:t>
      </w:r>
    </w:p>
    <w:p w14:paraId="723217A5" w14:textId="65051408" w:rsidR="008E3DC9" w:rsidRPr="00346D1C" w:rsidRDefault="008E3DC9" w:rsidP="004443B3">
      <w:pPr>
        <w:tabs>
          <w:tab w:val="left" w:pos="2427"/>
        </w:tabs>
        <w:spacing w:before="240" w:after="120" w:line="240" w:lineRule="auto"/>
        <w:jc w:val="both"/>
        <w:rPr>
          <w:rFonts w:ascii="Georgia" w:hAnsi="Georgia" w:cs="Times New Roman"/>
          <w:sz w:val="24"/>
          <w:szCs w:val="24"/>
        </w:rPr>
      </w:pPr>
      <w:r w:rsidRPr="00346D1C">
        <w:rPr>
          <w:rFonts w:ascii="Georgia" w:hAnsi="Georgia" w:cs="Times New Roman"/>
          <w:sz w:val="24"/>
          <w:szCs w:val="24"/>
        </w:rPr>
        <w:t>KNBS (2023</w:t>
      </w:r>
      <w:r w:rsidR="00E515EB" w:rsidRPr="00346D1C">
        <w:rPr>
          <w:rFonts w:ascii="Georgia" w:hAnsi="Georgia" w:cs="Times New Roman"/>
          <w:sz w:val="24"/>
          <w:szCs w:val="24"/>
        </w:rPr>
        <w:t>b</w:t>
      </w:r>
      <w:r w:rsidRPr="00346D1C">
        <w:rPr>
          <w:rFonts w:ascii="Georgia" w:hAnsi="Georgia" w:cs="Times New Roman"/>
          <w:sz w:val="24"/>
          <w:szCs w:val="24"/>
        </w:rPr>
        <w:t>: Table 4.6) shows a slightly lower value of the estimated Gini coefficient in 2015/16 than the one presented in Table 1</w:t>
      </w:r>
      <w:r w:rsidR="00B0521B" w:rsidRPr="00346D1C">
        <w:rPr>
          <w:rFonts w:ascii="Georgia" w:hAnsi="Georgia" w:cs="Times New Roman"/>
          <w:sz w:val="24"/>
          <w:szCs w:val="24"/>
        </w:rPr>
        <w:t xml:space="preserve"> above</w:t>
      </w:r>
      <w:r w:rsidRPr="00346D1C">
        <w:rPr>
          <w:rFonts w:ascii="Georgia" w:hAnsi="Georgia" w:cs="Times New Roman"/>
          <w:sz w:val="24"/>
          <w:szCs w:val="24"/>
        </w:rPr>
        <w:t xml:space="preserve">, namely 39.1. The estimate for 2019 based on the Kenya Continuous Household Survey is 40.7, which points at a small increase if compared to the degree of inequality four years earlier. Surprisingly, the estimated Gini index reduced somewhat to 35.8 in 2020, before rising again to 38.9 in 2021. </w:t>
      </w:r>
    </w:p>
    <w:p w14:paraId="06C1F707" w14:textId="6EA1FFFF" w:rsidR="008E3DC9" w:rsidRPr="00346D1C" w:rsidRDefault="008E3DC9" w:rsidP="008E3DC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While the reduction in inequality between 2005/06 and 2015/16 helped to reduce poverty, the high level of inequality itself diminishes the effect of economic growth on poverty. As UK aid (2023) argues, ‘poverty in Kenya remains high for its level of GDP per capita’, because ‘the benefits of growth have been over-concentrated in the upper half of the income distribution’. Whereas the incidence of poverty is related to vertical inequality, horizontal inequality in the form of an unequal distribution of income across gender also plays a role. Female-headed households are more likely to be poor than male-headed households, but the gender differences in households’ probability of being poor diminished somewhat between 2005/06 and 2015/16, whereby literacy level and secondary and university education were major factors in explaining the narrowing of the gender gap in the poverty incidence (Ichwara et al., 2023).</w:t>
      </w:r>
      <w:r w:rsidRPr="00346D1C">
        <w:rPr>
          <w:rStyle w:val="FootnoteReference"/>
          <w:rFonts w:ascii="Georgia" w:hAnsi="Georgia" w:cs="Times New Roman"/>
          <w:sz w:val="24"/>
          <w:szCs w:val="24"/>
        </w:rPr>
        <w:footnoteReference w:id="13"/>
      </w:r>
      <w:r w:rsidRPr="00346D1C">
        <w:rPr>
          <w:rFonts w:ascii="Georgia" w:hAnsi="Georgia" w:cs="Times New Roman"/>
          <w:sz w:val="24"/>
          <w:szCs w:val="24"/>
        </w:rPr>
        <w:t xml:space="preserve"> </w:t>
      </w:r>
      <w:r w:rsidR="00A65074" w:rsidRPr="00346D1C">
        <w:rPr>
          <w:rFonts w:ascii="Georgia" w:hAnsi="Georgia" w:cs="Times New Roman"/>
          <w:sz w:val="24"/>
          <w:szCs w:val="24"/>
        </w:rPr>
        <w:t>Approximately a third of the households were female-headed in 2015/16</w:t>
      </w:r>
      <w:r w:rsidR="00C819E1" w:rsidRPr="00346D1C">
        <w:rPr>
          <w:rFonts w:ascii="Georgia" w:hAnsi="Georgia" w:cs="Times New Roman"/>
          <w:sz w:val="24"/>
          <w:szCs w:val="24"/>
        </w:rPr>
        <w:t xml:space="preserve"> (</w:t>
      </w:r>
      <w:r w:rsidR="003E3250" w:rsidRPr="00346D1C">
        <w:rPr>
          <w:rFonts w:ascii="Georgia" w:hAnsi="Georgia" w:cs="Times New Roman"/>
          <w:sz w:val="24"/>
          <w:szCs w:val="24"/>
        </w:rPr>
        <w:t xml:space="preserve">KNBS, 2020b: 132). </w:t>
      </w:r>
      <w:r w:rsidR="00C819E1" w:rsidRPr="00346D1C">
        <w:rPr>
          <w:rFonts w:ascii="Georgia" w:hAnsi="Georgia" w:cs="Times New Roman"/>
          <w:sz w:val="24"/>
          <w:szCs w:val="24"/>
        </w:rPr>
        <w:t xml:space="preserve">A similar proportion was recorded in </w:t>
      </w:r>
      <w:r w:rsidR="00C24B40" w:rsidRPr="00346D1C">
        <w:rPr>
          <w:rFonts w:ascii="Georgia" w:hAnsi="Georgia" w:cs="Times New Roman"/>
          <w:sz w:val="24"/>
          <w:szCs w:val="24"/>
        </w:rPr>
        <w:t>2022</w:t>
      </w:r>
      <w:r w:rsidR="001E6277" w:rsidRPr="00346D1C">
        <w:rPr>
          <w:rFonts w:ascii="Georgia" w:hAnsi="Georgia" w:cs="Times New Roman"/>
          <w:sz w:val="24"/>
          <w:szCs w:val="24"/>
        </w:rPr>
        <w:t xml:space="preserve"> (K</w:t>
      </w:r>
      <w:r w:rsidR="00D3462E" w:rsidRPr="00346D1C">
        <w:rPr>
          <w:rFonts w:ascii="Georgia" w:hAnsi="Georgia" w:cs="Times New Roman"/>
          <w:sz w:val="24"/>
          <w:szCs w:val="24"/>
        </w:rPr>
        <w:t>NBS, 2023</w:t>
      </w:r>
      <w:r w:rsidR="00E515EB" w:rsidRPr="00346D1C">
        <w:rPr>
          <w:rFonts w:ascii="Georgia" w:hAnsi="Georgia" w:cs="Times New Roman"/>
          <w:sz w:val="24"/>
          <w:szCs w:val="24"/>
        </w:rPr>
        <w:t>c</w:t>
      </w:r>
      <w:r w:rsidR="00913349" w:rsidRPr="00346D1C">
        <w:rPr>
          <w:rFonts w:ascii="Georgia" w:hAnsi="Georgia" w:cs="Times New Roman"/>
          <w:sz w:val="24"/>
          <w:szCs w:val="24"/>
        </w:rPr>
        <w:t>: 13</w:t>
      </w:r>
      <w:r w:rsidR="00D3462E" w:rsidRPr="00346D1C">
        <w:rPr>
          <w:rFonts w:ascii="Georgia" w:hAnsi="Georgia" w:cs="Times New Roman"/>
          <w:sz w:val="24"/>
          <w:szCs w:val="24"/>
        </w:rPr>
        <w:t>)</w:t>
      </w:r>
      <w:r w:rsidR="00FB3AC3" w:rsidRPr="00346D1C">
        <w:rPr>
          <w:rFonts w:ascii="Georgia" w:hAnsi="Georgia" w:cs="Times New Roman"/>
          <w:sz w:val="24"/>
          <w:szCs w:val="24"/>
        </w:rPr>
        <w:t>.</w:t>
      </w:r>
      <w:r w:rsidR="001D26AA" w:rsidRPr="00346D1C">
        <w:rPr>
          <w:rFonts w:ascii="Georgia" w:hAnsi="Georgia" w:cs="Times New Roman"/>
          <w:sz w:val="24"/>
          <w:szCs w:val="24"/>
        </w:rPr>
        <w:t xml:space="preserve"> </w:t>
      </w:r>
      <w:r w:rsidR="008B74DE" w:rsidRPr="00346D1C">
        <w:rPr>
          <w:rFonts w:ascii="Georgia" w:hAnsi="Georgia" w:cs="Times New Roman"/>
          <w:sz w:val="24"/>
          <w:szCs w:val="24"/>
        </w:rPr>
        <w:t>T</w:t>
      </w:r>
      <w:r w:rsidR="00580E75" w:rsidRPr="00346D1C">
        <w:rPr>
          <w:rFonts w:ascii="Georgia" w:hAnsi="Georgia" w:cs="Times New Roman"/>
          <w:sz w:val="24"/>
          <w:szCs w:val="24"/>
        </w:rPr>
        <w:t>he proportion tended be smaller i</w:t>
      </w:r>
      <w:r w:rsidR="00F53810" w:rsidRPr="00346D1C">
        <w:rPr>
          <w:rFonts w:ascii="Georgia" w:hAnsi="Georgia" w:cs="Times New Roman"/>
          <w:sz w:val="24"/>
          <w:szCs w:val="24"/>
        </w:rPr>
        <w:t>n the past.</w:t>
      </w:r>
      <w:r w:rsidR="00FB3AC3" w:rsidRPr="00346D1C">
        <w:rPr>
          <w:rFonts w:ascii="Georgia" w:hAnsi="Georgia" w:cs="Times New Roman"/>
          <w:sz w:val="24"/>
          <w:szCs w:val="24"/>
        </w:rPr>
        <w:t xml:space="preserve"> </w:t>
      </w:r>
      <w:r w:rsidR="00291ECE" w:rsidRPr="00346D1C">
        <w:rPr>
          <w:rFonts w:ascii="Georgia" w:hAnsi="Georgia" w:cs="Times New Roman"/>
          <w:sz w:val="24"/>
          <w:szCs w:val="24"/>
        </w:rPr>
        <w:t xml:space="preserve">A higher proportion of female-headed </w:t>
      </w:r>
      <w:r w:rsidR="005B6C13" w:rsidRPr="00346D1C">
        <w:rPr>
          <w:rFonts w:ascii="Georgia" w:hAnsi="Georgia" w:cs="Times New Roman"/>
          <w:sz w:val="24"/>
          <w:szCs w:val="24"/>
        </w:rPr>
        <w:t xml:space="preserve">households </w:t>
      </w:r>
      <w:r w:rsidR="0036259C" w:rsidRPr="00346D1C">
        <w:rPr>
          <w:rFonts w:ascii="Georgia" w:hAnsi="Georgia" w:cs="Times New Roman"/>
          <w:sz w:val="24"/>
          <w:szCs w:val="24"/>
        </w:rPr>
        <w:t xml:space="preserve">could </w:t>
      </w:r>
      <w:r w:rsidR="00FB3AC3" w:rsidRPr="00346D1C">
        <w:rPr>
          <w:rFonts w:ascii="Georgia" w:hAnsi="Georgia" w:cs="Times New Roman"/>
          <w:sz w:val="24"/>
          <w:szCs w:val="24"/>
        </w:rPr>
        <w:t xml:space="preserve">mean that in general more households </w:t>
      </w:r>
      <w:r w:rsidR="001D26AA" w:rsidRPr="00346D1C">
        <w:rPr>
          <w:rFonts w:ascii="Georgia" w:hAnsi="Georgia" w:cs="Times New Roman"/>
          <w:sz w:val="24"/>
          <w:szCs w:val="24"/>
        </w:rPr>
        <w:t xml:space="preserve">are likely to be poor </w:t>
      </w:r>
      <w:r w:rsidR="003B7637" w:rsidRPr="00346D1C">
        <w:rPr>
          <w:rFonts w:ascii="Georgia" w:hAnsi="Georgia" w:cs="Times New Roman"/>
          <w:sz w:val="24"/>
          <w:szCs w:val="24"/>
        </w:rPr>
        <w:t>than in the past</w:t>
      </w:r>
      <w:r w:rsidR="00FB3AC3" w:rsidRPr="00346D1C">
        <w:rPr>
          <w:rFonts w:ascii="Georgia" w:hAnsi="Georgia" w:cs="Times New Roman"/>
          <w:sz w:val="24"/>
          <w:szCs w:val="24"/>
        </w:rPr>
        <w:t>.</w:t>
      </w:r>
    </w:p>
    <w:p w14:paraId="5A2E722D" w14:textId="4917DD91" w:rsidR="008E3DC9" w:rsidRPr="00346D1C" w:rsidRDefault="008E3DC9" w:rsidP="008E3DC9">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Nafula et al. (2020) conducted microsimulation analysis to estimate the pre- and post-</w:t>
      </w:r>
      <w:r w:rsidR="005C3D12" w:rsidRPr="00346D1C">
        <w:rPr>
          <w:rFonts w:ascii="Georgia" w:hAnsi="Georgia" w:cs="Times New Roman"/>
          <w:sz w:val="24"/>
          <w:szCs w:val="24"/>
        </w:rPr>
        <w:t>COVID</w:t>
      </w:r>
      <w:r w:rsidRPr="00346D1C">
        <w:rPr>
          <w:rFonts w:ascii="Georgia" w:hAnsi="Georgia" w:cs="Times New Roman"/>
          <w:sz w:val="24"/>
          <w:szCs w:val="24"/>
        </w:rPr>
        <w:t xml:space="preserve">-19 incidence of poverty and degree of inequality, by using data of the KIHBS 2015/16, a representative sample from the Population and Housing Census 2019 and the KNBS 2020 Wave 1 and 2 surveys on “Socio-economic Impact of COVID-19 on Households in Kenya”. Their simulation results suggest that the poverty incidence was 28.9% in 2019 and that it rose to 41.9% in 2020 during the first part of the </w:t>
      </w:r>
      <w:r w:rsidR="005C3D12" w:rsidRPr="00346D1C">
        <w:rPr>
          <w:rFonts w:ascii="Georgia" w:hAnsi="Georgia" w:cs="Times New Roman"/>
          <w:sz w:val="24"/>
          <w:szCs w:val="24"/>
        </w:rPr>
        <w:t>COVID</w:t>
      </w:r>
      <w:r w:rsidRPr="00346D1C">
        <w:rPr>
          <w:rFonts w:ascii="Georgia" w:hAnsi="Georgia" w:cs="Times New Roman"/>
          <w:sz w:val="24"/>
          <w:szCs w:val="24"/>
        </w:rPr>
        <w:t>-19 pandemic (compared to 46.6% in 2005/06 and 36.1% in 2015/16), while the estimated Gini coefficient rose from 39.1 to 40.2 in 2019-2020. Nairobi and Mombasa were most heavily affected by the crisis, but still recorded a lower incidence of poverty in 2020 than rural areas and other urban areas. The simulated values are different from the above-mentioned actual values based on the Kenya Continuous Household Survey, but the magnitudes of the simulated changes over time are similar to those of the actual changes.</w:t>
      </w:r>
    </w:p>
    <w:p w14:paraId="180E2E93" w14:textId="6DDF146D" w:rsidR="00222D5E" w:rsidRPr="00346D1C" w:rsidRDefault="00672A3C" w:rsidP="00222D5E">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Disparities </w:t>
      </w:r>
      <w:r w:rsidR="00A7695E" w:rsidRPr="00346D1C">
        <w:rPr>
          <w:rFonts w:ascii="Georgia" w:hAnsi="Georgia" w:cs="Times New Roman"/>
          <w:sz w:val="24"/>
          <w:szCs w:val="24"/>
        </w:rPr>
        <w:t>between</w:t>
      </w:r>
      <w:r w:rsidRPr="00346D1C">
        <w:rPr>
          <w:rFonts w:ascii="Georgia" w:hAnsi="Georgia" w:cs="Times New Roman"/>
          <w:sz w:val="24"/>
          <w:szCs w:val="24"/>
        </w:rPr>
        <w:t xml:space="preserve"> regions are </w:t>
      </w:r>
      <w:r w:rsidR="00A7695E" w:rsidRPr="00346D1C">
        <w:rPr>
          <w:rFonts w:ascii="Georgia" w:hAnsi="Georgia" w:cs="Times New Roman"/>
          <w:sz w:val="24"/>
          <w:szCs w:val="24"/>
        </w:rPr>
        <w:t>also large in</w:t>
      </w:r>
      <w:r w:rsidRPr="00346D1C">
        <w:rPr>
          <w:rFonts w:ascii="Georgia" w:hAnsi="Georgia" w:cs="Times New Roman"/>
          <w:sz w:val="24"/>
          <w:szCs w:val="24"/>
        </w:rPr>
        <w:t xml:space="preserve"> </w:t>
      </w:r>
      <w:r w:rsidR="006E0CC5" w:rsidRPr="00346D1C">
        <w:rPr>
          <w:rFonts w:ascii="Georgia" w:hAnsi="Georgia" w:cs="Times New Roman"/>
          <w:sz w:val="24"/>
          <w:szCs w:val="24"/>
        </w:rPr>
        <w:t>Kenya</w:t>
      </w:r>
      <w:r w:rsidRPr="00346D1C">
        <w:rPr>
          <w:rFonts w:ascii="Georgia" w:hAnsi="Georgia" w:cs="Times New Roman"/>
          <w:sz w:val="24"/>
          <w:szCs w:val="24"/>
        </w:rPr>
        <w:t>. Table 2 shows that urban inequality</w:t>
      </w:r>
      <w:r w:rsidR="002E6204" w:rsidRPr="00346D1C">
        <w:rPr>
          <w:rFonts w:ascii="Georgia" w:hAnsi="Georgia" w:cs="Times New Roman"/>
          <w:sz w:val="24"/>
          <w:szCs w:val="24"/>
        </w:rPr>
        <w:t xml:space="preserve"> </w:t>
      </w:r>
      <w:r w:rsidR="005B24A4" w:rsidRPr="00346D1C">
        <w:rPr>
          <w:rFonts w:ascii="Georgia" w:hAnsi="Georgia" w:cs="Times New Roman"/>
          <w:sz w:val="24"/>
          <w:szCs w:val="24"/>
        </w:rPr>
        <w:t>(of per capita expenditur</w:t>
      </w:r>
      <w:r w:rsidR="00222D5E" w:rsidRPr="00346D1C">
        <w:rPr>
          <w:rFonts w:ascii="Georgia" w:hAnsi="Georgia" w:cs="Times New Roman"/>
          <w:sz w:val="24"/>
          <w:szCs w:val="24"/>
        </w:rPr>
        <w:t>e</w:t>
      </w:r>
      <w:r w:rsidR="005B24A4" w:rsidRPr="00346D1C">
        <w:rPr>
          <w:rFonts w:ascii="Georgia" w:hAnsi="Georgia" w:cs="Times New Roman"/>
          <w:sz w:val="24"/>
          <w:szCs w:val="24"/>
        </w:rPr>
        <w:t>)</w:t>
      </w:r>
      <w:r w:rsidRPr="00346D1C">
        <w:rPr>
          <w:rFonts w:ascii="Georgia" w:hAnsi="Georgia" w:cs="Times New Roman"/>
          <w:sz w:val="24"/>
          <w:szCs w:val="24"/>
        </w:rPr>
        <w:t xml:space="preserve"> </w:t>
      </w:r>
      <w:r w:rsidR="00A636DF" w:rsidRPr="00346D1C">
        <w:rPr>
          <w:rFonts w:ascii="Georgia" w:hAnsi="Georgia" w:cs="Times New Roman"/>
          <w:sz w:val="24"/>
          <w:szCs w:val="24"/>
        </w:rPr>
        <w:t xml:space="preserve">as measured by the Gini </w:t>
      </w:r>
      <w:r w:rsidR="00EC38D9" w:rsidRPr="00346D1C">
        <w:rPr>
          <w:rFonts w:ascii="Georgia" w:hAnsi="Georgia" w:cs="Times New Roman"/>
          <w:sz w:val="24"/>
          <w:szCs w:val="24"/>
        </w:rPr>
        <w:t xml:space="preserve">and Theil </w:t>
      </w:r>
      <w:r w:rsidR="001121A2" w:rsidRPr="00346D1C">
        <w:rPr>
          <w:rFonts w:ascii="Georgia" w:hAnsi="Georgia" w:cs="Times New Roman"/>
          <w:sz w:val="24"/>
          <w:szCs w:val="24"/>
        </w:rPr>
        <w:t>coefficients</w:t>
      </w:r>
      <w:r w:rsidR="00A636DF" w:rsidRPr="00346D1C">
        <w:rPr>
          <w:rFonts w:ascii="Georgia" w:hAnsi="Georgia" w:cs="Times New Roman"/>
          <w:sz w:val="24"/>
          <w:szCs w:val="24"/>
        </w:rPr>
        <w:t xml:space="preserve"> </w:t>
      </w:r>
      <w:r w:rsidR="009336FA" w:rsidRPr="00346D1C">
        <w:rPr>
          <w:rFonts w:ascii="Georgia" w:hAnsi="Georgia" w:cs="Times New Roman"/>
          <w:sz w:val="24"/>
          <w:szCs w:val="24"/>
        </w:rPr>
        <w:t xml:space="preserve">and the Palma ratio </w:t>
      </w:r>
      <w:r w:rsidR="000618B8" w:rsidRPr="00346D1C">
        <w:rPr>
          <w:rFonts w:ascii="Georgia" w:hAnsi="Georgia" w:cs="Times New Roman"/>
          <w:sz w:val="24"/>
          <w:szCs w:val="24"/>
        </w:rPr>
        <w:t>was</w:t>
      </w:r>
      <w:r w:rsidRPr="00346D1C">
        <w:rPr>
          <w:rFonts w:ascii="Georgia" w:hAnsi="Georgia" w:cs="Times New Roman"/>
          <w:sz w:val="24"/>
          <w:szCs w:val="24"/>
        </w:rPr>
        <w:t xml:space="preserve"> higher </w:t>
      </w:r>
      <w:r w:rsidR="000618B8" w:rsidRPr="00346D1C">
        <w:rPr>
          <w:rFonts w:ascii="Georgia" w:hAnsi="Georgia" w:cs="Times New Roman"/>
          <w:sz w:val="24"/>
          <w:szCs w:val="24"/>
        </w:rPr>
        <w:t xml:space="preserve">than </w:t>
      </w:r>
      <w:r w:rsidRPr="00346D1C">
        <w:rPr>
          <w:rFonts w:ascii="Georgia" w:hAnsi="Georgia" w:cs="Times New Roman"/>
          <w:sz w:val="24"/>
          <w:szCs w:val="24"/>
        </w:rPr>
        <w:t xml:space="preserve">rural </w:t>
      </w:r>
      <w:r w:rsidR="000618B8" w:rsidRPr="00346D1C">
        <w:rPr>
          <w:rFonts w:ascii="Georgia" w:hAnsi="Georgia" w:cs="Times New Roman"/>
          <w:sz w:val="24"/>
          <w:szCs w:val="24"/>
        </w:rPr>
        <w:t>inequality in 2005/06. Rural inequality w</w:t>
      </w:r>
      <w:r w:rsidRPr="00346D1C">
        <w:rPr>
          <w:rFonts w:ascii="Georgia" w:hAnsi="Georgia" w:cs="Times New Roman"/>
          <w:sz w:val="24"/>
          <w:szCs w:val="24"/>
        </w:rPr>
        <w:t xml:space="preserve">as </w:t>
      </w:r>
      <w:r w:rsidR="000618B8" w:rsidRPr="00346D1C">
        <w:rPr>
          <w:rFonts w:ascii="Georgia" w:hAnsi="Georgia" w:cs="Times New Roman"/>
          <w:sz w:val="24"/>
          <w:szCs w:val="24"/>
        </w:rPr>
        <w:t xml:space="preserve">only slightly less in </w:t>
      </w:r>
      <w:r w:rsidRPr="00346D1C">
        <w:rPr>
          <w:rFonts w:ascii="Georgia" w:hAnsi="Georgia" w:cs="Times New Roman"/>
          <w:sz w:val="24"/>
          <w:szCs w:val="24"/>
        </w:rPr>
        <w:t>201</w:t>
      </w:r>
      <w:r w:rsidR="000618B8" w:rsidRPr="00346D1C">
        <w:rPr>
          <w:rFonts w:ascii="Georgia" w:hAnsi="Georgia" w:cs="Times New Roman"/>
          <w:sz w:val="24"/>
          <w:szCs w:val="24"/>
        </w:rPr>
        <w:t>5/16</w:t>
      </w:r>
      <w:r w:rsidR="00817E7C" w:rsidRPr="00346D1C">
        <w:rPr>
          <w:rFonts w:ascii="Georgia" w:hAnsi="Georgia" w:cs="Times New Roman"/>
          <w:sz w:val="24"/>
          <w:szCs w:val="24"/>
        </w:rPr>
        <w:t xml:space="preserve"> than a decade earlier</w:t>
      </w:r>
      <w:r w:rsidRPr="00346D1C">
        <w:rPr>
          <w:rFonts w:ascii="Georgia" w:hAnsi="Georgia" w:cs="Times New Roman"/>
          <w:sz w:val="24"/>
          <w:szCs w:val="24"/>
        </w:rPr>
        <w:t xml:space="preserve">. </w:t>
      </w:r>
      <w:r w:rsidR="000618B8" w:rsidRPr="00346D1C">
        <w:rPr>
          <w:rFonts w:ascii="Georgia" w:hAnsi="Georgia" w:cs="Times New Roman"/>
          <w:sz w:val="24"/>
          <w:szCs w:val="24"/>
        </w:rPr>
        <w:t>In contrast, inequality</w:t>
      </w:r>
      <w:r w:rsidR="007810F2" w:rsidRPr="00346D1C">
        <w:rPr>
          <w:rFonts w:ascii="Georgia" w:hAnsi="Georgia" w:cs="Times New Roman"/>
          <w:sz w:val="24"/>
          <w:szCs w:val="24"/>
        </w:rPr>
        <w:t xml:space="preserve"> </w:t>
      </w:r>
      <w:r w:rsidR="009F233E" w:rsidRPr="00346D1C">
        <w:rPr>
          <w:rFonts w:ascii="Georgia" w:hAnsi="Georgia" w:cs="Times New Roman"/>
          <w:sz w:val="24"/>
          <w:szCs w:val="24"/>
        </w:rPr>
        <w:t>with</w:t>
      </w:r>
      <w:r w:rsidR="007810F2" w:rsidRPr="00346D1C">
        <w:rPr>
          <w:rFonts w:ascii="Georgia" w:hAnsi="Georgia" w:cs="Times New Roman"/>
          <w:sz w:val="24"/>
          <w:szCs w:val="24"/>
        </w:rPr>
        <w:t>in urban areas</w:t>
      </w:r>
      <w:r w:rsidR="000618B8" w:rsidRPr="00346D1C">
        <w:rPr>
          <w:rFonts w:ascii="Georgia" w:hAnsi="Georgia" w:cs="Times New Roman"/>
          <w:sz w:val="24"/>
          <w:szCs w:val="24"/>
        </w:rPr>
        <w:t xml:space="preserve"> declined substantially</w:t>
      </w:r>
      <w:r w:rsidR="000E6727" w:rsidRPr="00346D1C">
        <w:rPr>
          <w:rFonts w:ascii="Georgia" w:hAnsi="Georgia" w:cs="Times New Roman"/>
          <w:sz w:val="24"/>
          <w:szCs w:val="24"/>
        </w:rPr>
        <w:t xml:space="preserve"> and </w:t>
      </w:r>
      <w:r w:rsidR="00B34505" w:rsidRPr="00346D1C">
        <w:rPr>
          <w:rFonts w:ascii="Georgia" w:hAnsi="Georgia" w:cs="Times New Roman"/>
          <w:sz w:val="24"/>
          <w:szCs w:val="24"/>
        </w:rPr>
        <w:t xml:space="preserve">the difference </w:t>
      </w:r>
      <w:r w:rsidR="00861F75" w:rsidRPr="00346D1C">
        <w:rPr>
          <w:rFonts w:ascii="Georgia" w:hAnsi="Georgia" w:cs="Times New Roman"/>
          <w:sz w:val="24"/>
          <w:szCs w:val="24"/>
        </w:rPr>
        <w:t xml:space="preserve">between </w:t>
      </w:r>
      <w:r w:rsidR="004947B3" w:rsidRPr="00346D1C">
        <w:rPr>
          <w:rFonts w:ascii="Georgia" w:hAnsi="Georgia" w:cs="Times New Roman"/>
          <w:sz w:val="24"/>
          <w:szCs w:val="24"/>
        </w:rPr>
        <w:t>u</w:t>
      </w:r>
      <w:r w:rsidR="007C064C" w:rsidRPr="00346D1C">
        <w:rPr>
          <w:rFonts w:ascii="Georgia" w:hAnsi="Georgia" w:cs="Times New Roman"/>
          <w:sz w:val="24"/>
          <w:szCs w:val="24"/>
        </w:rPr>
        <w:t>rban and rural inequality</w:t>
      </w:r>
      <w:r w:rsidR="00C04004" w:rsidRPr="00346D1C">
        <w:rPr>
          <w:rFonts w:ascii="Georgia" w:hAnsi="Georgia" w:cs="Times New Roman"/>
          <w:sz w:val="24"/>
          <w:szCs w:val="24"/>
        </w:rPr>
        <w:t xml:space="preserve"> </w:t>
      </w:r>
      <w:r w:rsidR="00B34505" w:rsidRPr="00346D1C">
        <w:rPr>
          <w:rFonts w:ascii="Georgia" w:hAnsi="Georgia" w:cs="Times New Roman"/>
          <w:sz w:val="24"/>
          <w:szCs w:val="24"/>
        </w:rPr>
        <w:t>virtually disappeared</w:t>
      </w:r>
      <w:r w:rsidR="000618B8" w:rsidRPr="00346D1C">
        <w:rPr>
          <w:rFonts w:ascii="Georgia" w:hAnsi="Georgia" w:cs="Times New Roman"/>
          <w:sz w:val="24"/>
          <w:szCs w:val="24"/>
        </w:rPr>
        <w:t>.</w:t>
      </w:r>
      <w:r w:rsidR="00222D5E" w:rsidRPr="00346D1C">
        <w:rPr>
          <w:rFonts w:ascii="Georgia" w:hAnsi="Georgia" w:cs="Times New Roman"/>
          <w:sz w:val="24"/>
          <w:szCs w:val="24"/>
        </w:rPr>
        <w:t xml:space="preserve"> </w:t>
      </w:r>
      <w:r w:rsidR="00C403DC" w:rsidRPr="00346D1C">
        <w:rPr>
          <w:rFonts w:ascii="Georgia" w:hAnsi="Georgia" w:cs="Times New Roman"/>
          <w:sz w:val="24"/>
          <w:szCs w:val="24"/>
        </w:rPr>
        <w:t>As shown in KNBS (2023</w:t>
      </w:r>
      <w:r w:rsidR="004F747B" w:rsidRPr="00346D1C">
        <w:rPr>
          <w:rFonts w:ascii="Georgia" w:hAnsi="Georgia" w:cs="Times New Roman"/>
          <w:sz w:val="24"/>
          <w:szCs w:val="24"/>
        </w:rPr>
        <w:t>b</w:t>
      </w:r>
      <w:r w:rsidR="00C403DC" w:rsidRPr="00346D1C">
        <w:rPr>
          <w:rFonts w:ascii="Georgia" w:hAnsi="Georgia" w:cs="Times New Roman"/>
          <w:sz w:val="24"/>
          <w:szCs w:val="24"/>
        </w:rPr>
        <w:t>: Table 4.6), r</w:t>
      </w:r>
      <w:r w:rsidR="00222D5E" w:rsidRPr="00346D1C">
        <w:rPr>
          <w:rFonts w:ascii="Georgia" w:hAnsi="Georgia" w:cs="Times New Roman"/>
          <w:sz w:val="24"/>
          <w:szCs w:val="24"/>
        </w:rPr>
        <w:t>ural income inequality as measured by the Gini coefficient marginally rose between 2015/16 and 2019, before declining to 29 in 2021. The Gini coefficient of urban income inequality remained virtually unchanged at 35 between 2015/16 and 2019 and had a value of 37 in 2021</w:t>
      </w:r>
      <w:r w:rsidR="00C403DC" w:rsidRPr="00346D1C">
        <w:rPr>
          <w:rFonts w:ascii="Georgia" w:hAnsi="Georgia" w:cs="Times New Roman"/>
          <w:sz w:val="24"/>
          <w:szCs w:val="24"/>
        </w:rPr>
        <w:t>.</w:t>
      </w:r>
      <w:r w:rsidR="00222D5E" w:rsidRPr="00346D1C">
        <w:rPr>
          <w:rFonts w:ascii="Georgia" w:hAnsi="Georgia" w:cs="Times New Roman"/>
          <w:sz w:val="24"/>
          <w:szCs w:val="24"/>
        </w:rPr>
        <w:t xml:space="preserve"> </w:t>
      </w:r>
    </w:p>
    <w:p w14:paraId="190C7C6D" w14:textId="11A760F0" w:rsidR="00672A3C" w:rsidRPr="00346D1C" w:rsidRDefault="00C403DC" w:rsidP="007810F2">
      <w:pPr>
        <w:spacing w:after="120" w:line="240" w:lineRule="auto"/>
        <w:jc w:val="both"/>
        <w:rPr>
          <w:rFonts w:ascii="Georgia" w:hAnsi="Georgia" w:cs="Times New Roman"/>
          <w:sz w:val="24"/>
          <w:szCs w:val="24"/>
        </w:rPr>
      </w:pPr>
      <w:r w:rsidRPr="00346D1C">
        <w:rPr>
          <w:rFonts w:ascii="Georgia" w:hAnsi="Georgia" w:cs="Times New Roman"/>
          <w:sz w:val="24"/>
          <w:szCs w:val="24"/>
        </w:rPr>
        <w:t>T</w:t>
      </w:r>
      <w:r w:rsidR="004C19E8" w:rsidRPr="00346D1C">
        <w:rPr>
          <w:rFonts w:ascii="Georgia" w:hAnsi="Georgia" w:cs="Times New Roman"/>
          <w:sz w:val="24"/>
          <w:szCs w:val="24"/>
        </w:rPr>
        <w:t xml:space="preserve">he Theil coefficient is </w:t>
      </w:r>
      <w:r w:rsidR="005E3434" w:rsidRPr="00346D1C">
        <w:rPr>
          <w:rFonts w:ascii="Georgia" w:hAnsi="Georgia" w:cs="Times New Roman"/>
          <w:sz w:val="24"/>
          <w:szCs w:val="24"/>
        </w:rPr>
        <w:t xml:space="preserve">a decomposable </w:t>
      </w:r>
      <w:r w:rsidR="000471C4" w:rsidRPr="00346D1C">
        <w:rPr>
          <w:rFonts w:ascii="Georgia" w:hAnsi="Georgia" w:cs="Times New Roman"/>
          <w:sz w:val="24"/>
          <w:szCs w:val="24"/>
        </w:rPr>
        <w:t xml:space="preserve">measure of the degree of inequality, with </w:t>
      </w:r>
      <w:r w:rsidR="00EF5171" w:rsidRPr="00346D1C">
        <w:rPr>
          <w:rFonts w:ascii="Georgia" w:hAnsi="Georgia" w:cs="Times New Roman"/>
          <w:sz w:val="24"/>
          <w:szCs w:val="24"/>
        </w:rPr>
        <w:t>a value of zero or higher</w:t>
      </w:r>
      <w:r w:rsidR="00A61DB3" w:rsidRPr="00346D1C">
        <w:rPr>
          <w:rFonts w:ascii="Georgia" w:hAnsi="Georgia" w:cs="Times New Roman"/>
          <w:sz w:val="24"/>
          <w:szCs w:val="24"/>
        </w:rPr>
        <w:t xml:space="preserve"> and indicating </w:t>
      </w:r>
      <w:r w:rsidR="00A84533" w:rsidRPr="00346D1C">
        <w:rPr>
          <w:rFonts w:ascii="Georgia" w:hAnsi="Georgia" w:cs="Times New Roman"/>
          <w:sz w:val="24"/>
          <w:szCs w:val="24"/>
        </w:rPr>
        <w:t>that there is more inequality the higher the value of the coefficient.</w:t>
      </w:r>
      <w:r w:rsidR="00672A3C" w:rsidRPr="00346D1C">
        <w:rPr>
          <w:rFonts w:ascii="Georgia" w:hAnsi="Georgia" w:cs="Times New Roman"/>
          <w:sz w:val="24"/>
          <w:szCs w:val="24"/>
        </w:rPr>
        <w:t xml:space="preserve"> </w:t>
      </w:r>
      <w:r w:rsidR="003A5EE8" w:rsidRPr="00346D1C">
        <w:rPr>
          <w:rFonts w:ascii="Georgia" w:hAnsi="Georgia" w:cs="Times New Roman"/>
          <w:sz w:val="24"/>
          <w:szCs w:val="24"/>
        </w:rPr>
        <w:t xml:space="preserve">A decomposition of the </w:t>
      </w:r>
      <w:r w:rsidR="005B7F92" w:rsidRPr="00346D1C">
        <w:rPr>
          <w:rFonts w:ascii="Georgia" w:hAnsi="Georgia" w:cs="Times New Roman"/>
          <w:sz w:val="24"/>
          <w:szCs w:val="24"/>
        </w:rPr>
        <w:t xml:space="preserve">national-level </w:t>
      </w:r>
      <w:r w:rsidR="003A5EE8" w:rsidRPr="00346D1C">
        <w:rPr>
          <w:rFonts w:ascii="Georgia" w:hAnsi="Georgia" w:cs="Times New Roman"/>
          <w:sz w:val="24"/>
          <w:szCs w:val="24"/>
        </w:rPr>
        <w:t xml:space="preserve">Theil coefficient shows that </w:t>
      </w:r>
      <w:r w:rsidR="00013326" w:rsidRPr="00346D1C">
        <w:rPr>
          <w:rFonts w:ascii="Georgia" w:hAnsi="Georgia" w:cs="Times New Roman"/>
          <w:sz w:val="24"/>
          <w:szCs w:val="24"/>
        </w:rPr>
        <w:t xml:space="preserve">the within-area inequality </w:t>
      </w:r>
      <w:r w:rsidR="00006ED8" w:rsidRPr="00346D1C">
        <w:rPr>
          <w:rFonts w:ascii="Georgia" w:hAnsi="Georgia" w:cs="Times New Roman"/>
          <w:sz w:val="24"/>
          <w:szCs w:val="24"/>
        </w:rPr>
        <w:t xml:space="preserve">explains </w:t>
      </w:r>
      <w:r w:rsidR="002815AF" w:rsidRPr="00346D1C">
        <w:rPr>
          <w:rFonts w:ascii="Georgia" w:hAnsi="Georgia" w:cs="Times New Roman"/>
          <w:sz w:val="24"/>
          <w:szCs w:val="24"/>
        </w:rPr>
        <w:t>about</w:t>
      </w:r>
      <w:r w:rsidR="00006ED8" w:rsidRPr="00346D1C">
        <w:rPr>
          <w:rFonts w:ascii="Georgia" w:hAnsi="Georgia" w:cs="Times New Roman"/>
          <w:sz w:val="24"/>
          <w:szCs w:val="24"/>
        </w:rPr>
        <w:t xml:space="preserve"> three quarters of national inequality</w:t>
      </w:r>
      <w:r w:rsidR="00F73564" w:rsidRPr="00346D1C">
        <w:rPr>
          <w:rFonts w:ascii="Georgia" w:hAnsi="Georgia" w:cs="Times New Roman"/>
          <w:sz w:val="24"/>
          <w:szCs w:val="24"/>
        </w:rPr>
        <w:t xml:space="preserve">, while </w:t>
      </w:r>
      <w:r w:rsidR="004A6B49" w:rsidRPr="00346D1C">
        <w:rPr>
          <w:rFonts w:ascii="Georgia" w:hAnsi="Georgia" w:cs="Times New Roman"/>
          <w:sz w:val="24"/>
          <w:szCs w:val="24"/>
        </w:rPr>
        <w:t>approximately</w:t>
      </w:r>
      <w:r w:rsidR="00BE3FF9" w:rsidRPr="00346D1C">
        <w:rPr>
          <w:rFonts w:ascii="Georgia" w:hAnsi="Georgia" w:cs="Times New Roman"/>
          <w:sz w:val="24"/>
          <w:szCs w:val="24"/>
        </w:rPr>
        <w:t xml:space="preserve"> a quarter is explained by the </w:t>
      </w:r>
      <w:r w:rsidR="003E388A" w:rsidRPr="00346D1C">
        <w:rPr>
          <w:rFonts w:ascii="Georgia" w:hAnsi="Georgia" w:cs="Times New Roman"/>
          <w:sz w:val="24"/>
          <w:szCs w:val="24"/>
        </w:rPr>
        <w:t xml:space="preserve">urban-rural </w:t>
      </w:r>
      <w:r w:rsidR="00381F06" w:rsidRPr="00346D1C">
        <w:rPr>
          <w:rFonts w:ascii="Georgia" w:hAnsi="Georgia" w:cs="Times New Roman"/>
          <w:sz w:val="24"/>
          <w:szCs w:val="24"/>
        </w:rPr>
        <w:t>difference</w:t>
      </w:r>
      <w:r w:rsidR="003E388A" w:rsidRPr="00346D1C">
        <w:rPr>
          <w:rFonts w:ascii="Georgia" w:hAnsi="Georgia" w:cs="Times New Roman"/>
          <w:sz w:val="24"/>
          <w:szCs w:val="24"/>
        </w:rPr>
        <w:t xml:space="preserve"> in mean incomes (</w:t>
      </w:r>
      <w:r w:rsidR="00381F06" w:rsidRPr="00346D1C">
        <w:rPr>
          <w:rFonts w:ascii="Georgia" w:hAnsi="Georgia" w:cs="Times New Roman"/>
          <w:sz w:val="24"/>
          <w:szCs w:val="24"/>
        </w:rPr>
        <w:t>KNBS</w:t>
      </w:r>
      <w:r w:rsidR="00072F97" w:rsidRPr="00346D1C">
        <w:rPr>
          <w:rFonts w:ascii="Georgia" w:hAnsi="Georgia" w:cs="Times New Roman"/>
          <w:sz w:val="24"/>
          <w:szCs w:val="24"/>
        </w:rPr>
        <w:t>,</w:t>
      </w:r>
      <w:r w:rsidR="00381F06" w:rsidRPr="00346D1C">
        <w:rPr>
          <w:rFonts w:ascii="Georgia" w:hAnsi="Georgia" w:cs="Times New Roman"/>
          <w:sz w:val="24"/>
          <w:szCs w:val="24"/>
        </w:rPr>
        <w:t xml:space="preserve"> 202</w:t>
      </w:r>
      <w:r w:rsidR="00371767" w:rsidRPr="00346D1C">
        <w:rPr>
          <w:rFonts w:ascii="Georgia" w:hAnsi="Georgia" w:cs="Times New Roman"/>
          <w:sz w:val="24"/>
          <w:szCs w:val="24"/>
        </w:rPr>
        <w:t>0b</w:t>
      </w:r>
      <w:r w:rsidR="00381F06" w:rsidRPr="00346D1C">
        <w:rPr>
          <w:rFonts w:ascii="Georgia" w:hAnsi="Georgia" w:cs="Times New Roman"/>
          <w:sz w:val="24"/>
          <w:szCs w:val="24"/>
        </w:rPr>
        <w:t>: Table 4.</w:t>
      </w:r>
      <w:r w:rsidR="004A541F" w:rsidRPr="00346D1C">
        <w:rPr>
          <w:rFonts w:ascii="Georgia" w:hAnsi="Georgia" w:cs="Times New Roman"/>
          <w:sz w:val="24"/>
          <w:szCs w:val="24"/>
        </w:rPr>
        <w:t>8</w:t>
      </w:r>
      <w:r w:rsidR="00381F06" w:rsidRPr="00346D1C">
        <w:rPr>
          <w:rFonts w:ascii="Georgia" w:hAnsi="Georgia" w:cs="Times New Roman"/>
          <w:sz w:val="24"/>
          <w:szCs w:val="24"/>
        </w:rPr>
        <w:t>).</w:t>
      </w:r>
      <w:r w:rsidR="003E388A" w:rsidRPr="00346D1C">
        <w:rPr>
          <w:rFonts w:ascii="Georgia" w:hAnsi="Georgia" w:cs="Times New Roman"/>
          <w:sz w:val="24"/>
          <w:szCs w:val="24"/>
        </w:rPr>
        <w:t xml:space="preserve"> </w:t>
      </w:r>
      <w:r w:rsidR="004A6B49" w:rsidRPr="00346D1C">
        <w:rPr>
          <w:rFonts w:ascii="Georgia" w:hAnsi="Georgia" w:cs="Times New Roman"/>
          <w:sz w:val="24"/>
          <w:szCs w:val="24"/>
        </w:rPr>
        <w:t>The part of over</w:t>
      </w:r>
      <w:r w:rsidR="003C4E35" w:rsidRPr="00346D1C">
        <w:rPr>
          <w:rFonts w:ascii="Georgia" w:hAnsi="Georgia" w:cs="Times New Roman"/>
          <w:sz w:val="24"/>
          <w:szCs w:val="24"/>
        </w:rPr>
        <w:t>all</w:t>
      </w:r>
      <w:r w:rsidR="004A6B49" w:rsidRPr="00346D1C">
        <w:rPr>
          <w:rFonts w:ascii="Georgia" w:hAnsi="Georgia" w:cs="Times New Roman"/>
          <w:sz w:val="24"/>
          <w:szCs w:val="24"/>
        </w:rPr>
        <w:t xml:space="preserve"> inequality that </w:t>
      </w:r>
      <w:r w:rsidR="003C4E35" w:rsidRPr="00346D1C">
        <w:rPr>
          <w:rFonts w:ascii="Georgia" w:hAnsi="Georgia" w:cs="Times New Roman"/>
          <w:sz w:val="24"/>
          <w:szCs w:val="24"/>
        </w:rPr>
        <w:t xml:space="preserve">is attributed to the urban-rural gap </w:t>
      </w:r>
      <w:r w:rsidR="00680041" w:rsidRPr="00346D1C">
        <w:rPr>
          <w:rFonts w:ascii="Georgia" w:hAnsi="Georgia" w:cs="Times New Roman"/>
          <w:sz w:val="24"/>
          <w:szCs w:val="24"/>
        </w:rPr>
        <w:t xml:space="preserve">marginally </w:t>
      </w:r>
      <w:r w:rsidR="00A74591" w:rsidRPr="00346D1C">
        <w:rPr>
          <w:rFonts w:ascii="Georgia" w:hAnsi="Georgia" w:cs="Times New Roman"/>
          <w:sz w:val="24"/>
          <w:szCs w:val="24"/>
        </w:rPr>
        <w:t xml:space="preserve">increased </w:t>
      </w:r>
      <w:r w:rsidR="00680041" w:rsidRPr="00346D1C">
        <w:rPr>
          <w:rFonts w:ascii="Georgia" w:hAnsi="Georgia" w:cs="Times New Roman"/>
          <w:sz w:val="24"/>
          <w:szCs w:val="24"/>
        </w:rPr>
        <w:t>between 1994 and 2015/16 (ibid.)</w:t>
      </w:r>
      <w:r w:rsidR="00ED515C" w:rsidRPr="00346D1C">
        <w:rPr>
          <w:rFonts w:ascii="Georgia" w:hAnsi="Georgia" w:cs="Times New Roman"/>
          <w:sz w:val="24"/>
          <w:szCs w:val="24"/>
        </w:rPr>
        <w:t xml:space="preserve">. </w:t>
      </w:r>
      <w:r w:rsidR="00D91BD8" w:rsidRPr="00346D1C">
        <w:rPr>
          <w:rFonts w:ascii="Georgia" w:hAnsi="Georgia" w:cs="Times New Roman"/>
          <w:sz w:val="24"/>
          <w:szCs w:val="24"/>
        </w:rPr>
        <w:t>The results for 1994 and 2005/06 are similar to those found by Boaz (2015).</w:t>
      </w:r>
    </w:p>
    <w:p w14:paraId="0F0E1A9F" w14:textId="1122B063" w:rsidR="00672A3C" w:rsidRPr="009C5581" w:rsidRDefault="00672A3C" w:rsidP="00BA75A2">
      <w:pPr>
        <w:jc w:val="center"/>
        <w:rPr>
          <w:rFonts w:ascii="Times New Roman" w:hAnsi="Times New Roman" w:cs="Times New Roman"/>
          <w:sz w:val="20"/>
          <w:szCs w:val="20"/>
        </w:rPr>
      </w:pPr>
      <w:bookmarkStart w:id="24" w:name="_Toc119578200"/>
      <w:bookmarkStart w:id="25" w:name="_Toc122349798"/>
      <w:bookmarkStart w:id="26" w:name="_Toc137745021"/>
      <w:r w:rsidRPr="009C5581">
        <w:rPr>
          <w:rFonts w:ascii="Times New Roman" w:hAnsi="Times New Roman" w:cs="Times New Roman"/>
          <w:b/>
          <w:bCs/>
          <w:sz w:val="20"/>
          <w:szCs w:val="20"/>
        </w:rPr>
        <w:t xml:space="preserve">Table </w:t>
      </w:r>
      <w:r w:rsidRPr="009C5581">
        <w:rPr>
          <w:rFonts w:ascii="Times New Roman" w:hAnsi="Times New Roman" w:cs="Times New Roman"/>
          <w:b/>
          <w:bCs/>
          <w:sz w:val="20"/>
          <w:szCs w:val="20"/>
        </w:rPr>
        <w:fldChar w:fldCharType="begin"/>
      </w:r>
      <w:r w:rsidRPr="009C5581">
        <w:rPr>
          <w:rFonts w:ascii="Times New Roman" w:hAnsi="Times New Roman" w:cs="Times New Roman"/>
          <w:b/>
          <w:bCs/>
          <w:sz w:val="20"/>
          <w:szCs w:val="20"/>
        </w:rPr>
        <w:instrText xml:space="preserve"> SEQ Table \* ARABIC </w:instrText>
      </w:r>
      <w:r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2</w:t>
      </w:r>
      <w:r w:rsidRPr="009C5581">
        <w:rPr>
          <w:rFonts w:ascii="Times New Roman" w:hAnsi="Times New Roman" w:cs="Times New Roman"/>
          <w:b/>
          <w:bCs/>
          <w:sz w:val="20"/>
          <w:szCs w:val="20"/>
        </w:rPr>
        <w:fldChar w:fldCharType="end"/>
      </w:r>
      <w:r w:rsidRPr="009C5581">
        <w:rPr>
          <w:rFonts w:ascii="Times New Roman" w:hAnsi="Times New Roman" w:cs="Times New Roman"/>
          <w:sz w:val="20"/>
          <w:szCs w:val="20"/>
        </w:rPr>
        <w:t xml:space="preserve">: </w:t>
      </w:r>
      <w:r w:rsidR="009B7909" w:rsidRPr="009C5581">
        <w:rPr>
          <w:rFonts w:ascii="Times New Roman" w:hAnsi="Times New Roman" w:cs="Times New Roman"/>
          <w:sz w:val="20"/>
          <w:szCs w:val="20"/>
        </w:rPr>
        <w:t>Inequality indices</w:t>
      </w:r>
      <w:r w:rsidR="009336FA" w:rsidRPr="009C5581">
        <w:rPr>
          <w:rFonts w:ascii="Times New Roman" w:hAnsi="Times New Roman" w:cs="Times New Roman"/>
          <w:sz w:val="20"/>
          <w:szCs w:val="20"/>
        </w:rPr>
        <w:t xml:space="preserve"> </w:t>
      </w:r>
      <w:r w:rsidR="005B24A4" w:rsidRPr="009C5581">
        <w:rPr>
          <w:rFonts w:ascii="Times New Roman" w:hAnsi="Times New Roman" w:cs="Times New Roman"/>
          <w:sz w:val="20"/>
          <w:szCs w:val="20"/>
        </w:rPr>
        <w:t>of per capita expenditure</w:t>
      </w:r>
      <w:r w:rsidR="006F3816" w:rsidRPr="009C5581">
        <w:rPr>
          <w:rFonts w:ascii="Times New Roman" w:hAnsi="Times New Roman" w:cs="Times New Roman"/>
          <w:sz w:val="20"/>
          <w:szCs w:val="20"/>
        </w:rPr>
        <w:t>,</w:t>
      </w:r>
      <w:r w:rsidR="00EF37C5" w:rsidRPr="009C5581">
        <w:rPr>
          <w:rFonts w:ascii="Times New Roman" w:hAnsi="Times New Roman" w:cs="Times New Roman"/>
          <w:sz w:val="20"/>
          <w:szCs w:val="20"/>
        </w:rPr>
        <w:t xml:space="preserve"> </w:t>
      </w:r>
      <w:r w:rsidR="00923117" w:rsidRPr="009C5581">
        <w:rPr>
          <w:rFonts w:ascii="Times New Roman" w:hAnsi="Times New Roman" w:cs="Times New Roman"/>
          <w:sz w:val="20"/>
          <w:szCs w:val="20"/>
        </w:rPr>
        <w:t xml:space="preserve">1994, </w:t>
      </w:r>
      <w:r w:rsidRPr="009C5581">
        <w:rPr>
          <w:rFonts w:ascii="Times New Roman" w:hAnsi="Times New Roman" w:cs="Times New Roman"/>
          <w:sz w:val="20"/>
          <w:szCs w:val="20"/>
        </w:rPr>
        <w:t>200</w:t>
      </w:r>
      <w:r w:rsidR="006E0CC5" w:rsidRPr="009C5581">
        <w:rPr>
          <w:rFonts w:ascii="Times New Roman" w:hAnsi="Times New Roman" w:cs="Times New Roman"/>
          <w:sz w:val="20"/>
          <w:szCs w:val="20"/>
        </w:rPr>
        <w:t>5/06 and 2015/16</w:t>
      </w:r>
      <w:bookmarkEnd w:id="24"/>
      <w:bookmarkEnd w:id="25"/>
      <w:bookmarkEnd w:id="26"/>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894"/>
        <w:gridCol w:w="894"/>
        <w:gridCol w:w="894"/>
        <w:gridCol w:w="894"/>
        <w:gridCol w:w="894"/>
        <w:gridCol w:w="894"/>
        <w:gridCol w:w="894"/>
        <w:gridCol w:w="894"/>
        <w:gridCol w:w="894"/>
      </w:tblGrid>
      <w:tr w:rsidR="00714EAB" w:rsidRPr="009C5581" w14:paraId="58A2ABFA" w14:textId="59F32A61" w:rsidTr="003655E2">
        <w:trPr>
          <w:trHeight w:val="20"/>
          <w:jc w:val="center"/>
        </w:trPr>
        <w:tc>
          <w:tcPr>
            <w:tcW w:w="697" w:type="pct"/>
            <w:vMerge w:val="restart"/>
            <w:shd w:val="clear" w:color="auto" w:fill="auto"/>
            <w:noWrap/>
            <w:vAlign w:val="bottom"/>
            <w:hideMark/>
          </w:tcPr>
          <w:p w14:paraId="50F72468" w14:textId="77777777" w:rsidR="00714EAB" w:rsidRPr="009C5581" w:rsidRDefault="00714EAB" w:rsidP="003E27EE">
            <w:pPr>
              <w:spacing w:after="120" w:line="240" w:lineRule="auto"/>
              <w:rPr>
                <w:rFonts w:ascii="Times New Roman" w:eastAsia="Times New Roman" w:hAnsi="Times New Roman" w:cs="Times New Roman"/>
                <w:sz w:val="16"/>
                <w:szCs w:val="16"/>
              </w:rPr>
            </w:pPr>
            <w:r w:rsidRPr="009C5581">
              <w:rPr>
                <w:rFonts w:ascii="Times New Roman" w:eastAsia="Times New Roman" w:hAnsi="Times New Roman" w:cs="Times New Roman"/>
                <w:sz w:val="16"/>
                <w:szCs w:val="16"/>
              </w:rPr>
              <w:t>Area</w:t>
            </w:r>
          </w:p>
          <w:p w14:paraId="2B200201" w14:textId="343C81F9" w:rsidR="00714EAB" w:rsidRPr="009C5581" w:rsidRDefault="00714EAB" w:rsidP="00D26C91">
            <w:pPr>
              <w:spacing w:after="0" w:line="240" w:lineRule="auto"/>
              <w:rPr>
                <w:rFonts w:ascii="Times New Roman" w:eastAsia="Times New Roman" w:hAnsi="Times New Roman" w:cs="Times New Roman"/>
                <w:sz w:val="16"/>
                <w:szCs w:val="16"/>
              </w:rPr>
            </w:pPr>
            <w:r w:rsidRPr="009C5581">
              <w:rPr>
                <w:rFonts w:ascii="Times New Roman" w:eastAsia="Times New Roman" w:hAnsi="Times New Roman" w:cs="Times New Roman"/>
                <w:color w:val="000000"/>
                <w:sz w:val="16"/>
                <w:szCs w:val="16"/>
              </w:rPr>
              <w:t xml:space="preserve"> </w:t>
            </w:r>
          </w:p>
        </w:tc>
        <w:tc>
          <w:tcPr>
            <w:tcW w:w="1434" w:type="pct"/>
            <w:gridSpan w:val="3"/>
          </w:tcPr>
          <w:p w14:paraId="05F9BBB4" w14:textId="18B9122C" w:rsidR="00714EAB" w:rsidRPr="009C5581" w:rsidRDefault="00714EAB" w:rsidP="00712649">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Gini coefficient</w:t>
            </w:r>
          </w:p>
        </w:tc>
        <w:tc>
          <w:tcPr>
            <w:tcW w:w="1434" w:type="pct"/>
            <w:gridSpan w:val="3"/>
          </w:tcPr>
          <w:p w14:paraId="1B25F7A1" w14:textId="519AACDA" w:rsidR="00714EAB" w:rsidRPr="009C5581" w:rsidRDefault="00714EAB" w:rsidP="00712649">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Theil coefficient</w:t>
            </w:r>
            <w:r w:rsidRPr="009C5581">
              <w:rPr>
                <w:rStyle w:val="FootnoteReference"/>
                <w:rFonts w:ascii="Times New Roman" w:eastAsia="Times New Roman" w:hAnsi="Times New Roman" w:cs="Times New Roman"/>
                <w:color w:val="000000"/>
                <w:sz w:val="16"/>
                <w:szCs w:val="16"/>
              </w:rPr>
              <w:footnoteReference w:id="14"/>
            </w:r>
          </w:p>
        </w:tc>
        <w:tc>
          <w:tcPr>
            <w:tcW w:w="1434" w:type="pct"/>
            <w:gridSpan w:val="3"/>
          </w:tcPr>
          <w:p w14:paraId="60ADC1EC" w14:textId="3F8132F5" w:rsidR="00714EAB" w:rsidRPr="009C5581" w:rsidRDefault="00714EAB" w:rsidP="00712649">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Palma ratio</w:t>
            </w:r>
          </w:p>
        </w:tc>
      </w:tr>
      <w:tr w:rsidR="00714EAB" w:rsidRPr="009C5581" w14:paraId="331C0222" w14:textId="57C9B30E" w:rsidTr="00EF4F0A">
        <w:trPr>
          <w:trHeight w:val="20"/>
          <w:jc w:val="center"/>
        </w:trPr>
        <w:tc>
          <w:tcPr>
            <w:tcW w:w="697" w:type="pct"/>
            <w:vMerge/>
            <w:shd w:val="clear" w:color="auto" w:fill="auto"/>
            <w:noWrap/>
            <w:vAlign w:val="bottom"/>
            <w:hideMark/>
          </w:tcPr>
          <w:p w14:paraId="73AC6983" w14:textId="36A477C4" w:rsidR="00714EAB" w:rsidRPr="009C5581" w:rsidRDefault="00714EAB" w:rsidP="00D26C91">
            <w:pPr>
              <w:spacing w:after="0" w:line="240" w:lineRule="auto"/>
              <w:rPr>
                <w:rFonts w:ascii="Times New Roman" w:eastAsia="Times New Roman" w:hAnsi="Times New Roman" w:cs="Times New Roman"/>
                <w:color w:val="000000"/>
                <w:sz w:val="16"/>
                <w:szCs w:val="16"/>
              </w:rPr>
            </w:pPr>
          </w:p>
        </w:tc>
        <w:tc>
          <w:tcPr>
            <w:tcW w:w="478" w:type="pct"/>
            <w:vAlign w:val="center"/>
          </w:tcPr>
          <w:p w14:paraId="79B372EB" w14:textId="3075338B" w:rsidR="00714EAB" w:rsidRPr="009C5581" w:rsidRDefault="00714EAB" w:rsidP="00D26C91">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1994</w:t>
            </w:r>
          </w:p>
        </w:tc>
        <w:tc>
          <w:tcPr>
            <w:tcW w:w="478" w:type="pct"/>
            <w:shd w:val="clear" w:color="auto" w:fill="auto"/>
            <w:noWrap/>
            <w:vAlign w:val="center"/>
            <w:hideMark/>
          </w:tcPr>
          <w:p w14:paraId="3858C2AC" w14:textId="016ACFD3" w:rsidR="00714EAB" w:rsidRPr="009C5581" w:rsidRDefault="00714EAB" w:rsidP="00D26C91">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2005/06</w:t>
            </w:r>
          </w:p>
        </w:tc>
        <w:tc>
          <w:tcPr>
            <w:tcW w:w="478" w:type="pct"/>
            <w:shd w:val="clear" w:color="auto" w:fill="auto"/>
            <w:noWrap/>
            <w:vAlign w:val="center"/>
            <w:hideMark/>
          </w:tcPr>
          <w:p w14:paraId="73237A69" w14:textId="3DA73571" w:rsidR="00714EAB" w:rsidRPr="009C5581" w:rsidRDefault="00714EAB" w:rsidP="00D26C91">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2015/16</w:t>
            </w:r>
          </w:p>
        </w:tc>
        <w:tc>
          <w:tcPr>
            <w:tcW w:w="478" w:type="pct"/>
            <w:vAlign w:val="center"/>
          </w:tcPr>
          <w:p w14:paraId="033592AD" w14:textId="4E6A5C5C" w:rsidR="00714EAB" w:rsidRPr="009C5581" w:rsidRDefault="00714EAB" w:rsidP="00D26C91">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1994</w:t>
            </w:r>
          </w:p>
        </w:tc>
        <w:tc>
          <w:tcPr>
            <w:tcW w:w="478" w:type="pct"/>
            <w:vAlign w:val="center"/>
          </w:tcPr>
          <w:p w14:paraId="1955EEB0" w14:textId="0B2E1DB0" w:rsidR="00714EAB" w:rsidRPr="009C5581" w:rsidRDefault="00714EAB" w:rsidP="00D26C91">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2005/06</w:t>
            </w:r>
          </w:p>
        </w:tc>
        <w:tc>
          <w:tcPr>
            <w:tcW w:w="478" w:type="pct"/>
            <w:vAlign w:val="center"/>
          </w:tcPr>
          <w:p w14:paraId="040B39A8" w14:textId="6E72E1FD" w:rsidR="00714EAB" w:rsidRPr="009C5581" w:rsidRDefault="00714EAB" w:rsidP="00D26C91">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2015/16</w:t>
            </w:r>
          </w:p>
        </w:tc>
        <w:tc>
          <w:tcPr>
            <w:tcW w:w="478" w:type="pct"/>
            <w:vAlign w:val="center"/>
          </w:tcPr>
          <w:p w14:paraId="3A7C16EC" w14:textId="570C4AEC" w:rsidR="00714EAB" w:rsidRPr="009C5581" w:rsidRDefault="00714EAB" w:rsidP="00D26C91">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1994</w:t>
            </w:r>
          </w:p>
        </w:tc>
        <w:tc>
          <w:tcPr>
            <w:tcW w:w="478" w:type="pct"/>
            <w:vAlign w:val="center"/>
          </w:tcPr>
          <w:p w14:paraId="422BC112" w14:textId="7DFEFEA6" w:rsidR="00714EAB" w:rsidRPr="009C5581" w:rsidRDefault="00714EAB" w:rsidP="00D26C91">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2005/06</w:t>
            </w:r>
          </w:p>
        </w:tc>
        <w:tc>
          <w:tcPr>
            <w:tcW w:w="478" w:type="pct"/>
            <w:vAlign w:val="center"/>
          </w:tcPr>
          <w:p w14:paraId="6FE70516" w14:textId="6FDB09E2" w:rsidR="00714EAB" w:rsidRPr="009C5581" w:rsidRDefault="00714EAB" w:rsidP="00D26C91">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2015/16</w:t>
            </w:r>
          </w:p>
        </w:tc>
      </w:tr>
      <w:tr w:rsidR="003655E2" w:rsidRPr="009C5581" w14:paraId="773F65C2" w14:textId="7EB5D34F" w:rsidTr="003655E2">
        <w:trPr>
          <w:trHeight w:val="20"/>
          <w:jc w:val="center"/>
        </w:trPr>
        <w:tc>
          <w:tcPr>
            <w:tcW w:w="697" w:type="pct"/>
            <w:shd w:val="clear" w:color="auto" w:fill="auto"/>
            <w:noWrap/>
            <w:vAlign w:val="bottom"/>
            <w:hideMark/>
          </w:tcPr>
          <w:p w14:paraId="548AB315" w14:textId="77777777" w:rsidR="00680041" w:rsidRPr="009C5581" w:rsidRDefault="00680041" w:rsidP="00D26C91">
            <w:pPr>
              <w:spacing w:after="0" w:line="240" w:lineRule="auto"/>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Rural</w:t>
            </w:r>
          </w:p>
        </w:tc>
        <w:tc>
          <w:tcPr>
            <w:tcW w:w="478" w:type="pct"/>
          </w:tcPr>
          <w:p w14:paraId="7D0CD3E5" w14:textId="468D64CB" w:rsidR="00680041" w:rsidRPr="009C5581" w:rsidRDefault="00EB6E00" w:rsidP="00D26C9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39</w:t>
            </w:r>
          </w:p>
        </w:tc>
        <w:tc>
          <w:tcPr>
            <w:tcW w:w="478" w:type="pct"/>
            <w:shd w:val="clear" w:color="auto" w:fill="auto"/>
            <w:noWrap/>
            <w:vAlign w:val="bottom"/>
            <w:hideMark/>
          </w:tcPr>
          <w:p w14:paraId="68051993" w14:textId="1D310801" w:rsidR="00680041" w:rsidRPr="009C5581" w:rsidRDefault="00680041" w:rsidP="00D26C9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38</w:t>
            </w:r>
          </w:p>
        </w:tc>
        <w:tc>
          <w:tcPr>
            <w:tcW w:w="478" w:type="pct"/>
            <w:shd w:val="clear" w:color="auto" w:fill="auto"/>
            <w:noWrap/>
            <w:vAlign w:val="bottom"/>
            <w:hideMark/>
          </w:tcPr>
          <w:p w14:paraId="093FFFA7" w14:textId="3A0E8035" w:rsidR="00680041" w:rsidRPr="009C5581" w:rsidRDefault="00680041" w:rsidP="00D26C9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35</w:t>
            </w:r>
          </w:p>
        </w:tc>
        <w:tc>
          <w:tcPr>
            <w:tcW w:w="478" w:type="pct"/>
          </w:tcPr>
          <w:p w14:paraId="290CC191" w14:textId="6CD73B11" w:rsidR="00680041" w:rsidRPr="009C5581" w:rsidRDefault="00A24200" w:rsidP="00D26C9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26</w:t>
            </w:r>
          </w:p>
        </w:tc>
        <w:tc>
          <w:tcPr>
            <w:tcW w:w="478" w:type="pct"/>
          </w:tcPr>
          <w:p w14:paraId="7F67B2CC" w14:textId="7F09764F" w:rsidR="00680041" w:rsidRPr="009C5581" w:rsidRDefault="00680041" w:rsidP="00D26C9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26</w:t>
            </w:r>
          </w:p>
        </w:tc>
        <w:tc>
          <w:tcPr>
            <w:tcW w:w="478" w:type="pct"/>
          </w:tcPr>
          <w:p w14:paraId="3DDEBB24" w14:textId="383A0CC9" w:rsidR="00680041" w:rsidRPr="009C5581" w:rsidRDefault="00680041" w:rsidP="00D26C9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22</w:t>
            </w:r>
          </w:p>
        </w:tc>
        <w:tc>
          <w:tcPr>
            <w:tcW w:w="478" w:type="pct"/>
          </w:tcPr>
          <w:p w14:paraId="350B6049" w14:textId="61CC827A" w:rsidR="00680041" w:rsidRPr="009C5581" w:rsidRDefault="001B5109" w:rsidP="00D26C9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1.7</w:t>
            </w:r>
          </w:p>
        </w:tc>
        <w:tc>
          <w:tcPr>
            <w:tcW w:w="478" w:type="pct"/>
          </w:tcPr>
          <w:p w14:paraId="56E4634F" w14:textId="0E1ACBDC" w:rsidR="00680041" w:rsidRPr="009C5581" w:rsidRDefault="00680041" w:rsidP="00D26C9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1.7</w:t>
            </w:r>
          </w:p>
        </w:tc>
        <w:tc>
          <w:tcPr>
            <w:tcW w:w="478" w:type="pct"/>
          </w:tcPr>
          <w:p w14:paraId="20787810" w14:textId="33809ECC" w:rsidR="00680041" w:rsidRPr="009C5581" w:rsidRDefault="00680041" w:rsidP="00D26C9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1.4</w:t>
            </w:r>
          </w:p>
        </w:tc>
      </w:tr>
      <w:tr w:rsidR="003655E2" w:rsidRPr="009C5581" w14:paraId="7DDD59FD" w14:textId="77AAD659" w:rsidTr="003655E2">
        <w:trPr>
          <w:trHeight w:val="20"/>
          <w:jc w:val="center"/>
        </w:trPr>
        <w:tc>
          <w:tcPr>
            <w:tcW w:w="697" w:type="pct"/>
            <w:shd w:val="clear" w:color="auto" w:fill="auto"/>
            <w:noWrap/>
            <w:vAlign w:val="bottom"/>
            <w:hideMark/>
          </w:tcPr>
          <w:p w14:paraId="562FB73D" w14:textId="77777777" w:rsidR="00680041" w:rsidRPr="009C5581" w:rsidRDefault="00680041" w:rsidP="004837F1">
            <w:pPr>
              <w:spacing w:after="0" w:line="240" w:lineRule="auto"/>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Urban</w:t>
            </w:r>
          </w:p>
        </w:tc>
        <w:tc>
          <w:tcPr>
            <w:tcW w:w="478" w:type="pct"/>
          </w:tcPr>
          <w:p w14:paraId="53D019EA" w14:textId="73CFA351" w:rsidR="00680041" w:rsidRPr="009C5581" w:rsidRDefault="00EB6E00" w:rsidP="004837F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47</w:t>
            </w:r>
          </w:p>
        </w:tc>
        <w:tc>
          <w:tcPr>
            <w:tcW w:w="478" w:type="pct"/>
            <w:shd w:val="clear" w:color="auto" w:fill="auto"/>
            <w:noWrap/>
            <w:vAlign w:val="bottom"/>
            <w:hideMark/>
          </w:tcPr>
          <w:p w14:paraId="7F95916C" w14:textId="31EC5D9D" w:rsidR="00680041" w:rsidRPr="009C5581" w:rsidRDefault="00680041" w:rsidP="004837F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45</w:t>
            </w:r>
          </w:p>
        </w:tc>
        <w:tc>
          <w:tcPr>
            <w:tcW w:w="478" w:type="pct"/>
            <w:shd w:val="clear" w:color="auto" w:fill="auto"/>
            <w:noWrap/>
            <w:vAlign w:val="bottom"/>
            <w:hideMark/>
          </w:tcPr>
          <w:p w14:paraId="08CEBAB5" w14:textId="0E30DE69" w:rsidR="00680041" w:rsidRPr="009C5581" w:rsidRDefault="00680041" w:rsidP="004837F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36</w:t>
            </w:r>
          </w:p>
        </w:tc>
        <w:tc>
          <w:tcPr>
            <w:tcW w:w="478" w:type="pct"/>
          </w:tcPr>
          <w:p w14:paraId="590B1DA6" w14:textId="236D45F8" w:rsidR="00680041" w:rsidRPr="009C5581" w:rsidRDefault="00A24200" w:rsidP="004837F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48</w:t>
            </w:r>
          </w:p>
        </w:tc>
        <w:tc>
          <w:tcPr>
            <w:tcW w:w="478" w:type="pct"/>
          </w:tcPr>
          <w:p w14:paraId="67B8035B" w14:textId="2C872E62" w:rsidR="00680041" w:rsidRPr="009C5581" w:rsidRDefault="00680041" w:rsidP="004837F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42</w:t>
            </w:r>
          </w:p>
        </w:tc>
        <w:tc>
          <w:tcPr>
            <w:tcW w:w="478" w:type="pct"/>
          </w:tcPr>
          <w:p w14:paraId="49A1F731" w14:textId="2762A43C" w:rsidR="00680041" w:rsidRPr="009C5581" w:rsidRDefault="00680041" w:rsidP="004837F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23</w:t>
            </w:r>
          </w:p>
        </w:tc>
        <w:tc>
          <w:tcPr>
            <w:tcW w:w="478" w:type="pct"/>
          </w:tcPr>
          <w:p w14:paraId="1763A329" w14:textId="3723DE40" w:rsidR="00680041" w:rsidRPr="009C5581" w:rsidRDefault="001B5109" w:rsidP="004837F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3.0</w:t>
            </w:r>
          </w:p>
        </w:tc>
        <w:tc>
          <w:tcPr>
            <w:tcW w:w="478" w:type="pct"/>
          </w:tcPr>
          <w:p w14:paraId="554D860A" w14:textId="0759B439" w:rsidR="00680041" w:rsidRPr="009C5581" w:rsidRDefault="00680041" w:rsidP="004837F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2.4</w:t>
            </w:r>
          </w:p>
        </w:tc>
        <w:tc>
          <w:tcPr>
            <w:tcW w:w="478" w:type="pct"/>
          </w:tcPr>
          <w:p w14:paraId="6FEDF9EF" w14:textId="19CEFB8C" w:rsidR="00680041" w:rsidRPr="009C5581" w:rsidRDefault="00680041" w:rsidP="004837F1">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1.5</w:t>
            </w:r>
          </w:p>
        </w:tc>
      </w:tr>
    </w:tbl>
    <w:p w14:paraId="56D8CCA9" w14:textId="5B6F6FF9" w:rsidR="00672A3C" w:rsidRPr="009C5581" w:rsidRDefault="00672A3C" w:rsidP="00A22F5F">
      <w:pPr>
        <w:tabs>
          <w:tab w:val="left" w:pos="2427"/>
        </w:tabs>
        <w:spacing w:after="120" w:line="240" w:lineRule="auto"/>
        <w:jc w:val="center"/>
        <w:rPr>
          <w:rFonts w:ascii="Times New Roman" w:hAnsi="Times New Roman" w:cs="Times New Roman"/>
          <w:sz w:val="16"/>
          <w:szCs w:val="16"/>
        </w:rPr>
      </w:pPr>
      <w:r w:rsidRPr="009C5581">
        <w:rPr>
          <w:rFonts w:ascii="Times New Roman" w:hAnsi="Times New Roman" w:cs="Times New Roman"/>
          <w:sz w:val="16"/>
          <w:szCs w:val="16"/>
        </w:rPr>
        <w:t xml:space="preserve">Source: </w:t>
      </w:r>
      <w:r w:rsidR="000618B8" w:rsidRPr="009C5581">
        <w:rPr>
          <w:rFonts w:ascii="Times New Roman" w:hAnsi="Times New Roman" w:cs="Times New Roman"/>
          <w:sz w:val="16"/>
          <w:szCs w:val="16"/>
        </w:rPr>
        <w:t>KNBS (202</w:t>
      </w:r>
      <w:r w:rsidR="00371767" w:rsidRPr="009C5581">
        <w:rPr>
          <w:rFonts w:ascii="Times New Roman" w:hAnsi="Times New Roman" w:cs="Times New Roman"/>
          <w:sz w:val="16"/>
          <w:szCs w:val="16"/>
        </w:rPr>
        <w:t>0b</w:t>
      </w:r>
      <w:r w:rsidR="000618B8" w:rsidRPr="009C5581">
        <w:rPr>
          <w:rFonts w:ascii="Times New Roman" w:hAnsi="Times New Roman" w:cs="Times New Roman"/>
          <w:sz w:val="16"/>
          <w:szCs w:val="16"/>
        </w:rPr>
        <w:t>: Table 4.4)</w:t>
      </w:r>
    </w:p>
    <w:p w14:paraId="140FD710" w14:textId="4550C5A7" w:rsidR="004D689F" w:rsidRPr="00346D1C" w:rsidRDefault="009B4CB9" w:rsidP="006C7F3D">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fldChar w:fldCharType="begin"/>
      </w:r>
      <w:r w:rsidRPr="00346D1C">
        <w:rPr>
          <w:rFonts w:ascii="Georgia" w:hAnsi="Georgia" w:cs="Times New Roman"/>
          <w:sz w:val="24"/>
          <w:szCs w:val="24"/>
        </w:rPr>
        <w:instrText xml:space="preserve"> REF _Ref132205558 \h </w:instrText>
      </w:r>
      <w:r w:rsidR="001C6A23" w:rsidRPr="00346D1C">
        <w:rPr>
          <w:rFonts w:ascii="Georgia" w:hAnsi="Georgia" w:cs="Times New Roman"/>
          <w:sz w:val="24"/>
          <w:szCs w:val="24"/>
        </w:rPr>
        <w:instrText xml:space="preserve"> \* MERGEFORMAT </w:instrText>
      </w:r>
      <w:r w:rsidRPr="00346D1C">
        <w:rPr>
          <w:rFonts w:ascii="Georgia" w:hAnsi="Georgia" w:cs="Times New Roman"/>
          <w:sz w:val="24"/>
          <w:szCs w:val="24"/>
        </w:rPr>
      </w:r>
      <w:r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4</w:t>
      </w:r>
      <w:r w:rsidRPr="00346D1C">
        <w:rPr>
          <w:rFonts w:ascii="Georgia" w:hAnsi="Georgia" w:cs="Times New Roman"/>
          <w:sz w:val="24"/>
          <w:szCs w:val="24"/>
        </w:rPr>
        <w:fldChar w:fldCharType="end"/>
      </w:r>
      <w:r w:rsidRPr="00346D1C">
        <w:rPr>
          <w:rFonts w:ascii="Georgia" w:hAnsi="Georgia" w:cs="Times New Roman"/>
          <w:sz w:val="24"/>
          <w:szCs w:val="24"/>
        </w:rPr>
        <w:t xml:space="preserve"> show</w:t>
      </w:r>
      <w:r w:rsidR="00680A10" w:rsidRPr="00346D1C">
        <w:rPr>
          <w:rFonts w:ascii="Georgia" w:hAnsi="Georgia" w:cs="Times New Roman"/>
          <w:sz w:val="24"/>
          <w:szCs w:val="24"/>
        </w:rPr>
        <w:t xml:space="preserve">s that the </w:t>
      </w:r>
      <w:r w:rsidRPr="00346D1C">
        <w:rPr>
          <w:rFonts w:ascii="Georgia" w:hAnsi="Georgia" w:cs="Times New Roman"/>
          <w:sz w:val="24"/>
          <w:szCs w:val="24"/>
        </w:rPr>
        <w:t xml:space="preserve">Gini </w:t>
      </w:r>
      <w:r w:rsidR="00680A10" w:rsidRPr="00346D1C">
        <w:rPr>
          <w:rFonts w:ascii="Georgia" w:hAnsi="Georgia" w:cs="Times New Roman"/>
          <w:sz w:val="24"/>
          <w:szCs w:val="24"/>
        </w:rPr>
        <w:t xml:space="preserve">coefficient </w:t>
      </w:r>
      <w:r w:rsidR="00D85292" w:rsidRPr="00346D1C">
        <w:rPr>
          <w:rFonts w:ascii="Georgia" w:hAnsi="Georgia" w:cs="Times New Roman"/>
          <w:sz w:val="24"/>
          <w:szCs w:val="24"/>
        </w:rPr>
        <w:t xml:space="preserve">varied </w:t>
      </w:r>
      <w:r w:rsidR="00C93D04" w:rsidRPr="00346D1C">
        <w:rPr>
          <w:rFonts w:ascii="Georgia" w:hAnsi="Georgia" w:cs="Times New Roman"/>
          <w:sz w:val="24"/>
          <w:szCs w:val="24"/>
        </w:rPr>
        <w:t xml:space="preserve">across the </w:t>
      </w:r>
      <w:r w:rsidR="00680A10" w:rsidRPr="00346D1C">
        <w:rPr>
          <w:rFonts w:ascii="Georgia" w:hAnsi="Georgia" w:cs="Times New Roman"/>
          <w:sz w:val="24"/>
          <w:szCs w:val="24"/>
        </w:rPr>
        <w:t xml:space="preserve">counties </w:t>
      </w:r>
      <w:r w:rsidR="00C93D04" w:rsidRPr="00346D1C">
        <w:rPr>
          <w:rFonts w:ascii="Georgia" w:hAnsi="Georgia" w:cs="Times New Roman"/>
          <w:sz w:val="24"/>
          <w:szCs w:val="24"/>
        </w:rPr>
        <w:t>of</w:t>
      </w:r>
      <w:r w:rsidR="00680A10" w:rsidRPr="00346D1C">
        <w:rPr>
          <w:rFonts w:ascii="Georgia" w:hAnsi="Georgia" w:cs="Times New Roman"/>
          <w:sz w:val="24"/>
          <w:szCs w:val="24"/>
        </w:rPr>
        <w:t xml:space="preserve"> Kenya</w:t>
      </w:r>
      <w:r w:rsidR="00EA30F2" w:rsidRPr="00346D1C">
        <w:rPr>
          <w:rFonts w:ascii="Georgia" w:hAnsi="Georgia" w:cs="Times New Roman"/>
          <w:sz w:val="24"/>
          <w:szCs w:val="24"/>
        </w:rPr>
        <w:t xml:space="preserve"> in 2015/16</w:t>
      </w:r>
      <w:r w:rsidR="0069513D" w:rsidRPr="00346D1C">
        <w:rPr>
          <w:rFonts w:ascii="Georgia" w:hAnsi="Georgia" w:cs="Times New Roman"/>
          <w:sz w:val="24"/>
          <w:szCs w:val="24"/>
        </w:rPr>
        <w:t xml:space="preserve">. </w:t>
      </w:r>
      <w:r w:rsidR="000550BA" w:rsidRPr="00346D1C">
        <w:rPr>
          <w:rFonts w:ascii="Georgia" w:hAnsi="Georgia" w:cs="Times New Roman"/>
          <w:sz w:val="24"/>
          <w:szCs w:val="24"/>
        </w:rPr>
        <w:t>Especially North-western Kenya is characterised by high</w:t>
      </w:r>
      <w:r w:rsidR="00ED4009" w:rsidRPr="00346D1C">
        <w:rPr>
          <w:rFonts w:ascii="Georgia" w:hAnsi="Georgia" w:cs="Times New Roman"/>
          <w:sz w:val="24"/>
          <w:szCs w:val="24"/>
        </w:rPr>
        <w:t xml:space="preserve"> degrees of </w:t>
      </w:r>
      <w:r w:rsidR="000550BA" w:rsidRPr="00346D1C">
        <w:rPr>
          <w:rFonts w:ascii="Georgia" w:hAnsi="Georgia" w:cs="Times New Roman"/>
          <w:sz w:val="24"/>
          <w:szCs w:val="24"/>
        </w:rPr>
        <w:t>inequality</w:t>
      </w:r>
      <w:r w:rsidR="007A5303" w:rsidRPr="00346D1C">
        <w:rPr>
          <w:rFonts w:ascii="Georgia" w:hAnsi="Georgia" w:cs="Times New Roman"/>
          <w:sz w:val="24"/>
          <w:szCs w:val="24"/>
        </w:rPr>
        <w:t>, which</w:t>
      </w:r>
      <w:r w:rsidR="00ED4009" w:rsidRPr="00346D1C">
        <w:rPr>
          <w:rFonts w:ascii="Georgia" w:hAnsi="Georgia" w:cs="Times New Roman"/>
          <w:sz w:val="24"/>
          <w:szCs w:val="24"/>
        </w:rPr>
        <w:t xml:space="preserve"> tend to </w:t>
      </w:r>
      <w:r w:rsidR="00A7198B" w:rsidRPr="00346D1C">
        <w:rPr>
          <w:rFonts w:ascii="Georgia" w:hAnsi="Georgia" w:cs="Times New Roman"/>
          <w:sz w:val="24"/>
          <w:szCs w:val="24"/>
        </w:rPr>
        <w:t>coincide with high poverty levels</w:t>
      </w:r>
      <w:r w:rsidR="000550BA" w:rsidRPr="00346D1C">
        <w:rPr>
          <w:rFonts w:ascii="Georgia" w:hAnsi="Georgia" w:cs="Times New Roman"/>
          <w:sz w:val="24"/>
          <w:szCs w:val="24"/>
        </w:rPr>
        <w:t xml:space="preserve">. </w:t>
      </w:r>
      <w:r w:rsidR="00A7198B" w:rsidRPr="00346D1C">
        <w:rPr>
          <w:rFonts w:ascii="Georgia" w:hAnsi="Georgia" w:cs="Times New Roman"/>
          <w:sz w:val="24"/>
          <w:szCs w:val="24"/>
        </w:rPr>
        <w:t>T</w:t>
      </w:r>
      <w:r w:rsidR="00C93D04" w:rsidRPr="00346D1C">
        <w:rPr>
          <w:rFonts w:ascii="Georgia" w:hAnsi="Georgia" w:cs="Times New Roman"/>
          <w:sz w:val="24"/>
          <w:szCs w:val="24"/>
        </w:rPr>
        <w:t>h</w:t>
      </w:r>
      <w:r w:rsidR="00F0721D" w:rsidRPr="00346D1C">
        <w:rPr>
          <w:rFonts w:ascii="Georgia" w:hAnsi="Georgia" w:cs="Times New Roman"/>
          <w:sz w:val="24"/>
          <w:szCs w:val="24"/>
        </w:rPr>
        <w:t xml:space="preserve">e poorest </w:t>
      </w:r>
      <w:r w:rsidR="0096665E" w:rsidRPr="00346D1C">
        <w:rPr>
          <w:rFonts w:ascii="Georgia" w:hAnsi="Georgia" w:cs="Times New Roman"/>
          <w:sz w:val="24"/>
          <w:szCs w:val="24"/>
        </w:rPr>
        <w:t xml:space="preserve">county – </w:t>
      </w:r>
      <w:r w:rsidR="008A11B8" w:rsidRPr="00346D1C">
        <w:rPr>
          <w:rFonts w:ascii="Georgia" w:hAnsi="Georgia" w:cs="Times New Roman"/>
          <w:sz w:val="24"/>
          <w:szCs w:val="24"/>
        </w:rPr>
        <w:t>Turkana</w:t>
      </w:r>
      <w:r w:rsidR="0096665E" w:rsidRPr="00346D1C">
        <w:rPr>
          <w:rFonts w:ascii="Georgia" w:hAnsi="Georgia" w:cs="Times New Roman"/>
          <w:sz w:val="24"/>
          <w:szCs w:val="24"/>
        </w:rPr>
        <w:t xml:space="preserve"> – was also the </w:t>
      </w:r>
      <w:r w:rsidR="00E94CB8" w:rsidRPr="00346D1C">
        <w:rPr>
          <w:rFonts w:ascii="Georgia" w:hAnsi="Georgia" w:cs="Times New Roman"/>
          <w:sz w:val="24"/>
          <w:szCs w:val="24"/>
        </w:rPr>
        <w:t xml:space="preserve">county with the highest </w:t>
      </w:r>
      <w:r w:rsidR="001C6A23" w:rsidRPr="00346D1C">
        <w:rPr>
          <w:rFonts w:ascii="Georgia" w:hAnsi="Georgia" w:cs="Times New Roman"/>
          <w:sz w:val="24"/>
          <w:szCs w:val="24"/>
        </w:rPr>
        <w:t xml:space="preserve">income </w:t>
      </w:r>
      <w:r w:rsidR="00E94CB8" w:rsidRPr="00346D1C">
        <w:rPr>
          <w:rFonts w:ascii="Georgia" w:hAnsi="Georgia" w:cs="Times New Roman"/>
          <w:sz w:val="24"/>
          <w:szCs w:val="24"/>
        </w:rPr>
        <w:t>inequ</w:t>
      </w:r>
      <w:r w:rsidR="001C6A23" w:rsidRPr="00346D1C">
        <w:rPr>
          <w:rFonts w:ascii="Georgia" w:hAnsi="Georgia" w:cs="Times New Roman"/>
          <w:sz w:val="24"/>
          <w:szCs w:val="24"/>
        </w:rPr>
        <w:t>ality.</w:t>
      </w:r>
      <w:r w:rsidR="00D30343" w:rsidRPr="00346D1C">
        <w:rPr>
          <w:rFonts w:ascii="Georgia" w:hAnsi="Georgia" w:cs="Times New Roman"/>
          <w:sz w:val="24"/>
          <w:szCs w:val="24"/>
        </w:rPr>
        <w:t xml:space="preserve"> </w:t>
      </w:r>
    </w:p>
    <w:p w14:paraId="423B73A5" w14:textId="71BD828B" w:rsidR="006C7F3D" w:rsidRPr="00346D1C" w:rsidRDefault="006C7F3D" w:rsidP="006C7F3D">
      <w:pPr>
        <w:tabs>
          <w:tab w:val="left" w:pos="2427"/>
        </w:tabs>
        <w:spacing w:after="120" w:line="240" w:lineRule="auto"/>
        <w:jc w:val="both"/>
        <w:rPr>
          <w:rFonts w:ascii="Georgia" w:hAnsi="Georgia" w:cs="Times New Roman"/>
          <w:sz w:val="24"/>
          <w:szCs w:val="24"/>
        </w:rPr>
      </w:pPr>
      <w:r w:rsidRPr="00346D1C">
        <w:rPr>
          <w:rFonts w:ascii="Georgia" w:hAnsi="Georgia" w:cs="Times New Roman"/>
          <w:sz w:val="24"/>
          <w:szCs w:val="24"/>
        </w:rPr>
        <w:t>The above-mentioned Gini coefficients are not corrected for underreporting of high incomes in the surveys. Chandy and Seidel (2017) present a national-level Gini coefficient adjusted for missing top incomes of 51.8 for Kenya in 2005, compared to an unadjusted Gini coefficient of 48.5.</w:t>
      </w:r>
      <w:r w:rsidRPr="00346D1C">
        <w:rPr>
          <w:rStyle w:val="FootnoteReference"/>
          <w:rFonts w:ascii="Georgia" w:hAnsi="Georgia" w:cs="Times New Roman"/>
          <w:sz w:val="24"/>
          <w:szCs w:val="24"/>
        </w:rPr>
        <w:footnoteReference w:id="15"/>
      </w:r>
    </w:p>
    <w:p w14:paraId="6A310A95" w14:textId="3EBA35F0" w:rsidR="004D689F" w:rsidRPr="009C5581" w:rsidRDefault="004D689F">
      <w:pPr>
        <w:rPr>
          <w:rFonts w:ascii="Times New Roman" w:hAnsi="Times New Roman" w:cs="Times New Roman"/>
          <w:sz w:val="16"/>
          <w:szCs w:val="16"/>
        </w:rPr>
      </w:pPr>
      <w:r w:rsidRPr="009C5581">
        <w:rPr>
          <w:rFonts w:ascii="Times New Roman" w:hAnsi="Times New Roman" w:cs="Times New Roman"/>
          <w:sz w:val="16"/>
          <w:szCs w:val="16"/>
        </w:rPr>
        <w:br w:type="page"/>
      </w:r>
    </w:p>
    <w:p w14:paraId="31034336" w14:textId="3EE21863" w:rsidR="00535D5C" w:rsidRPr="009C5581" w:rsidRDefault="00535D5C" w:rsidP="00F228A9">
      <w:pPr>
        <w:jc w:val="center"/>
        <w:rPr>
          <w:rFonts w:ascii="Times New Roman" w:hAnsi="Times New Roman" w:cs="Times New Roman"/>
          <w:sz w:val="20"/>
          <w:szCs w:val="20"/>
        </w:rPr>
      </w:pPr>
      <w:bookmarkStart w:id="27" w:name="_Ref132205558"/>
      <w:bookmarkStart w:id="28" w:name="_Toc144414576"/>
      <w:r w:rsidRPr="009C5581">
        <w:rPr>
          <w:rFonts w:ascii="Times New Roman" w:hAnsi="Times New Roman" w:cs="Times New Roman"/>
          <w:b/>
          <w:bCs/>
          <w:sz w:val="20"/>
          <w:szCs w:val="20"/>
        </w:rPr>
        <w:t xml:space="preserve">Figure </w:t>
      </w:r>
      <w:r w:rsidR="00B84F08" w:rsidRPr="009C5581">
        <w:rPr>
          <w:rFonts w:ascii="Times New Roman" w:hAnsi="Times New Roman" w:cs="Times New Roman"/>
          <w:b/>
          <w:bCs/>
          <w:sz w:val="20"/>
          <w:szCs w:val="20"/>
        </w:rPr>
        <w:fldChar w:fldCharType="begin"/>
      </w:r>
      <w:r w:rsidR="00B84F08" w:rsidRPr="009C5581">
        <w:rPr>
          <w:rFonts w:ascii="Times New Roman" w:hAnsi="Times New Roman" w:cs="Times New Roman"/>
          <w:b/>
          <w:bCs/>
          <w:sz w:val="20"/>
          <w:szCs w:val="20"/>
        </w:rPr>
        <w:instrText xml:space="preserve"> SEQ Figure \* ARABIC </w:instrText>
      </w:r>
      <w:r w:rsidR="00B84F08"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4</w:t>
      </w:r>
      <w:r w:rsidR="00B84F08" w:rsidRPr="009C5581">
        <w:rPr>
          <w:rFonts w:ascii="Times New Roman" w:hAnsi="Times New Roman" w:cs="Times New Roman"/>
          <w:b/>
          <w:bCs/>
          <w:sz w:val="20"/>
          <w:szCs w:val="20"/>
        </w:rPr>
        <w:fldChar w:fldCharType="end"/>
      </w:r>
      <w:bookmarkEnd w:id="27"/>
      <w:r w:rsidRPr="009C5581">
        <w:rPr>
          <w:rFonts w:ascii="Times New Roman" w:hAnsi="Times New Roman" w:cs="Times New Roman"/>
          <w:sz w:val="20"/>
          <w:szCs w:val="20"/>
        </w:rPr>
        <w:t>: Gi</w:t>
      </w:r>
      <w:r w:rsidR="00EC0E66" w:rsidRPr="009C5581">
        <w:rPr>
          <w:rFonts w:ascii="Times New Roman" w:hAnsi="Times New Roman" w:cs="Times New Roman"/>
          <w:sz w:val="20"/>
          <w:szCs w:val="20"/>
        </w:rPr>
        <w:t xml:space="preserve">ni </w:t>
      </w:r>
      <w:r w:rsidR="00680A10" w:rsidRPr="009C5581">
        <w:rPr>
          <w:rFonts w:ascii="Times New Roman" w:hAnsi="Times New Roman" w:cs="Times New Roman"/>
          <w:sz w:val="20"/>
          <w:szCs w:val="20"/>
        </w:rPr>
        <w:t>coefficient</w:t>
      </w:r>
      <w:r w:rsidR="00EC0E66" w:rsidRPr="009C5581">
        <w:rPr>
          <w:rFonts w:ascii="Times New Roman" w:hAnsi="Times New Roman" w:cs="Times New Roman"/>
          <w:sz w:val="20"/>
          <w:szCs w:val="20"/>
        </w:rPr>
        <w:t xml:space="preserve"> by county, 2015/16</w:t>
      </w:r>
      <w:bookmarkEnd w:id="28"/>
    </w:p>
    <w:p w14:paraId="6CA7AF9E" w14:textId="6394AC48" w:rsidR="00FE0523" w:rsidRPr="009C5581" w:rsidRDefault="00691C96" w:rsidP="00F228A9">
      <w:pPr>
        <w:jc w:val="center"/>
        <w:rPr>
          <w:rFonts w:ascii="Times New Roman" w:hAnsi="Times New Roman" w:cs="Times New Roman"/>
          <w:sz w:val="20"/>
          <w:szCs w:val="20"/>
        </w:rPr>
      </w:pPr>
      <w:r w:rsidRPr="009C5581">
        <w:rPr>
          <w:noProof/>
          <w:sz w:val="16"/>
          <w:szCs w:val="16"/>
          <w:lang w:val="en-US"/>
        </w:rPr>
        <w:drawing>
          <wp:inline distT="0" distB="0" distL="0" distR="0" wp14:anchorId="4E2AFC34" wp14:editId="64EE54ED">
            <wp:extent cx="414000" cy="8640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00" cy="864000"/>
                    </a:xfrm>
                    <a:prstGeom prst="rect">
                      <a:avLst/>
                    </a:prstGeom>
                    <a:noFill/>
                    <a:ln>
                      <a:noFill/>
                    </a:ln>
                  </pic:spPr>
                </pic:pic>
              </a:graphicData>
            </a:graphic>
          </wp:inline>
        </w:drawing>
      </w:r>
      <w:r w:rsidR="00FE0523" w:rsidRPr="009C5581">
        <w:rPr>
          <w:noProof/>
          <w:lang w:val="en-US"/>
        </w:rPr>
        <w:drawing>
          <wp:anchor distT="0" distB="0" distL="114300" distR="114300" simplePos="0" relativeHeight="251663370" behindDoc="0" locked="0" layoutInCell="1" allowOverlap="1" wp14:anchorId="77A819FF" wp14:editId="3115F1A1">
            <wp:simplePos x="0" y="0"/>
            <wp:positionH relativeFrom="column">
              <wp:posOffset>0</wp:posOffset>
            </wp:positionH>
            <wp:positionV relativeFrom="page">
              <wp:posOffset>1174830</wp:posOffset>
            </wp:positionV>
            <wp:extent cx="5943600" cy="6646545"/>
            <wp:effectExtent l="0" t="0" r="0" b="1905"/>
            <wp:wrapTopAndBottom/>
            <wp:docPr id="6" name="Picture 6"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 text, atla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6646545"/>
                    </a:xfrm>
                    <a:prstGeom prst="rect">
                      <a:avLst/>
                    </a:prstGeom>
                  </pic:spPr>
                </pic:pic>
              </a:graphicData>
            </a:graphic>
          </wp:anchor>
        </w:drawing>
      </w:r>
    </w:p>
    <w:p w14:paraId="6236F581" w14:textId="36B4B895" w:rsidR="002261F9" w:rsidRPr="009C5581" w:rsidRDefault="00F228A9" w:rsidP="0013461A">
      <w:pPr>
        <w:jc w:val="center"/>
        <w:rPr>
          <w:rFonts w:ascii="Times New Roman" w:hAnsi="Times New Roman" w:cs="Times New Roman"/>
          <w:sz w:val="16"/>
          <w:szCs w:val="16"/>
        </w:rPr>
        <w:sectPr w:rsidR="002261F9" w:rsidRPr="009C5581" w:rsidSect="00346D1C">
          <w:headerReference w:type="even" r:id="rId33"/>
          <w:headerReference w:type="default" r:id="rId34"/>
          <w:footerReference w:type="even" r:id="rId35"/>
          <w:footerReference w:type="default" r:id="rId36"/>
          <w:headerReference w:type="first" r:id="rId37"/>
          <w:footerReference w:type="first" r:id="rId38"/>
          <w:pgSz w:w="11906" w:h="16838" w:code="9"/>
          <w:pgMar w:top="1008" w:right="1008" w:bottom="1008" w:left="1008" w:header="720" w:footer="720" w:gutter="0"/>
          <w:pgNumType w:fmt="upperRoman"/>
          <w:cols w:space="720"/>
          <w:titlePg/>
          <w:docGrid w:linePitch="360"/>
        </w:sectPr>
      </w:pPr>
      <w:r w:rsidRPr="009C5581">
        <w:rPr>
          <w:rFonts w:ascii="Times New Roman" w:hAnsi="Times New Roman" w:cs="Times New Roman"/>
          <w:sz w:val="16"/>
          <w:szCs w:val="16"/>
        </w:rPr>
        <w:t xml:space="preserve">Source: </w:t>
      </w:r>
      <w:r w:rsidR="0081258C" w:rsidRPr="009C5581">
        <w:rPr>
          <w:rFonts w:ascii="Times New Roman" w:hAnsi="Times New Roman" w:cs="Times New Roman"/>
          <w:sz w:val="16"/>
          <w:szCs w:val="16"/>
        </w:rPr>
        <w:t>Author’s</w:t>
      </w:r>
      <w:r w:rsidRPr="009C5581">
        <w:rPr>
          <w:rFonts w:ascii="Times New Roman" w:hAnsi="Times New Roman" w:cs="Times New Roman"/>
          <w:sz w:val="16"/>
          <w:szCs w:val="16"/>
        </w:rPr>
        <w:t xml:space="preserve"> elaboration based on data from</w:t>
      </w:r>
      <w:r w:rsidR="00A57A9A" w:rsidRPr="009C5581">
        <w:rPr>
          <w:rFonts w:ascii="Times New Roman" w:hAnsi="Times New Roman" w:cs="Times New Roman"/>
          <w:sz w:val="16"/>
          <w:szCs w:val="16"/>
        </w:rPr>
        <w:t xml:space="preserve"> </w:t>
      </w:r>
      <w:r w:rsidRPr="009C5581">
        <w:rPr>
          <w:rFonts w:ascii="Times New Roman" w:hAnsi="Times New Roman" w:cs="Times New Roman"/>
          <w:sz w:val="16"/>
          <w:szCs w:val="16"/>
        </w:rPr>
        <w:t xml:space="preserve">KNBS (2020b, </w:t>
      </w:r>
      <w:r w:rsidR="00D8176F" w:rsidRPr="009C5581">
        <w:rPr>
          <w:rFonts w:ascii="Times New Roman" w:hAnsi="Times New Roman" w:cs="Times New Roman"/>
          <w:sz w:val="16"/>
          <w:szCs w:val="16"/>
        </w:rPr>
        <w:t>annex Table A.3</w:t>
      </w:r>
      <w:r w:rsidRPr="009C5581">
        <w:rPr>
          <w:rFonts w:ascii="Times New Roman" w:hAnsi="Times New Roman" w:cs="Times New Roman"/>
          <w:sz w:val="16"/>
          <w:szCs w:val="16"/>
        </w:rPr>
        <w:t>)</w:t>
      </w:r>
    </w:p>
    <w:p w14:paraId="00E8AB36" w14:textId="6B8A62E0" w:rsidR="00EF2B26" w:rsidRPr="00346D1C" w:rsidRDefault="00EF2B26" w:rsidP="00EE5ECD">
      <w:pPr>
        <w:pStyle w:val="Heading1"/>
        <w:numPr>
          <w:ilvl w:val="0"/>
          <w:numId w:val="1"/>
        </w:numPr>
        <w:spacing w:before="0" w:after="120" w:line="240" w:lineRule="auto"/>
        <w:rPr>
          <w:rFonts w:ascii="Georgia" w:eastAsia="Constantia" w:hAnsi="Georgia" w:cs="Times New Roman"/>
          <w:b/>
          <w:bCs/>
          <w:color w:val="000000" w:themeColor="text1"/>
          <w:lang w:eastAsia="en-GB"/>
        </w:rPr>
      </w:pPr>
      <w:bookmarkStart w:id="29" w:name="_Toc62037152"/>
      <w:bookmarkStart w:id="30" w:name="_Toc145928780"/>
      <w:r w:rsidRPr="00346D1C">
        <w:rPr>
          <w:rFonts w:ascii="Georgia" w:eastAsia="Constantia" w:hAnsi="Georgia" w:cs="Times New Roman"/>
          <w:b/>
          <w:bCs/>
          <w:color w:val="000000" w:themeColor="text1"/>
          <w:lang w:eastAsia="en-GB"/>
        </w:rPr>
        <w:t xml:space="preserve">Causes and </w:t>
      </w:r>
      <w:r w:rsidRPr="00346D1C">
        <w:rPr>
          <w:rFonts w:ascii="Georgia" w:hAnsi="Georgia" w:cs="Times New Roman"/>
          <w:b/>
          <w:bCs/>
          <w:color w:val="000000" w:themeColor="text1"/>
        </w:rPr>
        <w:t>drivers</w:t>
      </w:r>
      <w:r w:rsidRPr="00346D1C">
        <w:rPr>
          <w:rFonts w:ascii="Georgia" w:eastAsia="Constantia" w:hAnsi="Georgia" w:cs="Times New Roman"/>
          <w:b/>
          <w:bCs/>
          <w:color w:val="000000" w:themeColor="text1"/>
          <w:lang w:eastAsia="en-GB"/>
        </w:rPr>
        <w:t xml:space="preserve"> of inequality</w:t>
      </w:r>
      <w:bookmarkEnd w:id="29"/>
      <w:bookmarkEnd w:id="30"/>
      <w:r w:rsidRPr="00346D1C">
        <w:rPr>
          <w:rFonts w:ascii="Georgia" w:eastAsia="Constantia" w:hAnsi="Georgia" w:cs="Times New Roman"/>
          <w:b/>
          <w:bCs/>
          <w:color w:val="000000" w:themeColor="text1"/>
          <w:lang w:eastAsia="en-GB"/>
        </w:rPr>
        <w:t xml:space="preserve"> </w:t>
      </w:r>
    </w:p>
    <w:tbl>
      <w:tblPr>
        <w:tblStyle w:val="TableGrid"/>
        <w:tblW w:w="0" w:type="auto"/>
        <w:tblLook w:val="04A0" w:firstRow="1" w:lastRow="0" w:firstColumn="1" w:lastColumn="0" w:noHBand="0" w:noVBand="1"/>
      </w:tblPr>
      <w:tblGrid>
        <w:gridCol w:w="9805"/>
      </w:tblGrid>
      <w:tr w:rsidR="007452A9" w:rsidRPr="009C5581" w14:paraId="45284C85" w14:textId="77777777" w:rsidTr="00A4493C">
        <w:tc>
          <w:tcPr>
            <w:tcW w:w="9805" w:type="dxa"/>
          </w:tcPr>
          <w:p w14:paraId="4A340F62" w14:textId="0AEE4F2A" w:rsidR="00E66043" w:rsidRPr="00A4493C" w:rsidRDefault="00E66043" w:rsidP="00A4493C">
            <w:pPr>
              <w:spacing w:before="120" w:after="120"/>
              <w:jc w:val="both"/>
              <w:rPr>
                <w:rFonts w:ascii="Georgia" w:hAnsi="Georgia" w:cs="Times New Roman"/>
              </w:rPr>
            </w:pPr>
            <w:bookmarkStart w:id="31" w:name="_Toc108017993"/>
            <w:bookmarkStart w:id="32" w:name="_Toc144414483"/>
            <w:r w:rsidRPr="00A4493C">
              <w:rPr>
                <w:rFonts w:ascii="Georgia" w:hAnsi="Georgia" w:cs="Times New Roman"/>
              </w:rPr>
              <w:t xml:space="preserve">Box </w:t>
            </w:r>
            <w:r w:rsidRPr="00A4493C">
              <w:rPr>
                <w:rFonts w:ascii="Georgia" w:hAnsi="Georgia" w:cs="Times New Roman"/>
              </w:rPr>
              <w:fldChar w:fldCharType="begin"/>
            </w:r>
            <w:r w:rsidRPr="00A4493C">
              <w:rPr>
                <w:rFonts w:ascii="Georgia" w:hAnsi="Georgia" w:cs="Times New Roman"/>
              </w:rPr>
              <w:instrText xml:space="preserve"> SEQ Box \* ARABIC </w:instrText>
            </w:r>
            <w:r w:rsidRPr="00A4493C">
              <w:rPr>
                <w:rFonts w:ascii="Georgia" w:hAnsi="Georgia" w:cs="Times New Roman"/>
              </w:rPr>
              <w:fldChar w:fldCharType="separate"/>
            </w:r>
            <w:r w:rsidR="000F6B8E" w:rsidRPr="00A4493C">
              <w:rPr>
                <w:rFonts w:ascii="Georgia" w:hAnsi="Georgia" w:cs="Times New Roman"/>
                <w:noProof/>
              </w:rPr>
              <w:t>1</w:t>
            </w:r>
            <w:r w:rsidRPr="00A4493C">
              <w:rPr>
                <w:rFonts w:ascii="Georgia" w:hAnsi="Georgia" w:cs="Times New Roman"/>
              </w:rPr>
              <w:fldChar w:fldCharType="end"/>
            </w:r>
            <w:r w:rsidRPr="00A4493C">
              <w:rPr>
                <w:rFonts w:ascii="Georgia" w:hAnsi="Georgia" w:cs="Times New Roman"/>
              </w:rPr>
              <w:t>: Summary of causes and drivers of inequality</w:t>
            </w:r>
            <w:bookmarkEnd w:id="31"/>
            <w:bookmarkEnd w:id="32"/>
          </w:p>
          <w:p w14:paraId="63F25D18" w14:textId="4CF82167" w:rsidR="007452A9" w:rsidRPr="00A4493C" w:rsidRDefault="00A66949" w:rsidP="00A4493C">
            <w:pPr>
              <w:pStyle w:val="ListParagraph"/>
              <w:numPr>
                <w:ilvl w:val="0"/>
                <w:numId w:val="18"/>
              </w:numPr>
              <w:spacing w:after="120"/>
              <w:ind w:left="288" w:hanging="288"/>
              <w:jc w:val="both"/>
              <w:rPr>
                <w:rFonts w:ascii="Georgia" w:hAnsi="Georgia" w:cs="Times New Roman"/>
                <w:i/>
                <w:iCs/>
              </w:rPr>
            </w:pPr>
            <w:r w:rsidRPr="00A4493C">
              <w:rPr>
                <w:rFonts w:ascii="Georgia" w:hAnsi="Georgia" w:cs="Times New Roman"/>
                <w:i/>
                <w:iCs/>
              </w:rPr>
              <w:t xml:space="preserve">Agriculture is still the dominant </w:t>
            </w:r>
            <w:r w:rsidR="003E0EB2" w:rsidRPr="00A4493C">
              <w:rPr>
                <w:rFonts w:ascii="Georgia" w:hAnsi="Georgia" w:cs="Times New Roman"/>
                <w:i/>
                <w:iCs/>
              </w:rPr>
              <w:t xml:space="preserve">employment sector </w:t>
            </w:r>
            <w:r w:rsidRPr="00A4493C">
              <w:rPr>
                <w:rFonts w:ascii="Georgia" w:hAnsi="Georgia" w:cs="Times New Roman"/>
                <w:i/>
                <w:iCs/>
              </w:rPr>
              <w:t xml:space="preserve">in Kenya. </w:t>
            </w:r>
            <w:r w:rsidR="005C15D2" w:rsidRPr="00A4493C">
              <w:rPr>
                <w:rFonts w:ascii="Georgia" w:hAnsi="Georgia" w:cs="Times New Roman"/>
                <w:i/>
                <w:iCs/>
              </w:rPr>
              <w:t xml:space="preserve">The sector’s </w:t>
            </w:r>
            <w:r w:rsidRPr="00A4493C">
              <w:rPr>
                <w:rFonts w:ascii="Georgia" w:hAnsi="Georgia" w:cs="Times New Roman"/>
                <w:i/>
                <w:iCs/>
              </w:rPr>
              <w:t>low and declining labour productivity</w:t>
            </w:r>
            <w:r w:rsidR="005C15D2" w:rsidRPr="00A4493C">
              <w:rPr>
                <w:rFonts w:ascii="Georgia" w:hAnsi="Georgia" w:cs="Times New Roman"/>
                <w:i/>
                <w:iCs/>
              </w:rPr>
              <w:t xml:space="preserve"> </w:t>
            </w:r>
            <w:r w:rsidR="00851FB7" w:rsidRPr="00A4493C">
              <w:rPr>
                <w:rFonts w:ascii="Georgia" w:hAnsi="Georgia" w:cs="Times New Roman"/>
                <w:i/>
                <w:iCs/>
              </w:rPr>
              <w:t>is a factor underlying inequality in Kenya.</w:t>
            </w:r>
          </w:p>
          <w:p w14:paraId="5303874A" w14:textId="72AB4920" w:rsidR="004E17AD" w:rsidRPr="00A4493C" w:rsidRDefault="001A38D0" w:rsidP="00A4493C">
            <w:pPr>
              <w:pStyle w:val="ListParagraph"/>
              <w:numPr>
                <w:ilvl w:val="0"/>
                <w:numId w:val="18"/>
              </w:numPr>
              <w:spacing w:after="120"/>
              <w:ind w:left="288" w:hanging="288"/>
              <w:jc w:val="both"/>
              <w:rPr>
                <w:rFonts w:ascii="Georgia" w:hAnsi="Georgia" w:cs="Times New Roman"/>
                <w:i/>
                <w:iCs/>
              </w:rPr>
            </w:pPr>
            <w:r w:rsidRPr="00A4493C">
              <w:rPr>
                <w:rFonts w:ascii="Georgia" w:hAnsi="Georgia" w:cs="Times New Roman"/>
                <w:i/>
                <w:iCs/>
              </w:rPr>
              <w:t>The gender gap in labour force participation narrowed between 2015 and 2019, but increased again as a result of COVID-19, which probably had an inequality-increasing effect.</w:t>
            </w:r>
          </w:p>
          <w:p w14:paraId="30214FB4" w14:textId="72A6BE9C" w:rsidR="00A35AFA" w:rsidRPr="00A4493C" w:rsidRDefault="00AD0B27" w:rsidP="00A4493C">
            <w:pPr>
              <w:pStyle w:val="ListParagraph"/>
              <w:numPr>
                <w:ilvl w:val="0"/>
                <w:numId w:val="18"/>
              </w:numPr>
              <w:spacing w:after="120"/>
              <w:ind w:left="288" w:hanging="288"/>
              <w:jc w:val="both"/>
              <w:rPr>
                <w:rFonts w:ascii="Georgia" w:hAnsi="Georgia" w:cs="Times New Roman"/>
                <w:i/>
                <w:iCs/>
              </w:rPr>
            </w:pPr>
            <w:r w:rsidRPr="00A4493C">
              <w:rPr>
                <w:rFonts w:ascii="Georgia" w:hAnsi="Georgia" w:cs="Times New Roman"/>
                <w:i/>
                <w:iCs/>
              </w:rPr>
              <w:t>Underemployment and the large number of working poor are considered important labour market problems and likely causes of overall poverty and income inequality.</w:t>
            </w:r>
          </w:p>
          <w:p w14:paraId="104BF612" w14:textId="5F40543F" w:rsidR="001A38D0" w:rsidRPr="00A4493C" w:rsidRDefault="00010AF6" w:rsidP="00A4493C">
            <w:pPr>
              <w:pStyle w:val="ListParagraph"/>
              <w:numPr>
                <w:ilvl w:val="0"/>
                <w:numId w:val="18"/>
              </w:numPr>
              <w:spacing w:after="120"/>
              <w:ind w:left="288" w:hanging="288"/>
              <w:jc w:val="both"/>
              <w:rPr>
                <w:rFonts w:ascii="Georgia" w:hAnsi="Georgia" w:cs="Times New Roman"/>
                <w:i/>
                <w:iCs/>
              </w:rPr>
            </w:pPr>
            <w:r w:rsidRPr="00A4493C">
              <w:rPr>
                <w:rFonts w:ascii="Georgia" w:hAnsi="Georgia" w:cs="Times New Roman"/>
                <w:i/>
                <w:iCs/>
              </w:rPr>
              <w:t>The informal sector continues to account for a large share of total employment</w:t>
            </w:r>
            <w:r w:rsidR="0048792C" w:rsidRPr="00A4493C">
              <w:rPr>
                <w:rFonts w:ascii="Georgia" w:hAnsi="Georgia" w:cs="Times New Roman"/>
                <w:i/>
                <w:iCs/>
              </w:rPr>
              <w:t xml:space="preserve"> and informality re</w:t>
            </w:r>
            <w:r w:rsidR="00114EBE" w:rsidRPr="00A4493C">
              <w:rPr>
                <w:rFonts w:ascii="Georgia" w:hAnsi="Georgia" w:cs="Times New Roman"/>
                <w:i/>
                <w:iCs/>
              </w:rPr>
              <w:t>mains an important driver of inequality.</w:t>
            </w:r>
          </w:p>
          <w:p w14:paraId="0206B78C" w14:textId="58F36AD8" w:rsidR="00A20A69" w:rsidRPr="00A4493C" w:rsidRDefault="00A20A69" w:rsidP="00A4493C">
            <w:pPr>
              <w:pStyle w:val="ListParagraph"/>
              <w:numPr>
                <w:ilvl w:val="0"/>
                <w:numId w:val="18"/>
              </w:numPr>
              <w:spacing w:after="120"/>
              <w:ind w:left="288" w:hanging="288"/>
              <w:jc w:val="both"/>
              <w:rPr>
                <w:rFonts w:ascii="Georgia" w:hAnsi="Georgia" w:cs="Times New Roman"/>
                <w:i/>
                <w:iCs/>
              </w:rPr>
            </w:pPr>
            <w:r w:rsidRPr="00A4493C">
              <w:rPr>
                <w:rFonts w:ascii="Georgia" w:hAnsi="Georgia" w:cs="Times New Roman"/>
                <w:i/>
                <w:iCs/>
              </w:rPr>
              <w:t xml:space="preserve">According to a study that uses the Commitment to Equity (CEQ) Institute methodology, the effect of taxes, subsidies and direct </w:t>
            </w:r>
            <w:r w:rsidR="00577C71" w:rsidRPr="00A4493C">
              <w:rPr>
                <w:rFonts w:ascii="Georgia" w:hAnsi="Georgia" w:cs="Times New Roman"/>
                <w:i/>
                <w:iCs/>
              </w:rPr>
              <w:t>(</w:t>
            </w:r>
            <w:r w:rsidRPr="00A4493C">
              <w:rPr>
                <w:rFonts w:ascii="Georgia" w:hAnsi="Georgia" w:cs="Times New Roman"/>
                <w:i/>
                <w:iCs/>
              </w:rPr>
              <w:t>cash</w:t>
            </w:r>
            <w:r w:rsidR="00577C71" w:rsidRPr="00A4493C">
              <w:rPr>
                <w:rFonts w:ascii="Georgia" w:hAnsi="Georgia" w:cs="Times New Roman"/>
                <w:i/>
                <w:iCs/>
              </w:rPr>
              <w:t>)</w:t>
            </w:r>
            <w:r w:rsidRPr="00A4493C">
              <w:rPr>
                <w:rFonts w:ascii="Georgia" w:hAnsi="Georgia" w:cs="Times New Roman"/>
                <w:i/>
                <w:iCs/>
              </w:rPr>
              <w:t xml:space="preserve"> transfers on Kenya’s inequality was limited. </w:t>
            </w:r>
          </w:p>
          <w:p w14:paraId="294A70C6" w14:textId="7656977B" w:rsidR="0045529E" w:rsidRPr="00A4493C" w:rsidRDefault="0045529E" w:rsidP="00A4493C">
            <w:pPr>
              <w:pStyle w:val="ListParagraph"/>
              <w:numPr>
                <w:ilvl w:val="0"/>
                <w:numId w:val="18"/>
              </w:numPr>
              <w:spacing w:after="120"/>
              <w:ind w:left="288" w:hanging="288"/>
              <w:jc w:val="both"/>
              <w:rPr>
                <w:rFonts w:ascii="Georgia" w:hAnsi="Georgia" w:cs="Times New Roman"/>
                <w:i/>
                <w:iCs/>
              </w:rPr>
            </w:pPr>
            <w:r w:rsidRPr="00A4493C">
              <w:rPr>
                <w:rFonts w:ascii="Georgia" w:hAnsi="Georgia" w:cs="Times New Roman"/>
                <w:i/>
                <w:iCs/>
              </w:rPr>
              <w:t xml:space="preserve">Transfers in-kind related to public expenditure on </w:t>
            </w:r>
            <w:r w:rsidR="005A3746" w:rsidRPr="00A4493C">
              <w:rPr>
                <w:rFonts w:ascii="Georgia" w:hAnsi="Georgia" w:cs="Times New Roman"/>
                <w:i/>
                <w:iCs/>
              </w:rPr>
              <w:t>education and health had a larger inequality</w:t>
            </w:r>
            <w:r w:rsidR="004A1CA5" w:rsidRPr="00A4493C">
              <w:rPr>
                <w:rFonts w:ascii="Georgia" w:hAnsi="Georgia" w:cs="Times New Roman"/>
                <w:i/>
                <w:iCs/>
              </w:rPr>
              <w:t>-</w:t>
            </w:r>
            <w:r w:rsidR="005A3746" w:rsidRPr="00A4493C">
              <w:rPr>
                <w:rFonts w:ascii="Georgia" w:hAnsi="Georgia" w:cs="Times New Roman"/>
                <w:i/>
                <w:iCs/>
              </w:rPr>
              <w:t>reducing effect.</w:t>
            </w:r>
          </w:p>
          <w:p w14:paraId="7F554469" w14:textId="2A77F366" w:rsidR="00BE427C" w:rsidRPr="00A4493C" w:rsidRDefault="00BE427C" w:rsidP="00A4493C">
            <w:pPr>
              <w:pStyle w:val="ListParagraph"/>
              <w:numPr>
                <w:ilvl w:val="0"/>
                <w:numId w:val="18"/>
              </w:numPr>
              <w:spacing w:after="120"/>
              <w:ind w:left="288" w:hanging="288"/>
              <w:jc w:val="both"/>
              <w:rPr>
                <w:rFonts w:ascii="Georgia" w:hAnsi="Georgia" w:cs="Times New Roman"/>
                <w:i/>
                <w:iCs/>
              </w:rPr>
            </w:pPr>
            <w:r w:rsidRPr="00A4493C">
              <w:rPr>
                <w:rFonts w:ascii="Georgia" w:hAnsi="Georgia" w:cs="Times New Roman"/>
                <w:i/>
                <w:iCs/>
              </w:rPr>
              <w:t>Education and health outcomes are dependent on the distribution of incomes and the educational attainment of parents, which points at limited social mobility.</w:t>
            </w:r>
          </w:p>
          <w:p w14:paraId="02F88ABD" w14:textId="397B155F" w:rsidR="005A33E6" w:rsidRPr="00A4493C" w:rsidRDefault="00595D24" w:rsidP="00A4493C">
            <w:pPr>
              <w:pStyle w:val="ListParagraph"/>
              <w:numPr>
                <w:ilvl w:val="0"/>
                <w:numId w:val="18"/>
              </w:numPr>
              <w:spacing w:after="120"/>
              <w:ind w:left="288" w:hanging="288"/>
              <w:jc w:val="both"/>
              <w:rPr>
                <w:rFonts w:ascii="Georgia" w:hAnsi="Georgia" w:cs="Times New Roman"/>
                <w:i/>
                <w:iCs/>
              </w:rPr>
            </w:pPr>
            <w:r w:rsidRPr="00A4493C">
              <w:rPr>
                <w:rFonts w:ascii="Georgia" w:hAnsi="Georgia" w:cs="Times New Roman"/>
                <w:i/>
                <w:iCs/>
              </w:rPr>
              <w:t xml:space="preserve">Gender inequality is both a cause and effect of </w:t>
            </w:r>
            <w:r w:rsidR="00475EE0" w:rsidRPr="00A4493C">
              <w:rPr>
                <w:rFonts w:ascii="Georgia" w:hAnsi="Georgia" w:cs="Times New Roman"/>
                <w:i/>
                <w:iCs/>
              </w:rPr>
              <w:t>overall inequality in Kenya</w:t>
            </w:r>
            <w:r w:rsidR="00984BEC" w:rsidRPr="00A4493C">
              <w:rPr>
                <w:rFonts w:ascii="Georgia" w:hAnsi="Georgia" w:cs="Times New Roman"/>
                <w:i/>
                <w:iCs/>
              </w:rPr>
              <w:t>. There is evidence of discrimination against women</w:t>
            </w:r>
            <w:r w:rsidR="00495701" w:rsidRPr="00A4493C">
              <w:rPr>
                <w:rFonts w:ascii="Georgia" w:hAnsi="Georgia" w:cs="Times New Roman"/>
                <w:i/>
                <w:iCs/>
              </w:rPr>
              <w:t xml:space="preserve"> in the labour market </w:t>
            </w:r>
            <w:r w:rsidR="00B97979" w:rsidRPr="00A4493C">
              <w:rPr>
                <w:rFonts w:ascii="Georgia" w:hAnsi="Georgia" w:cs="Times New Roman"/>
                <w:i/>
                <w:iCs/>
              </w:rPr>
              <w:t xml:space="preserve">and unequal access to </w:t>
            </w:r>
            <w:r w:rsidR="000B3522" w:rsidRPr="00A4493C">
              <w:rPr>
                <w:rFonts w:ascii="Georgia" w:hAnsi="Georgia" w:cs="Times New Roman"/>
                <w:i/>
                <w:iCs/>
              </w:rPr>
              <w:t>social services to the disadvantage of women</w:t>
            </w:r>
            <w:r w:rsidR="00984BEC" w:rsidRPr="00A4493C">
              <w:rPr>
                <w:rFonts w:ascii="Georgia" w:hAnsi="Georgia" w:cs="Times New Roman"/>
                <w:i/>
                <w:iCs/>
              </w:rPr>
              <w:t>.</w:t>
            </w:r>
            <w:r w:rsidR="00483613" w:rsidRPr="00A4493C">
              <w:rPr>
                <w:rFonts w:ascii="Georgia" w:hAnsi="Georgia" w:cs="Times New Roman"/>
                <w:i/>
                <w:iCs/>
              </w:rPr>
              <w:t xml:space="preserve"> </w:t>
            </w:r>
          </w:p>
          <w:p w14:paraId="3E51048C" w14:textId="052E5BBF" w:rsidR="00672A3C" w:rsidRPr="00346D1C" w:rsidRDefault="00672A3C" w:rsidP="00E5033E">
            <w:pPr>
              <w:pStyle w:val="ListParagraph"/>
              <w:ind w:left="289"/>
              <w:jc w:val="both"/>
              <w:rPr>
                <w:rFonts w:ascii="Georgia" w:hAnsi="Georgia" w:cs="Times New Roman"/>
                <w:i/>
                <w:iCs/>
                <w:sz w:val="20"/>
                <w:szCs w:val="20"/>
              </w:rPr>
            </w:pPr>
          </w:p>
        </w:tc>
      </w:tr>
    </w:tbl>
    <w:p w14:paraId="4F8F95F7" w14:textId="77777777" w:rsidR="007452A9" w:rsidRPr="009C5581" w:rsidRDefault="007452A9" w:rsidP="00816125">
      <w:pPr>
        <w:spacing w:after="120" w:line="240" w:lineRule="auto"/>
        <w:rPr>
          <w:rFonts w:ascii="Times New Roman" w:hAnsi="Times New Roman" w:cs="Times New Roman"/>
          <w:lang w:eastAsia="en-GB"/>
        </w:rPr>
      </w:pPr>
    </w:p>
    <w:p w14:paraId="78FCD735" w14:textId="77777777" w:rsidR="00EF2B26" w:rsidRPr="00346D1C" w:rsidRDefault="00EF2B26" w:rsidP="00816125">
      <w:pPr>
        <w:pStyle w:val="Heading2"/>
        <w:numPr>
          <w:ilvl w:val="1"/>
          <w:numId w:val="1"/>
        </w:numPr>
        <w:spacing w:before="0" w:after="120" w:line="240" w:lineRule="auto"/>
        <w:ind w:left="562" w:hanging="562"/>
        <w:rPr>
          <w:rFonts w:ascii="Georgia" w:eastAsia="Constantia" w:hAnsi="Georgia" w:cs="Times New Roman"/>
          <w:color w:val="000000" w:themeColor="text1"/>
          <w:sz w:val="24"/>
          <w:szCs w:val="24"/>
          <w:lang w:eastAsia="en-GB"/>
        </w:rPr>
      </w:pPr>
      <w:bookmarkStart w:id="33" w:name="_Toc52382620"/>
      <w:bookmarkStart w:id="34" w:name="_Toc62037153"/>
      <w:bookmarkStart w:id="35" w:name="_Ref134453507"/>
      <w:bookmarkStart w:id="36" w:name="_Ref134453510"/>
      <w:bookmarkStart w:id="37" w:name="_Toc145928781"/>
      <w:r w:rsidRPr="00346D1C">
        <w:rPr>
          <w:rFonts w:ascii="Georgia" w:eastAsia="Constantia" w:hAnsi="Georgia" w:cs="Times New Roman"/>
          <w:color w:val="000000" w:themeColor="text1"/>
          <w:sz w:val="24"/>
          <w:szCs w:val="24"/>
          <w:lang w:eastAsia="en-GB"/>
        </w:rPr>
        <w:t>Labour market developments</w:t>
      </w:r>
      <w:bookmarkEnd w:id="33"/>
      <w:bookmarkEnd w:id="34"/>
      <w:bookmarkEnd w:id="35"/>
      <w:bookmarkEnd w:id="36"/>
      <w:bookmarkEnd w:id="37"/>
    </w:p>
    <w:p w14:paraId="16D90CFC" w14:textId="54981ED2" w:rsidR="00EF2B26" w:rsidRPr="00346D1C" w:rsidRDefault="00EF2B26" w:rsidP="00816125">
      <w:pPr>
        <w:spacing w:after="120" w:line="240" w:lineRule="auto"/>
        <w:jc w:val="both"/>
        <w:rPr>
          <w:rFonts w:ascii="Georgia" w:hAnsi="Georgia" w:cs="Times New Roman"/>
          <w:b/>
          <w:bCs/>
          <w:i/>
          <w:iCs/>
          <w:color w:val="000000" w:themeColor="text1"/>
          <w:sz w:val="24"/>
          <w:szCs w:val="24"/>
        </w:rPr>
      </w:pPr>
      <w:r w:rsidRPr="00346D1C">
        <w:rPr>
          <w:rFonts w:ascii="Georgia" w:hAnsi="Georgia" w:cs="Times New Roman"/>
          <w:b/>
          <w:bCs/>
          <w:i/>
          <w:iCs/>
          <w:color w:val="000000" w:themeColor="text1"/>
          <w:sz w:val="24"/>
          <w:szCs w:val="24"/>
        </w:rPr>
        <w:t xml:space="preserve">Employment structure </w:t>
      </w:r>
    </w:p>
    <w:p w14:paraId="7A2FEE81" w14:textId="73630DB3" w:rsidR="00346D1C" w:rsidRDefault="00E064D2" w:rsidP="003E31C8">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Structural change has brought </w:t>
      </w:r>
      <w:r w:rsidR="00AF7717" w:rsidRPr="00346D1C">
        <w:rPr>
          <w:rFonts w:ascii="Georgia" w:hAnsi="Georgia" w:cs="Times New Roman"/>
          <w:sz w:val="24"/>
          <w:szCs w:val="24"/>
        </w:rPr>
        <w:t>peculiar s</w:t>
      </w:r>
      <w:r w:rsidRPr="00346D1C">
        <w:rPr>
          <w:rFonts w:ascii="Georgia" w:hAnsi="Georgia" w:cs="Times New Roman"/>
          <w:sz w:val="24"/>
          <w:szCs w:val="24"/>
        </w:rPr>
        <w:t>hift</w:t>
      </w:r>
      <w:r w:rsidR="00AF7717" w:rsidRPr="00346D1C">
        <w:rPr>
          <w:rFonts w:ascii="Georgia" w:hAnsi="Georgia" w:cs="Times New Roman"/>
          <w:sz w:val="24"/>
          <w:szCs w:val="24"/>
        </w:rPr>
        <w:t>s</w:t>
      </w:r>
      <w:r w:rsidRPr="00346D1C">
        <w:rPr>
          <w:rFonts w:ascii="Georgia" w:hAnsi="Georgia" w:cs="Times New Roman"/>
          <w:sz w:val="24"/>
          <w:szCs w:val="24"/>
        </w:rPr>
        <w:t xml:space="preserve"> in the employment structure</w:t>
      </w:r>
      <w:r w:rsidR="000B7D4B" w:rsidRPr="00346D1C">
        <w:rPr>
          <w:rFonts w:ascii="Georgia" w:hAnsi="Georgia" w:cs="Times New Roman"/>
          <w:sz w:val="24"/>
          <w:szCs w:val="24"/>
        </w:rPr>
        <w:t xml:space="preserve"> of </w:t>
      </w:r>
      <w:r w:rsidR="00815945" w:rsidRPr="00346D1C">
        <w:rPr>
          <w:rFonts w:ascii="Georgia" w:hAnsi="Georgia" w:cs="Times New Roman"/>
          <w:sz w:val="24"/>
          <w:szCs w:val="24"/>
        </w:rPr>
        <w:t xml:space="preserve">Kenya. </w:t>
      </w:r>
      <w:r w:rsidR="00561B64" w:rsidRPr="00346D1C">
        <w:rPr>
          <w:rFonts w:ascii="Georgia" w:hAnsi="Georgia" w:cs="Times New Roman"/>
          <w:sz w:val="24"/>
          <w:szCs w:val="24"/>
        </w:rPr>
        <w:t xml:space="preserve">Unlike the trend </w:t>
      </w:r>
      <w:r w:rsidR="00723D78" w:rsidRPr="00346D1C">
        <w:rPr>
          <w:rFonts w:ascii="Georgia" w:hAnsi="Georgia" w:cs="Times New Roman"/>
          <w:sz w:val="24"/>
          <w:szCs w:val="24"/>
        </w:rPr>
        <w:t>of a sustained dec</w:t>
      </w:r>
      <w:r w:rsidR="007C161A" w:rsidRPr="00346D1C">
        <w:rPr>
          <w:rFonts w:ascii="Georgia" w:hAnsi="Georgia" w:cs="Times New Roman"/>
          <w:sz w:val="24"/>
          <w:szCs w:val="24"/>
        </w:rPr>
        <w:t>rease of agriculture as a source of employment ob</w:t>
      </w:r>
      <w:r w:rsidR="00561B64" w:rsidRPr="00346D1C">
        <w:rPr>
          <w:rFonts w:ascii="Georgia" w:hAnsi="Georgia" w:cs="Times New Roman"/>
          <w:sz w:val="24"/>
          <w:szCs w:val="24"/>
        </w:rPr>
        <w:t>served in m</w:t>
      </w:r>
      <w:r w:rsidR="004258BE" w:rsidRPr="00346D1C">
        <w:rPr>
          <w:rFonts w:ascii="Georgia" w:hAnsi="Georgia" w:cs="Times New Roman"/>
          <w:sz w:val="24"/>
          <w:szCs w:val="24"/>
        </w:rPr>
        <w:t xml:space="preserve">any </w:t>
      </w:r>
      <w:r w:rsidR="00561B64" w:rsidRPr="00346D1C">
        <w:rPr>
          <w:rFonts w:ascii="Georgia" w:hAnsi="Georgia" w:cs="Times New Roman"/>
          <w:sz w:val="24"/>
          <w:szCs w:val="24"/>
        </w:rPr>
        <w:t xml:space="preserve">countries, </w:t>
      </w:r>
      <w:r w:rsidR="00142B67" w:rsidRPr="00346D1C">
        <w:rPr>
          <w:rFonts w:ascii="Georgia" w:hAnsi="Georgia" w:cs="Times New Roman"/>
          <w:sz w:val="24"/>
          <w:szCs w:val="24"/>
        </w:rPr>
        <w:t>t</w:t>
      </w:r>
      <w:r w:rsidR="00815945" w:rsidRPr="00346D1C">
        <w:rPr>
          <w:rFonts w:ascii="Georgia" w:hAnsi="Georgia" w:cs="Times New Roman"/>
          <w:sz w:val="24"/>
          <w:szCs w:val="24"/>
        </w:rPr>
        <w:t xml:space="preserve">he proportion of employment in agriculture initially </w:t>
      </w:r>
      <w:r w:rsidR="00B426B1" w:rsidRPr="00346D1C">
        <w:rPr>
          <w:rFonts w:ascii="Georgia" w:hAnsi="Georgia" w:cs="Times New Roman"/>
          <w:sz w:val="24"/>
          <w:szCs w:val="24"/>
        </w:rPr>
        <w:t>rose</w:t>
      </w:r>
      <w:r w:rsidR="004258BE" w:rsidRPr="00346D1C">
        <w:rPr>
          <w:rFonts w:ascii="Georgia" w:hAnsi="Georgia" w:cs="Times New Roman"/>
          <w:sz w:val="24"/>
          <w:szCs w:val="24"/>
        </w:rPr>
        <w:t xml:space="preserve"> in Kenya</w:t>
      </w:r>
      <w:r w:rsidR="00035F8F" w:rsidRPr="00346D1C">
        <w:rPr>
          <w:rFonts w:ascii="Georgia" w:hAnsi="Georgia" w:cs="Times New Roman"/>
          <w:sz w:val="24"/>
          <w:szCs w:val="24"/>
        </w:rPr>
        <w:t xml:space="preserve"> – </w:t>
      </w:r>
      <w:r w:rsidR="00142B67" w:rsidRPr="00346D1C">
        <w:rPr>
          <w:rFonts w:ascii="Georgia" w:hAnsi="Georgia" w:cs="Times New Roman"/>
          <w:sz w:val="24"/>
          <w:szCs w:val="24"/>
        </w:rPr>
        <w:t>from less than 50% in 2000 to over 60</w:t>
      </w:r>
      <w:r w:rsidR="00F8470C" w:rsidRPr="00346D1C">
        <w:rPr>
          <w:rFonts w:ascii="Georgia" w:hAnsi="Georgia" w:cs="Times New Roman"/>
          <w:sz w:val="24"/>
          <w:szCs w:val="24"/>
        </w:rPr>
        <w:t>%</w:t>
      </w:r>
      <w:r w:rsidR="00142B67" w:rsidRPr="00346D1C">
        <w:rPr>
          <w:rFonts w:ascii="Georgia" w:hAnsi="Georgia" w:cs="Times New Roman"/>
          <w:sz w:val="24"/>
          <w:szCs w:val="24"/>
        </w:rPr>
        <w:t xml:space="preserve"> in 2008</w:t>
      </w:r>
      <w:r w:rsidR="006D19C2" w:rsidRPr="00346D1C">
        <w:rPr>
          <w:rFonts w:ascii="Georgia" w:hAnsi="Georgia" w:cs="Times New Roman"/>
          <w:sz w:val="24"/>
          <w:szCs w:val="24"/>
        </w:rPr>
        <w:t xml:space="preserve">. Thereafter, the proportion gradually </w:t>
      </w:r>
      <w:r w:rsidR="00815945" w:rsidRPr="00346D1C">
        <w:rPr>
          <w:rFonts w:ascii="Georgia" w:hAnsi="Georgia" w:cs="Times New Roman"/>
          <w:sz w:val="24"/>
          <w:szCs w:val="24"/>
        </w:rPr>
        <w:t>decline</w:t>
      </w:r>
      <w:r w:rsidR="00DC3FFA" w:rsidRPr="00346D1C">
        <w:rPr>
          <w:rFonts w:ascii="Georgia" w:hAnsi="Georgia" w:cs="Times New Roman"/>
          <w:sz w:val="24"/>
          <w:szCs w:val="24"/>
        </w:rPr>
        <w:t>d</w:t>
      </w:r>
      <w:r w:rsidR="00815945" w:rsidRPr="00346D1C">
        <w:rPr>
          <w:rFonts w:ascii="Georgia" w:hAnsi="Georgia" w:cs="Times New Roman"/>
          <w:sz w:val="24"/>
          <w:szCs w:val="24"/>
        </w:rPr>
        <w:t xml:space="preserve"> </w:t>
      </w:r>
      <w:r w:rsidR="00564902" w:rsidRPr="00346D1C">
        <w:rPr>
          <w:rFonts w:ascii="Georgia" w:hAnsi="Georgia" w:cs="Times New Roman"/>
          <w:sz w:val="24"/>
          <w:szCs w:val="24"/>
        </w:rPr>
        <w:t xml:space="preserve">again </w:t>
      </w:r>
      <w:r w:rsidR="00F27693" w:rsidRPr="00346D1C">
        <w:rPr>
          <w:rFonts w:ascii="Georgia" w:hAnsi="Georgia" w:cs="Times New Roman"/>
          <w:sz w:val="24"/>
          <w:szCs w:val="24"/>
        </w:rPr>
        <w:t xml:space="preserve">to 54% </w:t>
      </w:r>
      <w:r w:rsidR="00815945" w:rsidRPr="00346D1C">
        <w:rPr>
          <w:rFonts w:ascii="Georgia" w:hAnsi="Georgia" w:cs="Times New Roman"/>
          <w:sz w:val="24"/>
          <w:szCs w:val="24"/>
        </w:rPr>
        <w:t>in 20</w:t>
      </w:r>
      <w:r w:rsidR="007D7DEE" w:rsidRPr="00346D1C">
        <w:rPr>
          <w:rFonts w:ascii="Georgia" w:hAnsi="Georgia" w:cs="Times New Roman"/>
          <w:sz w:val="24"/>
          <w:szCs w:val="24"/>
        </w:rPr>
        <w:t>1</w:t>
      </w:r>
      <w:r w:rsidR="00F27693" w:rsidRPr="00346D1C">
        <w:rPr>
          <w:rFonts w:ascii="Georgia" w:hAnsi="Georgia" w:cs="Times New Roman"/>
          <w:sz w:val="24"/>
          <w:szCs w:val="24"/>
        </w:rPr>
        <w:t>9</w:t>
      </w:r>
      <w:r w:rsidR="00815945" w:rsidRPr="00346D1C">
        <w:rPr>
          <w:rFonts w:ascii="Georgia" w:hAnsi="Georgia" w:cs="Times New Roman"/>
          <w:sz w:val="24"/>
          <w:szCs w:val="24"/>
        </w:rPr>
        <w:t>.</w:t>
      </w:r>
      <w:r w:rsidR="00B426B1" w:rsidRPr="00346D1C">
        <w:rPr>
          <w:rFonts w:ascii="Georgia" w:hAnsi="Georgia" w:cs="Times New Roman"/>
          <w:sz w:val="24"/>
          <w:szCs w:val="24"/>
        </w:rPr>
        <w:t xml:space="preserve"> The reverse was the case for the employment share of services, which </w:t>
      </w:r>
      <w:r w:rsidR="00334ACA" w:rsidRPr="00346D1C">
        <w:rPr>
          <w:rFonts w:ascii="Georgia" w:hAnsi="Georgia" w:cs="Times New Roman"/>
          <w:sz w:val="24"/>
          <w:szCs w:val="24"/>
        </w:rPr>
        <w:t xml:space="preserve">stood at </w:t>
      </w:r>
      <w:r w:rsidR="00B426B1" w:rsidRPr="00346D1C">
        <w:rPr>
          <w:rFonts w:ascii="Georgia" w:hAnsi="Georgia" w:cs="Times New Roman"/>
          <w:sz w:val="24"/>
          <w:szCs w:val="24"/>
        </w:rPr>
        <w:t>almost 40% in 2019</w:t>
      </w:r>
      <w:r w:rsidR="00B95030" w:rsidRPr="00346D1C">
        <w:rPr>
          <w:rFonts w:ascii="Georgia" w:hAnsi="Georgia" w:cs="Times New Roman"/>
          <w:sz w:val="24"/>
          <w:szCs w:val="24"/>
        </w:rPr>
        <w:t xml:space="preserve">, </w:t>
      </w:r>
      <w:r w:rsidR="00405620" w:rsidRPr="00346D1C">
        <w:rPr>
          <w:rFonts w:ascii="Georgia" w:hAnsi="Georgia" w:cs="Times New Roman"/>
          <w:sz w:val="24"/>
          <w:szCs w:val="24"/>
        </w:rPr>
        <w:t xml:space="preserve">returning to the </w:t>
      </w:r>
      <w:r w:rsidR="0013358B" w:rsidRPr="00346D1C">
        <w:rPr>
          <w:rFonts w:ascii="Georgia" w:hAnsi="Georgia" w:cs="Times New Roman"/>
          <w:sz w:val="24"/>
          <w:szCs w:val="24"/>
        </w:rPr>
        <w:t xml:space="preserve">proportion </w:t>
      </w:r>
      <w:r w:rsidR="00334ACA" w:rsidRPr="00346D1C">
        <w:rPr>
          <w:rFonts w:ascii="Georgia" w:hAnsi="Georgia" w:cs="Times New Roman"/>
          <w:sz w:val="24"/>
          <w:szCs w:val="24"/>
        </w:rPr>
        <w:t xml:space="preserve">recorded </w:t>
      </w:r>
      <w:r w:rsidR="0013358B" w:rsidRPr="00346D1C">
        <w:rPr>
          <w:rFonts w:ascii="Georgia" w:hAnsi="Georgia" w:cs="Times New Roman"/>
          <w:sz w:val="24"/>
          <w:szCs w:val="24"/>
        </w:rPr>
        <w:t>in 2000</w:t>
      </w:r>
      <w:r w:rsidR="00B426B1" w:rsidRPr="00346D1C">
        <w:rPr>
          <w:rFonts w:ascii="Georgia" w:hAnsi="Georgia" w:cs="Times New Roman"/>
          <w:sz w:val="24"/>
          <w:szCs w:val="24"/>
        </w:rPr>
        <w:t xml:space="preserve">. At the same time, the share of employment in industry </w:t>
      </w:r>
      <w:r w:rsidR="00696DE0" w:rsidRPr="00346D1C">
        <w:rPr>
          <w:rFonts w:ascii="Georgia" w:hAnsi="Georgia" w:cs="Times New Roman"/>
          <w:sz w:val="24"/>
          <w:szCs w:val="24"/>
        </w:rPr>
        <w:t>experience</w:t>
      </w:r>
      <w:r w:rsidR="00917EA3" w:rsidRPr="00346D1C">
        <w:rPr>
          <w:rFonts w:ascii="Georgia" w:hAnsi="Georgia" w:cs="Times New Roman"/>
          <w:sz w:val="24"/>
          <w:szCs w:val="24"/>
        </w:rPr>
        <w:t>d</w:t>
      </w:r>
      <w:r w:rsidR="00696DE0" w:rsidRPr="00346D1C">
        <w:rPr>
          <w:rFonts w:ascii="Georgia" w:hAnsi="Georgia" w:cs="Times New Roman"/>
          <w:sz w:val="24"/>
          <w:szCs w:val="24"/>
        </w:rPr>
        <w:t xml:space="preserve"> a remarkable </w:t>
      </w:r>
      <w:r w:rsidR="00917EA3" w:rsidRPr="00346D1C">
        <w:rPr>
          <w:rFonts w:ascii="Georgia" w:hAnsi="Georgia" w:cs="Times New Roman"/>
          <w:sz w:val="24"/>
          <w:szCs w:val="24"/>
        </w:rPr>
        <w:t>decline</w:t>
      </w:r>
      <w:r w:rsidR="000C0B18" w:rsidRPr="00346D1C">
        <w:rPr>
          <w:rFonts w:ascii="Georgia" w:hAnsi="Georgia" w:cs="Times New Roman"/>
          <w:sz w:val="24"/>
          <w:szCs w:val="24"/>
        </w:rPr>
        <w:t xml:space="preserve"> </w:t>
      </w:r>
      <w:r w:rsidR="00B426B1" w:rsidRPr="00346D1C">
        <w:rPr>
          <w:rFonts w:ascii="Georgia" w:hAnsi="Georgia" w:cs="Times New Roman"/>
          <w:sz w:val="24"/>
          <w:szCs w:val="24"/>
        </w:rPr>
        <w:t>from 12</w:t>
      </w:r>
      <w:r w:rsidR="00F87B72" w:rsidRPr="00346D1C">
        <w:rPr>
          <w:rFonts w:ascii="Georgia" w:hAnsi="Georgia" w:cs="Times New Roman"/>
          <w:sz w:val="24"/>
          <w:szCs w:val="24"/>
        </w:rPr>
        <w:t>%</w:t>
      </w:r>
      <w:r w:rsidR="00B426B1" w:rsidRPr="00346D1C">
        <w:rPr>
          <w:rFonts w:ascii="Georgia" w:hAnsi="Georgia" w:cs="Times New Roman"/>
          <w:sz w:val="24"/>
          <w:szCs w:val="24"/>
        </w:rPr>
        <w:t xml:space="preserve"> to 6</w:t>
      </w:r>
      <w:r w:rsidR="005B6ED4" w:rsidRPr="00346D1C">
        <w:rPr>
          <w:rFonts w:ascii="Georgia" w:hAnsi="Georgia" w:cs="Times New Roman"/>
          <w:sz w:val="24"/>
          <w:szCs w:val="24"/>
        </w:rPr>
        <w:t xml:space="preserve">% </w:t>
      </w:r>
      <w:r w:rsidR="00B426B1" w:rsidRPr="00346D1C">
        <w:rPr>
          <w:rFonts w:ascii="Georgia" w:hAnsi="Georgia" w:cs="Times New Roman"/>
          <w:sz w:val="24"/>
          <w:szCs w:val="24"/>
        </w:rPr>
        <w:t xml:space="preserve">in the first decade of this millennium and remained virtually unchanged afterwards </w:t>
      </w:r>
      <w:r w:rsidR="00CD1EA2" w:rsidRPr="00346D1C">
        <w:rPr>
          <w:rFonts w:ascii="Georgia" w:hAnsi="Georgia" w:cs="Times New Roman"/>
          <w:sz w:val="24"/>
          <w:szCs w:val="24"/>
        </w:rPr>
        <w:t>(see Table 3)</w:t>
      </w:r>
      <w:r w:rsidR="00C445EF" w:rsidRPr="00346D1C">
        <w:rPr>
          <w:rFonts w:ascii="Georgia" w:hAnsi="Georgia" w:cs="Times New Roman"/>
          <w:sz w:val="24"/>
          <w:szCs w:val="24"/>
        </w:rPr>
        <w:t>.</w:t>
      </w:r>
      <w:r w:rsidRPr="00346D1C">
        <w:rPr>
          <w:rFonts w:ascii="Georgia" w:hAnsi="Georgia" w:cs="Times New Roman"/>
          <w:sz w:val="24"/>
          <w:szCs w:val="24"/>
        </w:rPr>
        <w:t xml:space="preserve"> </w:t>
      </w:r>
      <w:r w:rsidR="00EF2FB4" w:rsidRPr="00346D1C">
        <w:rPr>
          <w:rFonts w:ascii="Georgia" w:hAnsi="Georgia" w:cs="Times New Roman"/>
          <w:sz w:val="24"/>
          <w:szCs w:val="24"/>
        </w:rPr>
        <w:t xml:space="preserve">The trends in the employment shares indicate that agriculture </w:t>
      </w:r>
      <w:r w:rsidR="00B061E9" w:rsidRPr="00346D1C">
        <w:rPr>
          <w:rFonts w:ascii="Georgia" w:hAnsi="Georgia" w:cs="Times New Roman"/>
          <w:sz w:val="24"/>
          <w:szCs w:val="24"/>
        </w:rPr>
        <w:t>is still the dominant employer in Kenya.</w:t>
      </w:r>
      <w:r w:rsidR="00A72B99" w:rsidRPr="00346D1C">
        <w:rPr>
          <w:rFonts w:ascii="Georgia" w:hAnsi="Georgia" w:cs="Times New Roman"/>
          <w:sz w:val="24"/>
          <w:szCs w:val="24"/>
        </w:rPr>
        <w:t xml:space="preserve"> </w:t>
      </w:r>
      <w:r w:rsidR="008F1855" w:rsidRPr="00346D1C">
        <w:rPr>
          <w:rFonts w:ascii="Georgia" w:hAnsi="Georgia" w:cs="Times New Roman"/>
          <w:sz w:val="24"/>
          <w:szCs w:val="24"/>
        </w:rPr>
        <w:t xml:space="preserve">An </w:t>
      </w:r>
      <w:r w:rsidR="00636BDC" w:rsidRPr="00346D1C">
        <w:rPr>
          <w:rFonts w:ascii="Georgia" w:hAnsi="Georgia" w:cs="Times New Roman"/>
          <w:sz w:val="24"/>
          <w:szCs w:val="24"/>
        </w:rPr>
        <w:t xml:space="preserve">implication for </w:t>
      </w:r>
      <w:r w:rsidR="00086E9E" w:rsidRPr="00346D1C">
        <w:rPr>
          <w:rFonts w:ascii="Georgia" w:hAnsi="Georgia" w:cs="Times New Roman"/>
          <w:sz w:val="24"/>
          <w:szCs w:val="24"/>
        </w:rPr>
        <w:t xml:space="preserve">poverty and </w:t>
      </w:r>
      <w:r w:rsidR="00636BDC" w:rsidRPr="00346D1C">
        <w:rPr>
          <w:rFonts w:ascii="Georgia" w:hAnsi="Georgia" w:cs="Times New Roman"/>
          <w:sz w:val="24"/>
          <w:szCs w:val="24"/>
        </w:rPr>
        <w:t xml:space="preserve">inequality is </w:t>
      </w:r>
      <w:r w:rsidR="00C75601" w:rsidRPr="00346D1C">
        <w:rPr>
          <w:rFonts w:ascii="Georgia" w:hAnsi="Georgia" w:cs="Times New Roman"/>
          <w:sz w:val="24"/>
          <w:szCs w:val="24"/>
        </w:rPr>
        <w:t xml:space="preserve">that agriculture is </w:t>
      </w:r>
      <w:r w:rsidR="00B45A88" w:rsidRPr="00346D1C">
        <w:rPr>
          <w:rFonts w:ascii="Georgia" w:hAnsi="Georgia" w:cs="Times New Roman"/>
          <w:sz w:val="24"/>
          <w:szCs w:val="24"/>
        </w:rPr>
        <w:t xml:space="preserve">a sector characterised by low </w:t>
      </w:r>
      <w:r w:rsidR="000D52B4" w:rsidRPr="00346D1C">
        <w:rPr>
          <w:rFonts w:ascii="Georgia" w:hAnsi="Georgia" w:cs="Times New Roman"/>
          <w:sz w:val="24"/>
          <w:szCs w:val="24"/>
        </w:rPr>
        <w:t xml:space="preserve">and declining </w:t>
      </w:r>
      <w:r w:rsidR="00B45A88" w:rsidRPr="00346D1C">
        <w:rPr>
          <w:rFonts w:ascii="Georgia" w:hAnsi="Georgia" w:cs="Times New Roman"/>
          <w:sz w:val="24"/>
          <w:szCs w:val="24"/>
        </w:rPr>
        <w:t>labour productivity</w:t>
      </w:r>
      <w:r w:rsidR="008020D0" w:rsidRPr="00346D1C">
        <w:rPr>
          <w:rFonts w:ascii="Georgia" w:hAnsi="Georgia" w:cs="Times New Roman"/>
          <w:sz w:val="24"/>
          <w:szCs w:val="24"/>
        </w:rPr>
        <w:t xml:space="preserve">, </w:t>
      </w:r>
      <w:r w:rsidR="004401F5" w:rsidRPr="00346D1C">
        <w:rPr>
          <w:rFonts w:ascii="Georgia" w:hAnsi="Georgia" w:cs="Times New Roman"/>
          <w:sz w:val="24"/>
          <w:szCs w:val="24"/>
        </w:rPr>
        <w:t xml:space="preserve">while productivity in the </w:t>
      </w:r>
      <w:r w:rsidR="0095587D" w:rsidRPr="00346D1C">
        <w:rPr>
          <w:rFonts w:ascii="Georgia" w:hAnsi="Georgia" w:cs="Times New Roman"/>
          <w:sz w:val="24"/>
          <w:szCs w:val="24"/>
        </w:rPr>
        <w:t xml:space="preserve">industrial and services sector was higher and </w:t>
      </w:r>
      <w:r w:rsidR="00367B6B" w:rsidRPr="00346D1C">
        <w:rPr>
          <w:rFonts w:ascii="Georgia" w:hAnsi="Georgia" w:cs="Times New Roman"/>
          <w:sz w:val="24"/>
          <w:szCs w:val="24"/>
        </w:rPr>
        <w:t xml:space="preserve">increased </w:t>
      </w:r>
      <w:r w:rsidR="009B7AA3" w:rsidRPr="00346D1C">
        <w:rPr>
          <w:rFonts w:ascii="Georgia" w:hAnsi="Georgia" w:cs="Times New Roman"/>
          <w:sz w:val="24"/>
          <w:szCs w:val="24"/>
        </w:rPr>
        <w:t xml:space="preserve">in the past two decades (KIPPRA, 2020: </w:t>
      </w:r>
      <w:r w:rsidR="00484269" w:rsidRPr="00346D1C">
        <w:rPr>
          <w:rFonts w:ascii="Georgia" w:hAnsi="Georgia" w:cs="Times New Roman"/>
          <w:sz w:val="24"/>
          <w:szCs w:val="24"/>
        </w:rPr>
        <w:t>11</w:t>
      </w:r>
      <w:r w:rsidR="004F61F6" w:rsidRPr="00346D1C">
        <w:rPr>
          <w:rFonts w:ascii="Georgia" w:hAnsi="Georgia" w:cs="Times New Roman"/>
          <w:sz w:val="24"/>
          <w:szCs w:val="24"/>
        </w:rPr>
        <w:t>, 35</w:t>
      </w:r>
      <w:r w:rsidR="009B7AA3" w:rsidRPr="00346D1C">
        <w:rPr>
          <w:rFonts w:ascii="Georgia" w:hAnsi="Georgia" w:cs="Times New Roman"/>
          <w:sz w:val="24"/>
          <w:szCs w:val="24"/>
        </w:rPr>
        <w:t>).</w:t>
      </w:r>
      <w:r w:rsidR="0067656F" w:rsidRPr="00346D1C">
        <w:rPr>
          <w:rFonts w:ascii="Georgia" w:hAnsi="Georgia" w:cs="Times New Roman"/>
          <w:sz w:val="24"/>
          <w:szCs w:val="24"/>
        </w:rPr>
        <w:t xml:space="preserve"> This resulted in low average annual</w:t>
      </w:r>
      <w:r w:rsidR="00146EE6" w:rsidRPr="00346D1C">
        <w:rPr>
          <w:rFonts w:ascii="Georgia" w:hAnsi="Georgia" w:cs="Times New Roman"/>
          <w:sz w:val="24"/>
          <w:szCs w:val="24"/>
        </w:rPr>
        <w:t xml:space="preserve"> labour productivity growth</w:t>
      </w:r>
      <w:r w:rsidR="005F7276" w:rsidRPr="00346D1C">
        <w:rPr>
          <w:rFonts w:ascii="Georgia" w:hAnsi="Georgia" w:cs="Times New Roman"/>
          <w:sz w:val="24"/>
          <w:szCs w:val="24"/>
        </w:rPr>
        <w:t xml:space="preserve"> in Kenya of only 1.7% in 2013-2019 (MoL, 2021: 10).</w:t>
      </w:r>
      <w:r w:rsidR="00146EE6" w:rsidRPr="00346D1C">
        <w:rPr>
          <w:rFonts w:ascii="Georgia" w:hAnsi="Georgia" w:cs="Times New Roman"/>
          <w:sz w:val="24"/>
          <w:szCs w:val="24"/>
        </w:rPr>
        <w:t xml:space="preserve"> </w:t>
      </w:r>
      <w:r w:rsidR="00B22A21" w:rsidRPr="00346D1C">
        <w:rPr>
          <w:rFonts w:ascii="Georgia" w:hAnsi="Georgia" w:cs="Times New Roman"/>
          <w:sz w:val="24"/>
          <w:szCs w:val="24"/>
        </w:rPr>
        <w:t>The differ</w:t>
      </w:r>
      <w:r w:rsidR="00456360" w:rsidRPr="00346D1C">
        <w:rPr>
          <w:rFonts w:ascii="Georgia" w:hAnsi="Georgia" w:cs="Times New Roman"/>
          <w:sz w:val="24"/>
          <w:szCs w:val="24"/>
        </w:rPr>
        <w:t xml:space="preserve">ent </w:t>
      </w:r>
      <w:r w:rsidR="00B22A21" w:rsidRPr="00346D1C">
        <w:rPr>
          <w:rFonts w:ascii="Georgia" w:hAnsi="Georgia" w:cs="Times New Roman"/>
          <w:sz w:val="24"/>
          <w:szCs w:val="24"/>
        </w:rPr>
        <w:t>s</w:t>
      </w:r>
      <w:r w:rsidR="00714779" w:rsidRPr="00346D1C">
        <w:rPr>
          <w:rFonts w:ascii="Georgia" w:hAnsi="Georgia" w:cs="Times New Roman"/>
          <w:sz w:val="24"/>
          <w:szCs w:val="24"/>
        </w:rPr>
        <w:t xml:space="preserve">ectoral </w:t>
      </w:r>
      <w:r w:rsidR="00B22A21" w:rsidRPr="00346D1C">
        <w:rPr>
          <w:rFonts w:ascii="Georgia" w:hAnsi="Georgia" w:cs="Times New Roman"/>
          <w:sz w:val="24"/>
          <w:szCs w:val="24"/>
        </w:rPr>
        <w:t>level</w:t>
      </w:r>
      <w:r w:rsidR="00B57F1D" w:rsidRPr="00346D1C">
        <w:rPr>
          <w:rFonts w:ascii="Georgia" w:hAnsi="Georgia" w:cs="Times New Roman"/>
          <w:sz w:val="24"/>
          <w:szCs w:val="24"/>
        </w:rPr>
        <w:t>s</w:t>
      </w:r>
      <w:r w:rsidR="00B22A21" w:rsidRPr="00346D1C">
        <w:rPr>
          <w:rFonts w:ascii="Georgia" w:hAnsi="Georgia" w:cs="Times New Roman"/>
          <w:sz w:val="24"/>
          <w:szCs w:val="24"/>
        </w:rPr>
        <w:t xml:space="preserve"> </w:t>
      </w:r>
      <w:r w:rsidR="00B627CA" w:rsidRPr="00346D1C">
        <w:rPr>
          <w:rFonts w:ascii="Georgia" w:hAnsi="Georgia" w:cs="Times New Roman"/>
          <w:sz w:val="24"/>
          <w:szCs w:val="24"/>
        </w:rPr>
        <w:t xml:space="preserve">of labour productivity </w:t>
      </w:r>
      <w:r w:rsidR="00B57F1D" w:rsidRPr="00346D1C">
        <w:rPr>
          <w:rFonts w:ascii="Georgia" w:hAnsi="Georgia" w:cs="Times New Roman"/>
          <w:sz w:val="24"/>
          <w:szCs w:val="24"/>
        </w:rPr>
        <w:t xml:space="preserve">are </w:t>
      </w:r>
      <w:r w:rsidR="00E0019A" w:rsidRPr="00346D1C">
        <w:rPr>
          <w:rFonts w:ascii="Georgia" w:hAnsi="Georgia" w:cs="Times New Roman"/>
          <w:sz w:val="24"/>
          <w:szCs w:val="24"/>
        </w:rPr>
        <w:t xml:space="preserve">a factor </w:t>
      </w:r>
      <w:r w:rsidR="00B627CA" w:rsidRPr="00346D1C">
        <w:rPr>
          <w:rFonts w:ascii="Georgia" w:hAnsi="Georgia" w:cs="Times New Roman"/>
          <w:sz w:val="24"/>
          <w:szCs w:val="24"/>
        </w:rPr>
        <w:t>underlying th</w:t>
      </w:r>
      <w:r w:rsidR="005C4461" w:rsidRPr="00346D1C">
        <w:rPr>
          <w:rFonts w:ascii="Georgia" w:hAnsi="Georgia" w:cs="Times New Roman"/>
          <w:sz w:val="24"/>
          <w:szCs w:val="24"/>
        </w:rPr>
        <w:t>e</w:t>
      </w:r>
      <w:r w:rsidR="00B627CA" w:rsidRPr="00346D1C">
        <w:rPr>
          <w:rFonts w:ascii="Georgia" w:hAnsi="Georgia" w:cs="Times New Roman"/>
          <w:sz w:val="24"/>
          <w:szCs w:val="24"/>
        </w:rPr>
        <w:t xml:space="preserve"> </w:t>
      </w:r>
      <w:r w:rsidR="003F34CB" w:rsidRPr="00346D1C">
        <w:rPr>
          <w:rFonts w:ascii="Georgia" w:hAnsi="Georgia" w:cs="Times New Roman"/>
          <w:sz w:val="24"/>
          <w:szCs w:val="24"/>
        </w:rPr>
        <w:t xml:space="preserve">urban-rural inequality. </w:t>
      </w:r>
      <w:r w:rsidR="003E31C8" w:rsidRPr="00346D1C">
        <w:rPr>
          <w:rFonts w:ascii="Georgia" w:hAnsi="Georgia" w:cs="Times New Roman"/>
          <w:sz w:val="24"/>
          <w:szCs w:val="24"/>
        </w:rPr>
        <w:t>As KIPPRA (2020: xix) noted, ‘</w:t>
      </w:r>
      <w:r w:rsidR="007B05FF" w:rsidRPr="00346D1C">
        <w:rPr>
          <w:rFonts w:ascii="Georgia" w:hAnsi="Georgia" w:cs="Times New Roman"/>
          <w:sz w:val="24"/>
          <w:szCs w:val="24"/>
        </w:rPr>
        <w:t>t</w:t>
      </w:r>
      <w:r w:rsidR="003E31C8" w:rsidRPr="00346D1C">
        <w:rPr>
          <w:rFonts w:ascii="Georgia" w:hAnsi="Georgia" w:cs="Times New Roman"/>
          <w:sz w:val="24"/>
          <w:szCs w:val="24"/>
        </w:rPr>
        <w:t>he high poverty level in rural areas is mainly driven by over-reliance on agriculture, compounded by low productivity.</w:t>
      </w:r>
      <w:r w:rsidR="004406DC" w:rsidRPr="00346D1C">
        <w:rPr>
          <w:rFonts w:ascii="Georgia" w:hAnsi="Georgia" w:cs="Times New Roman"/>
          <w:sz w:val="24"/>
          <w:szCs w:val="24"/>
        </w:rPr>
        <w:t>’</w:t>
      </w:r>
    </w:p>
    <w:p w14:paraId="3A119200" w14:textId="77777777" w:rsidR="00346D1C" w:rsidRDefault="00346D1C">
      <w:pPr>
        <w:rPr>
          <w:rFonts w:ascii="Georgia" w:hAnsi="Georgia" w:cs="Times New Roman"/>
          <w:sz w:val="24"/>
          <w:szCs w:val="24"/>
        </w:rPr>
      </w:pPr>
      <w:r>
        <w:rPr>
          <w:rFonts w:ascii="Georgia" w:hAnsi="Georgia" w:cs="Times New Roman"/>
          <w:sz w:val="24"/>
          <w:szCs w:val="24"/>
        </w:rPr>
        <w:br w:type="page"/>
      </w:r>
    </w:p>
    <w:p w14:paraId="3DFB7923" w14:textId="77777777" w:rsidR="004254B7" w:rsidRPr="00346D1C" w:rsidRDefault="004254B7" w:rsidP="003E31C8">
      <w:pPr>
        <w:spacing w:after="120" w:line="240" w:lineRule="auto"/>
        <w:jc w:val="both"/>
        <w:rPr>
          <w:rFonts w:ascii="Georgia" w:hAnsi="Georgia" w:cs="Times New Roman"/>
          <w:sz w:val="24"/>
          <w:szCs w:val="24"/>
        </w:rPr>
      </w:pPr>
    </w:p>
    <w:p w14:paraId="5163F9A1" w14:textId="5BAA7644" w:rsidR="00B426B1" w:rsidRPr="009C5581" w:rsidRDefault="004254B7" w:rsidP="003D1115">
      <w:pPr>
        <w:spacing w:after="0" w:line="240" w:lineRule="auto"/>
        <w:jc w:val="both"/>
        <w:rPr>
          <w:rFonts w:ascii="Times New Roman" w:hAnsi="Times New Roman" w:cs="Times New Roman"/>
          <w:b/>
          <w:bCs/>
          <w:sz w:val="20"/>
          <w:szCs w:val="20"/>
        </w:rPr>
      </w:pPr>
      <w:bookmarkStart w:id="38" w:name="_Toc122349799"/>
      <w:bookmarkStart w:id="39" w:name="_Toc137745022"/>
      <w:r w:rsidRPr="009C5581">
        <w:rPr>
          <w:rFonts w:ascii="Times New Roman" w:hAnsi="Times New Roman" w:cs="Times New Roman"/>
          <w:b/>
          <w:bCs/>
          <w:sz w:val="20"/>
          <w:szCs w:val="20"/>
        </w:rPr>
        <w:t xml:space="preserve">Table </w:t>
      </w:r>
      <w:r w:rsidRPr="009C5581">
        <w:rPr>
          <w:rFonts w:ascii="Times New Roman" w:hAnsi="Times New Roman" w:cs="Times New Roman"/>
          <w:b/>
          <w:bCs/>
          <w:smallCaps/>
          <w:sz w:val="20"/>
          <w:szCs w:val="20"/>
        </w:rPr>
        <w:fldChar w:fldCharType="begin"/>
      </w:r>
      <w:r w:rsidRPr="009C5581">
        <w:rPr>
          <w:rFonts w:ascii="Times New Roman" w:hAnsi="Times New Roman" w:cs="Times New Roman"/>
          <w:b/>
          <w:bCs/>
          <w:sz w:val="20"/>
          <w:szCs w:val="20"/>
        </w:rPr>
        <w:instrText xml:space="preserve"> SEQ Table \* ARABIC </w:instrText>
      </w:r>
      <w:r w:rsidRPr="009C5581">
        <w:rPr>
          <w:rFonts w:ascii="Times New Roman" w:hAnsi="Times New Roman" w:cs="Times New Roman"/>
          <w:b/>
          <w:bCs/>
          <w:smallCaps/>
          <w:sz w:val="20"/>
          <w:szCs w:val="20"/>
        </w:rPr>
        <w:fldChar w:fldCharType="separate"/>
      </w:r>
      <w:r w:rsidR="000F6B8E">
        <w:rPr>
          <w:rFonts w:ascii="Times New Roman" w:hAnsi="Times New Roman" w:cs="Times New Roman"/>
          <w:b/>
          <w:bCs/>
          <w:noProof/>
          <w:sz w:val="20"/>
          <w:szCs w:val="20"/>
        </w:rPr>
        <w:t>3</w:t>
      </w:r>
      <w:r w:rsidRPr="009C5581">
        <w:rPr>
          <w:rFonts w:ascii="Times New Roman" w:hAnsi="Times New Roman" w:cs="Times New Roman"/>
          <w:b/>
          <w:bCs/>
          <w:smallCaps/>
          <w:sz w:val="20"/>
          <w:szCs w:val="20"/>
        </w:rPr>
        <w:fldChar w:fldCharType="end"/>
      </w:r>
      <w:r w:rsidRPr="009C5581">
        <w:rPr>
          <w:rFonts w:ascii="Times New Roman" w:hAnsi="Times New Roman" w:cs="Times New Roman"/>
          <w:b/>
          <w:bCs/>
          <w:sz w:val="20"/>
          <w:szCs w:val="20"/>
        </w:rPr>
        <w:t>:</w:t>
      </w:r>
      <w:r w:rsidRPr="009C5581">
        <w:rPr>
          <w:rFonts w:ascii="Times New Roman" w:hAnsi="Times New Roman" w:cs="Times New Roman"/>
          <w:sz w:val="20"/>
          <w:szCs w:val="20"/>
        </w:rPr>
        <w:t xml:space="preserve"> Labour market indicators, 2000-2021</w:t>
      </w:r>
      <w:bookmarkEnd w:id="38"/>
      <w:bookmarkEnd w:id="39"/>
    </w:p>
    <w:tbl>
      <w:tblPr>
        <w:tblpPr w:leftFromText="142" w:rightFromText="142" w:vertAnchor="text" w:horzAnchor="margin" w:tblpY="1"/>
        <w:tblOverlap w:val="never"/>
        <w:tblW w:w="5000" w:type="pct"/>
        <w:tblCellMar>
          <w:left w:w="70" w:type="dxa"/>
          <w:right w:w="70" w:type="dxa"/>
        </w:tblCellMar>
        <w:tblLook w:val="04A0" w:firstRow="1" w:lastRow="0" w:firstColumn="1" w:lastColumn="0" w:noHBand="0" w:noVBand="1"/>
      </w:tblPr>
      <w:tblGrid>
        <w:gridCol w:w="3520"/>
        <w:gridCol w:w="467"/>
        <w:gridCol w:w="467"/>
        <w:gridCol w:w="467"/>
        <w:gridCol w:w="467"/>
        <w:gridCol w:w="466"/>
        <w:gridCol w:w="466"/>
        <w:gridCol w:w="466"/>
        <w:gridCol w:w="466"/>
        <w:gridCol w:w="466"/>
        <w:gridCol w:w="466"/>
        <w:gridCol w:w="466"/>
        <w:gridCol w:w="466"/>
        <w:gridCol w:w="466"/>
        <w:gridCol w:w="298"/>
      </w:tblGrid>
      <w:tr w:rsidR="0038103C" w:rsidRPr="009C5581" w14:paraId="0A9B92B2" w14:textId="77777777" w:rsidTr="003D1115">
        <w:trPr>
          <w:trHeight w:val="20"/>
        </w:trPr>
        <w:tc>
          <w:tcPr>
            <w:tcW w:w="178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CE76B3F" w14:textId="77777777" w:rsidR="0038103C" w:rsidRPr="009C5581" w:rsidRDefault="0038103C" w:rsidP="003D1115">
            <w:pPr>
              <w:spacing w:after="0" w:line="240" w:lineRule="auto"/>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Indicator</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50A4335"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2000</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5C0EA58"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2002</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4EB249D"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2004</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BE84B37"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2006</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299A4EF4"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2008</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FD3B58B"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2010</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7E8533D"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2012</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6CE1869"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2014</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B8B5865"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2016</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BCB1C3E"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2018</w:t>
            </w:r>
          </w:p>
        </w:tc>
        <w:tc>
          <w:tcPr>
            <w:tcW w:w="2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A07529D"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2019</w:t>
            </w:r>
          </w:p>
        </w:tc>
        <w:tc>
          <w:tcPr>
            <w:tcW w:w="236" w:type="pct"/>
            <w:tcBorders>
              <w:top w:val="single" w:sz="4" w:space="0" w:color="auto"/>
              <w:left w:val="single" w:sz="4" w:space="0" w:color="auto"/>
              <w:bottom w:val="single" w:sz="4" w:space="0" w:color="auto"/>
              <w:right w:val="single" w:sz="4" w:space="0" w:color="auto"/>
            </w:tcBorders>
            <w:shd w:val="clear" w:color="A5A5A5" w:fill="A5A5A5"/>
          </w:tcPr>
          <w:p w14:paraId="25F90D94"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2020</w:t>
            </w:r>
          </w:p>
        </w:tc>
        <w:tc>
          <w:tcPr>
            <w:tcW w:w="236" w:type="pct"/>
            <w:tcBorders>
              <w:top w:val="single" w:sz="4" w:space="0" w:color="auto"/>
              <w:left w:val="single" w:sz="4" w:space="0" w:color="auto"/>
              <w:bottom w:val="single" w:sz="4" w:space="0" w:color="auto"/>
              <w:right w:val="single" w:sz="4" w:space="0" w:color="auto"/>
            </w:tcBorders>
            <w:shd w:val="clear" w:color="A5A5A5" w:fill="A5A5A5"/>
          </w:tcPr>
          <w:p w14:paraId="5E8AB79D"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2021</w:t>
            </w:r>
          </w:p>
        </w:tc>
        <w:tc>
          <w:tcPr>
            <w:tcW w:w="151" w:type="pct"/>
            <w:tcBorders>
              <w:top w:val="single" w:sz="4" w:space="0" w:color="auto"/>
              <w:left w:val="single" w:sz="4" w:space="0" w:color="auto"/>
              <w:bottom w:val="single" w:sz="4" w:space="0" w:color="auto"/>
              <w:right w:val="single" w:sz="4" w:space="0" w:color="auto"/>
            </w:tcBorders>
            <w:shd w:val="clear" w:color="A5A5A5" w:fill="A5A5A5"/>
          </w:tcPr>
          <w:p w14:paraId="0AB2DB81" w14:textId="77777777" w:rsidR="0038103C" w:rsidRPr="009C5581" w:rsidRDefault="0038103C" w:rsidP="003D1115">
            <w:pPr>
              <w:spacing w:after="0" w:line="240" w:lineRule="auto"/>
              <w:jc w:val="center"/>
              <w:rPr>
                <w:rFonts w:ascii="Times New Roman" w:eastAsia="Times New Roman" w:hAnsi="Times New Roman" w:cs="Times New Roman"/>
                <w:b/>
                <w:bCs/>
                <w:color w:val="FFFFFF"/>
                <w:sz w:val="14"/>
                <w:szCs w:val="14"/>
                <w:lang w:eastAsia="nl-NL"/>
              </w:rPr>
            </w:pPr>
            <w:r w:rsidRPr="009C5581">
              <w:rPr>
                <w:rFonts w:ascii="Times New Roman" w:eastAsia="Times New Roman" w:hAnsi="Times New Roman" w:cs="Times New Roman"/>
                <w:b/>
                <w:bCs/>
                <w:color w:val="FFFFFF"/>
                <w:sz w:val="14"/>
                <w:szCs w:val="14"/>
                <w:lang w:eastAsia="nl-NL"/>
              </w:rPr>
              <w:t>5y</w:t>
            </w:r>
          </w:p>
        </w:tc>
      </w:tr>
      <w:tr w:rsidR="0038103C" w:rsidRPr="009C5581" w14:paraId="2E0BA1FD" w14:textId="77777777" w:rsidTr="003D1115">
        <w:trPr>
          <w:trHeight w:val="20"/>
        </w:trPr>
        <w:tc>
          <w:tcPr>
            <w:tcW w:w="1781" w:type="pct"/>
            <w:tcBorders>
              <w:top w:val="single" w:sz="4" w:space="0" w:color="auto"/>
              <w:left w:val="single" w:sz="4" w:space="0" w:color="auto"/>
              <w:bottom w:val="single" w:sz="4" w:space="0" w:color="auto"/>
              <w:right w:val="single" w:sz="4" w:space="0" w:color="auto"/>
            </w:tcBorders>
            <w:shd w:val="clear" w:color="EDEDED" w:fill="EDEDED"/>
            <w:noWrap/>
            <w:vAlign w:val="bottom"/>
            <w:hideMark/>
          </w:tcPr>
          <w:p w14:paraId="0D577E4D" w14:textId="77777777" w:rsidR="0038103C" w:rsidRPr="009C5581" w:rsidRDefault="0038103C" w:rsidP="003D1115">
            <w:pPr>
              <w:spacing w:after="0" w:line="240" w:lineRule="auto"/>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Employment in agriculture (% of total)</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7094F5F5"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48.7</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1DACBBBB"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54.3</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06AAB500"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58.9</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5DEE801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61.1</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21B4C9F3"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61.1</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2FB42FB8"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60.3</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2E97616A"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59.2</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0080E27F"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57.9</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6B7DE472"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56.5</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57B1E01A"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55.1</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5DEF2008"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54.3</w:t>
            </w:r>
          </w:p>
        </w:tc>
        <w:tc>
          <w:tcPr>
            <w:tcW w:w="236" w:type="pct"/>
            <w:tcBorders>
              <w:top w:val="single" w:sz="4" w:space="0" w:color="auto"/>
              <w:left w:val="single" w:sz="4" w:space="0" w:color="auto"/>
              <w:bottom w:val="single" w:sz="4" w:space="0" w:color="auto"/>
              <w:right w:val="single" w:sz="4" w:space="0" w:color="auto"/>
            </w:tcBorders>
            <w:shd w:val="clear" w:color="EDEDED" w:fill="EDEDED"/>
            <w:vAlign w:val="bottom"/>
          </w:tcPr>
          <w:p w14:paraId="39ACC3E6"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shd w:val="clear" w:color="EDEDED" w:fill="EDEDED"/>
            <w:vAlign w:val="bottom"/>
          </w:tcPr>
          <w:p w14:paraId="33E4251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151" w:type="pct"/>
            <w:tcBorders>
              <w:top w:val="single" w:sz="4" w:space="0" w:color="auto"/>
              <w:left w:val="single" w:sz="4" w:space="0" w:color="auto"/>
              <w:bottom w:val="single" w:sz="4" w:space="0" w:color="auto"/>
              <w:right w:val="single" w:sz="4" w:space="0" w:color="auto"/>
            </w:tcBorders>
            <w:shd w:val="clear" w:color="EDEDED" w:fill="EDEDED"/>
            <w:vAlign w:val="bottom"/>
          </w:tcPr>
          <w:p w14:paraId="5270020E"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0</w:t>
            </w:r>
          </w:p>
        </w:tc>
      </w:tr>
      <w:tr w:rsidR="0038103C" w:rsidRPr="009C5581" w14:paraId="605C974D" w14:textId="77777777" w:rsidTr="003D1115">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224A8" w14:textId="77777777" w:rsidR="0038103C" w:rsidRPr="009C5581" w:rsidRDefault="0038103C" w:rsidP="003D1115">
            <w:pPr>
              <w:spacing w:after="0" w:line="240" w:lineRule="auto"/>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Employment in industry (% of total)</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54E7EB"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11.6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5206A1"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9.1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D5034F"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7.3</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ECF012"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6.5</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C2E4D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D1E126"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B74EDD"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5948E0"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4DBC5A"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F8FA8"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6.2</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76D40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6.2</w:t>
            </w:r>
          </w:p>
        </w:tc>
        <w:tc>
          <w:tcPr>
            <w:tcW w:w="236" w:type="pct"/>
            <w:tcBorders>
              <w:top w:val="single" w:sz="4" w:space="0" w:color="auto"/>
              <w:left w:val="single" w:sz="4" w:space="0" w:color="auto"/>
              <w:bottom w:val="single" w:sz="4" w:space="0" w:color="auto"/>
              <w:right w:val="single" w:sz="4" w:space="0" w:color="auto"/>
            </w:tcBorders>
            <w:vAlign w:val="bottom"/>
          </w:tcPr>
          <w:p w14:paraId="53B112FE"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vAlign w:val="bottom"/>
          </w:tcPr>
          <w:p w14:paraId="4B327D41"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151" w:type="pct"/>
            <w:tcBorders>
              <w:top w:val="single" w:sz="4" w:space="0" w:color="auto"/>
              <w:left w:val="single" w:sz="4" w:space="0" w:color="auto"/>
              <w:bottom w:val="single" w:sz="4" w:space="0" w:color="auto"/>
              <w:right w:val="single" w:sz="4" w:space="0" w:color="auto"/>
            </w:tcBorders>
            <w:vAlign w:val="bottom"/>
          </w:tcPr>
          <w:p w14:paraId="6AFBFE6D"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0</w:t>
            </w:r>
          </w:p>
        </w:tc>
      </w:tr>
      <w:tr w:rsidR="0038103C" w:rsidRPr="009C5581" w14:paraId="1C68FBD3" w14:textId="77777777" w:rsidTr="003D1115">
        <w:trPr>
          <w:trHeight w:val="20"/>
        </w:trPr>
        <w:tc>
          <w:tcPr>
            <w:tcW w:w="1781" w:type="pct"/>
            <w:tcBorders>
              <w:top w:val="single" w:sz="4" w:space="0" w:color="auto"/>
              <w:left w:val="single" w:sz="4" w:space="0" w:color="auto"/>
              <w:bottom w:val="single" w:sz="4" w:space="0" w:color="auto"/>
              <w:right w:val="single" w:sz="4" w:space="0" w:color="auto"/>
            </w:tcBorders>
            <w:shd w:val="clear" w:color="EDEDED" w:fill="EDEDED"/>
            <w:noWrap/>
            <w:vAlign w:val="bottom"/>
            <w:hideMark/>
          </w:tcPr>
          <w:p w14:paraId="5B2560FA" w14:textId="77777777" w:rsidR="0038103C" w:rsidRPr="009C5581" w:rsidRDefault="0038103C" w:rsidP="003D1115">
            <w:pPr>
              <w:spacing w:after="0" w:line="240" w:lineRule="auto"/>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Employment in services (% of total)</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44064843"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39.7</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400F0C54"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36.7</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1C58D220"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33.7</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1681E6C6"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32.4</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107F08E8"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32.8</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748570FD"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33.7</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3E4C896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34.8</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1940190D"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36.0</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4B0DB906"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37.3</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688008F3"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38.7</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12E4301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39.4</w:t>
            </w:r>
          </w:p>
        </w:tc>
        <w:tc>
          <w:tcPr>
            <w:tcW w:w="236" w:type="pct"/>
            <w:tcBorders>
              <w:top w:val="single" w:sz="4" w:space="0" w:color="auto"/>
              <w:left w:val="single" w:sz="4" w:space="0" w:color="auto"/>
              <w:bottom w:val="single" w:sz="4" w:space="0" w:color="auto"/>
              <w:right w:val="single" w:sz="4" w:space="0" w:color="auto"/>
            </w:tcBorders>
            <w:shd w:val="clear" w:color="EDEDED" w:fill="EDEDED"/>
            <w:vAlign w:val="bottom"/>
          </w:tcPr>
          <w:p w14:paraId="5715A5B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shd w:val="clear" w:color="EDEDED" w:fill="EDEDED"/>
            <w:vAlign w:val="bottom"/>
          </w:tcPr>
          <w:p w14:paraId="748342A1"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151" w:type="pct"/>
            <w:tcBorders>
              <w:top w:val="single" w:sz="4" w:space="0" w:color="auto"/>
              <w:left w:val="single" w:sz="4" w:space="0" w:color="auto"/>
              <w:bottom w:val="single" w:sz="4" w:space="0" w:color="auto"/>
              <w:right w:val="single" w:sz="4" w:space="0" w:color="auto"/>
            </w:tcBorders>
            <w:shd w:val="clear" w:color="EDEDED" w:fill="EDEDED"/>
            <w:vAlign w:val="bottom"/>
          </w:tcPr>
          <w:p w14:paraId="6AA022EE"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0</w:t>
            </w:r>
          </w:p>
        </w:tc>
      </w:tr>
      <w:tr w:rsidR="0038103C" w:rsidRPr="009C5581" w14:paraId="6F345DC8" w14:textId="77777777" w:rsidTr="003D1115">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18EB2" w14:textId="77777777" w:rsidR="0038103C" w:rsidRPr="009C5581" w:rsidRDefault="0038103C" w:rsidP="003D1115">
            <w:pPr>
              <w:spacing w:after="0" w:line="240" w:lineRule="auto"/>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Labour force participation rate, total (% of pop 15-64)</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BE941"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71.8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02AFF"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69.4</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0E54F2"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66.8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DDBFB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66.6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11070E"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68.9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487EAE"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71.0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307D7A"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72.6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4A87DD"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74.0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4B06B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75.3</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4DAE18"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74.8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1C7BC0"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74.6</w:t>
            </w:r>
          </w:p>
        </w:tc>
        <w:tc>
          <w:tcPr>
            <w:tcW w:w="236" w:type="pct"/>
            <w:tcBorders>
              <w:top w:val="single" w:sz="4" w:space="0" w:color="auto"/>
              <w:left w:val="single" w:sz="4" w:space="0" w:color="auto"/>
              <w:bottom w:val="single" w:sz="4" w:space="0" w:color="auto"/>
              <w:right w:val="single" w:sz="4" w:space="0" w:color="auto"/>
            </w:tcBorders>
            <w:vAlign w:val="bottom"/>
          </w:tcPr>
          <w:p w14:paraId="41C454F5"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vAlign w:val="bottom"/>
          </w:tcPr>
          <w:p w14:paraId="23FC1D8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151" w:type="pct"/>
            <w:tcBorders>
              <w:top w:val="single" w:sz="4" w:space="0" w:color="auto"/>
              <w:left w:val="single" w:sz="4" w:space="0" w:color="auto"/>
              <w:bottom w:val="single" w:sz="4" w:space="0" w:color="auto"/>
              <w:right w:val="single" w:sz="4" w:space="0" w:color="auto"/>
            </w:tcBorders>
            <w:vAlign w:val="bottom"/>
          </w:tcPr>
          <w:p w14:paraId="1A05E524"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0</w:t>
            </w:r>
          </w:p>
        </w:tc>
      </w:tr>
      <w:tr w:rsidR="0038103C" w:rsidRPr="009C5581" w14:paraId="3786F7B1" w14:textId="77777777" w:rsidTr="003D1115">
        <w:trPr>
          <w:trHeight w:val="20"/>
        </w:trPr>
        <w:tc>
          <w:tcPr>
            <w:tcW w:w="1781" w:type="pct"/>
            <w:tcBorders>
              <w:top w:val="single" w:sz="4" w:space="0" w:color="auto"/>
              <w:left w:val="single" w:sz="4" w:space="0" w:color="auto"/>
              <w:bottom w:val="single" w:sz="4" w:space="0" w:color="auto"/>
              <w:right w:val="single" w:sz="4" w:space="0" w:color="auto"/>
            </w:tcBorders>
            <w:shd w:val="clear" w:color="EDEDED" w:fill="EDEDED"/>
            <w:noWrap/>
            <w:vAlign w:val="bottom"/>
            <w:hideMark/>
          </w:tcPr>
          <w:p w14:paraId="46FEBB57" w14:textId="77777777" w:rsidR="0038103C" w:rsidRPr="009C5581" w:rsidRDefault="0038103C" w:rsidP="003D1115">
            <w:pPr>
              <w:spacing w:after="0" w:line="240" w:lineRule="auto"/>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Unemployment rate (% total labour force)</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3565D1D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3.0</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1E30321F"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3.0</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39FFA342"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2.9</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1F26E635"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2.9</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325A40D1"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2.9</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4B75694B"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2.8</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72553424"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2.8</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49BE375F"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2.8</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215F1FBD"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2.8</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5951628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4.2</w:t>
            </w:r>
          </w:p>
        </w:tc>
        <w:tc>
          <w:tcPr>
            <w:tcW w:w="236" w:type="pct"/>
            <w:tcBorders>
              <w:top w:val="single" w:sz="4" w:space="0" w:color="auto"/>
              <w:left w:val="single" w:sz="4" w:space="0" w:color="auto"/>
              <w:bottom w:val="single" w:sz="4" w:space="0" w:color="auto"/>
              <w:right w:val="single" w:sz="4" w:space="0" w:color="auto"/>
            </w:tcBorders>
            <w:shd w:val="clear" w:color="EDEDED" w:fill="EDEDED"/>
            <w:noWrap/>
            <w:vAlign w:val="bottom"/>
          </w:tcPr>
          <w:p w14:paraId="223E098C"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5.0</w:t>
            </w:r>
          </w:p>
        </w:tc>
        <w:tc>
          <w:tcPr>
            <w:tcW w:w="236" w:type="pct"/>
            <w:tcBorders>
              <w:top w:val="single" w:sz="4" w:space="0" w:color="auto"/>
              <w:left w:val="single" w:sz="4" w:space="0" w:color="auto"/>
              <w:bottom w:val="single" w:sz="4" w:space="0" w:color="auto"/>
              <w:right w:val="single" w:sz="4" w:space="0" w:color="auto"/>
            </w:tcBorders>
            <w:shd w:val="clear" w:color="EDEDED" w:fill="EDEDED"/>
            <w:vAlign w:val="bottom"/>
          </w:tcPr>
          <w:p w14:paraId="4101094A"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5.7</w:t>
            </w:r>
          </w:p>
        </w:tc>
        <w:tc>
          <w:tcPr>
            <w:tcW w:w="236" w:type="pct"/>
            <w:tcBorders>
              <w:top w:val="single" w:sz="4" w:space="0" w:color="auto"/>
              <w:left w:val="single" w:sz="4" w:space="0" w:color="auto"/>
              <w:bottom w:val="single" w:sz="4" w:space="0" w:color="auto"/>
              <w:right w:val="single" w:sz="4" w:space="0" w:color="auto"/>
            </w:tcBorders>
            <w:shd w:val="clear" w:color="EDEDED" w:fill="EDEDED"/>
            <w:vAlign w:val="bottom"/>
          </w:tcPr>
          <w:p w14:paraId="5FCE3605"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5.7</w:t>
            </w:r>
          </w:p>
        </w:tc>
        <w:tc>
          <w:tcPr>
            <w:tcW w:w="151" w:type="pct"/>
            <w:tcBorders>
              <w:top w:val="single" w:sz="4" w:space="0" w:color="auto"/>
              <w:left w:val="single" w:sz="4" w:space="0" w:color="auto"/>
              <w:bottom w:val="single" w:sz="4" w:space="0" w:color="auto"/>
              <w:right w:val="single" w:sz="4" w:space="0" w:color="auto"/>
            </w:tcBorders>
            <w:shd w:val="clear" w:color="EDEDED" w:fill="EDEDED"/>
            <w:vAlign w:val="bottom"/>
          </w:tcPr>
          <w:p w14:paraId="04FB4B5E"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w:t>
            </w:r>
          </w:p>
        </w:tc>
      </w:tr>
      <w:tr w:rsidR="0038103C" w:rsidRPr="009C5581" w14:paraId="3EFA4CE8" w14:textId="77777777" w:rsidTr="00EA182A">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D91106" w14:textId="77777777" w:rsidR="0038103C" w:rsidRPr="009C5581" w:rsidRDefault="0038103C" w:rsidP="003D1115">
            <w:pPr>
              <w:spacing w:after="0" w:line="240" w:lineRule="auto"/>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Wage and salaried workers, total (% of total)</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6EF735"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33.7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E98E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32.8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0C97EE"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32.1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2D604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31.5</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D33CF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34.8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D699EA"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38.4</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DB69BF"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41.9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47FA8"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44.9</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21D81"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47.7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42D705" w14:textId="77777777" w:rsidR="0038103C" w:rsidRPr="009C5581" w:rsidRDefault="0038103C" w:rsidP="003D1115">
            <w:pPr>
              <w:spacing w:after="0" w:line="240" w:lineRule="auto"/>
              <w:jc w:val="right"/>
              <w:rPr>
                <w:rFonts w:ascii="Times New Roman" w:eastAsia="Times New Roman" w:hAnsi="Times New Roman" w:cs="Times New Roman"/>
                <w:sz w:val="14"/>
                <w:szCs w:val="14"/>
                <w:lang w:eastAsia="nl-NL"/>
              </w:rPr>
            </w:pPr>
            <w:r w:rsidRPr="009C5581">
              <w:rPr>
                <w:rFonts w:ascii="Times New Roman" w:hAnsi="Times New Roman" w:cs="Times New Roman"/>
                <w:color w:val="000000"/>
                <w:sz w:val="14"/>
                <w:szCs w:val="14"/>
              </w:rPr>
              <w:t>49.7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3FD014" w14:textId="77777777" w:rsidR="0038103C" w:rsidRPr="009C5581" w:rsidRDefault="0038103C" w:rsidP="003D1115">
            <w:pPr>
              <w:spacing w:after="0" w:line="240" w:lineRule="auto"/>
              <w:jc w:val="right"/>
              <w:rPr>
                <w:rFonts w:ascii="Times New Roman" w:eastAsia="Times New Roman" w:hAnsi="Times New Roman" w:cs="Times New Roman"/>
                <w:sz w:val="14"/>
                <w:szCs w:val="14"/>
                <w:lang w:eastAsia="nl-NL"/>
              </w:rPr>
            </w:pPr>
            <w:r w:rsidRPr="009C5581">
              <w:rPr>
                <w:rFonts w:ascii="Times New Roman" w:hAnsi="Times New Roman" w:cs="Times New Roman"/>
                <w:color w:val="000000"/>
                <w:sz w:val="14"/>
                <w:szCs w:val="14"/>
              </w:rPr>
              <w:t>50.7</w:t>
            </w:r>
          </w:p>
        </w:tc>
        <w:tc>
          <w:tcPr>
            <w:tcW w:w="236" w:type="pct"/>
            <w:tcBorders>
              <w:top w:val="single" w:sz="4" w:space="0" w:color="auto"/>
              <w:left w:val="single" w:sz="4" w:space="0" w:color="auto"/>
              <w:bottom w:val="single" w:sz="4" w:space="0" w:color="auto"/>
              <w:right w:val="single" w:sz="4" w:space="0" w:color="auto"/>
            </w:tcBorders>
            <w:vAlign w:val="bottom"/>
          </w:tcPr>
          <w:p w14:paraId="191E735F"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vAlign w:val="bottom"/>
          </w:tcPr>
          <w:p w14:paraId="403CD0C3"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151" w:type="pct"/>
            <w:tcBorders>
              <w:top w:val="single" w:sz="4" w:space="0" w:color="auto"/>
              <w:left w:val="single" w:sz="4" w:space="0" w:color="auto"/>
              <w:bottom w:val="single" w:sz="4" w:space="0" w:color="auto"/>
              <w:right w:val="single" w:sz="4" w:space="0" w:color="auto"/>
            </w:tcBorders>
            <w:vAlign w:val="bottom"/>
          </w:tcPr>
          <w:p w14:paraId="7821AD1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w:t>
            </w:r>
          </w:p>
        </w:tc>
      </w:tr>
      <w:tr w:rsidR="0038103C" w:rsidRPr="009C5581" w14:paraId="6D6FAC4F" w14:textId="77777777" w:rsidTr="00EA182A">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3653C5F" w14:textId="77777777" w:rsidR="0038103C" w:rsidRPr="009C5581" w:rsidRDefault="0038103C" w:rsidP="003D1115">
            <w:pPr>
              <w:spacing w:after="0" w:line="240" w:lineRule="auto"/>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Self-employed (% of total)</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DC9C50D"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66.3</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0997AEF"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67.2</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B0DFC5D"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67.9</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29757F2"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68.5</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315C8CA"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65.2</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5C4BA1C"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61.6</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7249E03"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58.1</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2CEAAC3"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55.1</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D79D43B"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52.3</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5CFA9AA"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50.3</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AAC842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49.3</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175671C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6A57E68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151" w:type="pct"/>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493410A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w:t>
            </w:r>
          </w:p>
        </w:tc>
      </w:tr>
      <w:tr w:rsidR="0038103C" w:rsidRPr="009C5581" w14:paraId="2426819A" w14:textId="77777777" w:rsidTr="00D57236">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24423" w14:textId="77777777" w:rsidR="0038103C" w:rsidRPr="009C5581" w:rsidRDefault="0038103C" w:rsidP="003D1115">
            <w:pPr>
              <w:spacing w:after="0" w:line="240" w:lineRule="auto"/>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Vulnerable employment, total (% of total)</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6CF337"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B729A"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63.0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284DD1"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65.0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3E3CE4"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66.6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2DB3C"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64.0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914F90"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60.8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A5F4B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57.6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AA138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54.7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C1654"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52.1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1911F"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50.1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192EB8"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49.1</w:t>
            </w:r>
          </w:p>
        </w:tc>
        <w:tc>
          <w:tcPr>
            <w:tcW w:w="236" w:type="pct"/>
            <w:tcBorders>
              <w:top w:val="single" w:sz="4" w:space="0" w:color="auto"/>
              <w:left w:val="single" w:sz="4" w:space="0" w:color="auto"/>
              <w:bottom w:val="single" w:sz="4" w:space="0" w:color="auto"/>
              <w:right w:val="single" w:sz="4" w:space="0" w:color="auto"/>
            </w:tcBorders>
            <w:vAlign w:val="bottom"/>
          </w:tcPr>
          <w:p w14:paraId="79224E96"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vAlign w:val="bottom"/>
          </w:tcPr>
          <w:p w14:paraId="342DD989"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hAnsi="Times New Roman" w:cs="Times New Roman"/>
                <w:color w:val="000000"/>
                <w:sz w:val="14"/>
                <w:szCs w:val="14"/>
              </w:rPr>
              <w:t>..</w:t>
            </w:r>
          </w:p>
        </w:tc>
        <w:tc>
          <w:tcPr>
            <w:tcW w:w="151" w:type="pct"/>
            <w:tcBorders>
              <w:top w:val="single" w:sz="4" w:space="0" w:color="auto"/>
              <w:left w:val="single" w:sz="4" w:space="0" w:color="auto"/>
              <w:bottom w:val="single" w:sz="4" w:space="0" w:color="auto"/>
              <w:right w:val="single" w:sz="4" w:space="0" w:color="auto"/>
            </w:tcBorders>
            <w:vAlign w:val="bottom"/>
          </w:tcPr>
          <w:p w14:paraId="5DFF3F26" w14:textId="77777777" w:rsidR="0038103C" w:rsidRPr="009C5581" w:rsidRDefault="0038103C" w:rsidP="003D1115">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w:t>
            </w:r>
          </w:p>
        </w:tc>
      </w:tr>
      <w:tr w:rsidR="00204BEF" w:rsidRPr="009C5581" w14:paraId="30C6DA44" w14:textId="77777777" w:rsidTr="00A82686">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3667518" w14:textId="09DC24E7" w:rsidR="00204BEF" w:rsidRPr="009C5581" w:rsidRDefault="00204BEF" w:rsidP="00204BEF">
            <w:pPr>
              <w:spacing w:after="0" w:line="240" w:lineRule="auto"/>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Informal employment, total (% of total)</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CA70AF0" w14:textId="6DCD64F0"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F5B5E58" w14:textId="7BA635A8"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F3F48E9" w14:textId="32657295"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9DCDEB2" w14:textId="78E97E0A"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9583A85" w14:textId="30954383"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8C9AA5B" w14:textId="694BD86C"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B9914B7" w14:textId="03745974"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82.5</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ABC780A" w14:textId="4F52D0E8"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83.3</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B55DD03" w14:textId="0E43137C"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rFonts w:ascii="Times New Roman" w:hAnsi="Times New Roman" w:cs="Times New Roman"/>
                <w:color w:val="000000"/>
                <w:sz w:val="14"/>
                <w:szCs w:val="14"/>
              </w:rPr>
              <w:t>83.2</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tcPr>
          <w:p w14:paraId="280CC3F0" w14:textId="776173C1"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sz w:val="14"/>
                <w:szCs w:val="14"/>
              </w:rPr>
              <w:t>82.6</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noWrap/>
          </w:tcPr>
          <w:p w14:paraId="0CC58DCE" w14:textId="2E3BAB5D"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sz w:val="14"/>
                <w:szCs w:val="14"/>
              </w:rPr>
              <w:t>83.0</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tcPr>
          <w:p w14:paraId="11DDD37B" w14:textId="583F084D"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sz w:val="14"/>
                <w:szCs w:val="14"/>
              </w:rPr>
              <w:t>83.3</w:t>
            </w:r>
          </w:p>
        </w:tc>
        <w:tc>
          <w:tcPr>
            <w:tcW w:w="236" w:type="pct"/>
            <w:tcBorders>
              <w:top w:val="single" w:sz="4" w:space="0" w:color="auto"/>
              <w:left w:val="single" w:sz="4" w:space="0" w:color="auto"/>
              <w:bottom w:val="single" w:sz="4" w:space="0" w:color="auto"/>
              <w:right w:val="single" w:sz="4" w:space="0" w:color="auto"/>
            </w:tcBorders>
            <w:shd w:val="clear" w:color="auto" w:fill="E7E6E6" w:themeFill="background2"/>
          </w:tcPr>
          <w:p w14:paraId="0606DFA4" w14:textId="5F949466" w:rsidR="00204BEF" w:rsidRPr="009C5581" w:rsidRDefault="00204BEF" w:rsidP="00204BEF">
            <w:pPr>
              <w:spacing w:after="0" w:line="240" w:lineRule="auto"/>
              <w:jc w:val="right"/>
              <w:rPr>
                <w:rFonts w:ascii="Times New Roman" w:hAnsi="Times New Roman" w:cs="Times New Roman"/>
                <w:color w:val="000000"/>
                <w:sz w:val="14"/>
                <w:szCs w:val="14"/>
              </w:rPr>
            </w:pPr>
            <w:r w:rsidRPr="009C5581">
              <w:rPr>
                <w:sz w:val="14"/>
                <w:szCs w:val="14"/>
              </w:rPr>
              <w:t>83.3</w:t>
            </w:r>
          </w:p>
        </w:tc>
        <w:tc>
          <w:tcPr>
            <w:tcW w:w="151" w:type="pct"/>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50BE54C5" w14:textId="41B09CFB" w:rsidR="00204BEF" w:rsidRPr="009C5581" w:rsidRDefault="00024C03" w:rsidP="00204BEF">
            <w:pPr>
              <w:spacing w:after="0" w:line="240" w:lineRule="auto"/>
              <w:jc w:val="right"/>
              <w:rPr>
                <w:rFonts w:ascii="Times New Roman" w:eastAsia="Times New Roman" w:hAnsi="Times New Roman" w:cs="Times New Roman"/>
                <w:color w:val="000000"/>
                <w:sz w:val="14"/>
                <w:szCs w:val="14"/>
                <w:lang w:eastAsia="nl-NL"/>
              </w:rPr>
            </w:pPr>
            <w:r w:rsidRPr="009C5581">
              <w:rPr>
                <w:rFonts w:ascii="Times New Roman" w:eastAsia="Times New Roman" w:hAnsi="Times New Roman" w:cs="Times New Roman"/>
                <w:color w:val="000000"/>
                <w:sz w:val="14"/>
                <w:szCs w:val="14"/>
                <w:lang w:eastAsia="nl-NL"/>
              </w:rPr>
              <w:t>0</w:t>
            </w:r>
          </w:p>
        </w:tc>
      </w:tr>
    </w:tbl>
    <w:p w14:paraId="2B5C84D3" w14:textId="1FA9A54F" w:rsidR="00E064D2" w:rsidRPr="009C5581" w:rsidRDefault="00E064D2" w:rsidP="009C04BB">
      <w:pPr>
        <w:tabs>
          <w:tab w:val="left" w:pos="2427"/>
        </w:tabs>
        <w:spacing w:after="0" w:line="240" w:lineRule="auto"/>
        <w:rPr>
          <w:rFonts w:ascii="Times New Roman" w:hAnsi="Times New Roman" w:cs="Times New Roman"/>
          <w:sz w:val="16"/>
          <w:szCs w:val="16"/>
        </w:rPr>
      </w:pPr>
      <w:r w:rsidRPr="009C5581">
        <w:rPr>
          <w:rFonts w:ascii="Times New Roman" w:hAnsi="Times New Roman" w:cs="Times New Roman"/>
          <w:sz w:val="16"/>
          <w:szCs w:val="16"/>
        </w:rPr>
        <w:t>Source</w:t>
      </w:r>
      <w:r w:rsidR="00EC3B86" w:rsidRPr="009C5581">
        <w:rPr>
          <w:rFonts w:ascii="Times New Roman" w:hAnsi="Times New Roman" w:cs="Times New Roman"/>
          <w:sz w:val="16"/>
          <w:szCs w:val="16"/>
        </w:rPr>
        <w:t>s</w:t>
      </w:r>
      <w:r w:rsidRPr="009C5581">
        <w:rPr>
          <w:rFonts w:ascii="Times New Roman" w:hAnsi="Times New Roman" w:cs="Times New Roman"/>
          <w:sz w:val="16"/>
          <w:szCs w:val="16"/>
        </w:rPr>
        <w:t>:</w:t>
      </w:r>
      <w:r w:rsidR="008A36A2" w:rsidRPr="009C5581">
        <w:rPr>
          <w:rFonts w:ascii="Times New Roman" w:hAnsi="Times New Roman" w:cs="Times New Roman"/>
          <w:sz w:val="16"/>
          <w:szCs w:val="16"/>
        </w:rPr>
        <w:t xml:space="preserve"> World Bank,</w:t>
      </w:r>
      <w:r w:rsidRPr="009C5581">
        <w:rPr>
          <w:rFonts w:ascii="Times New Roman" w:hAnsi="Times New Roman" w:cs="Times New Roman"/>
          <w:sz w:val="16"/>
          <w:szCs w:val="16"/>
        </w:rPr>
        <w:t xml:space="preserve"> World Development Indicators</w:t>
      </w:r>
      <w:r w:rsidR="00EC3B86" w:rsidRPr="009C5581">
        <w:rPr>
          <w:rFonts w:ascii="Times New Roman" w:hAnsi="Times New Roman" w:cs="Times New Roman"/>
          <w:sz w:val="16"/>
          <w:szCs w:val="16"/>
        </w:rPr>
        <w:t xml:space="preserve">; </w:t>
      </w:r>
      <w:hyperlink r:id="rId39" w:history="1">
        <w:r w:rsidR="00671639" w:rsidRPr="009C5581">
          <w:rPr>
            <w:rStyle w:val="Hyperlink"/>
            <w:rFonts w:ascii="Times New Roman" w:hAnsi="Times New Roman" w:cs="Times New Roman"/>
            <w:sz w:val="16"/>
            <w:szCs w:val="16"/>
          </w:rPr>
          <w:t>Kenya Labour Market Info</w:t>
        </w:r>
        <w:r w:rsidR="00672E6A" w:rsidRPr="009C5581">
          <w:rPr>
            <w:rStyle w:val="Hyperlink"/>
            <w:rFonts w:ascii="Times New Roman" w:hAnsi="Times New Roman" w:cs="Times New Roman"/>
            <w:sz w:val="16"/>
            <w:szCs w:val="16"/>
          </w:rPr>
          <w:t>rmation System</w:t>
        </w:r>
      </w:hyperlink>
      <w:r w:rsidR="00672E6A" w:rsidRPr="009C5581">
        <w:rPr>
          <w:rFonts w:ascii="Times New Roman" w:hAnsi="Times New Roman" w:cs="Times New Roman"/>
          <w:sz w:val="16"/>
          <w:szCs w:val="16"/>
        </w:rPr>
        <w:t xml:space="preserve"> (informal employment</w:t>
      </w:r>
      <w:r w:rsidR="00DD489E" w:rsidRPr="009C5581">
        <w:rPr>
          <w:rFonts w:ascii="Times New Roman" w:hAnsi="Times New Roman" w:cs="Times New Roman"/>
          <w:sz w:val="16"/>
          <w:szCs w:val="16"/>
        </w:rPr>
        <w:t xml:space="preserve"> 2012-2016</w:t>
      </w:r>
      <w:r w:rsidR="00102F69" w:rsidRPr="009C5581">
        <w:rPr>
          <w:rFonts w:ascii="Times New Roman" w:hAnsi="Times New Roman" w:cs="Times New Roman"/>
          <w:sz w:val="16"/>
          <w:szCs w:val="16"/>
        </w:rPr>
        <w:t xml:space="preserve"> only)</w:t>
      </w:r>
      <w:r w:rsidR="00DD489E" w:rsidRPr="009C5581">
        <w:rPr>
          <w:rFonts w:ascii="Times New Roman" w:hAnsi="Times New Roman" w:cs="Times New Roman"/>
          <w:sz w:val="16"/>
          <w:szCs w:val="16"/>
        </w:rPr>
        <w:t xml:space="preserve">. </w:t>
      </w:r>
      <w:r w:rsidR="00CD20F7" w:rsidRPr="009C5581">
        <w:rPr>
          <w:rFonts w:ascii="Times New Roman" w:hAnsi="Times New Roman" w:cs="Times New Roman"/>
          <w:sz w:val="16"/>
          <w:szCs w:val="16"/>
        </w:rPr>
        <w:t xml:space="preserve">Own calculation based on </w:t>
      </w:r>
      <w:r w:rsidR="00DD489E" w:rsidRPr="009C5581">
        <w:rPr>
          <w:rFonts w:ascii="Times New Roman" w:hAnsi="Times New Roman" w:cs="Times New Roman"/>
          <w:sz w:val="16"/>
          <w:szCs w:val="16"/>
        </w:rPr>
        <w:t>KNBS (2023a</w:t>
      </w:r>
      <w:r w:rsidR="00CD20F7" w:rsidRPr="009C5581">
        <w:rPr>
          <w:rFonts w:ascii="Times New Roman" w:hAnsi="Times New Roman" w:cs="Times New Roman"/>
          <w:sz w:val="16"/>
          <w:szCs w:val="16"/>
        </w:rPr>
        <w:t>: Table 3.1</w:t>
      </w:r>
      <w:r w:rsidR="00DD489E" w:rsidRPr="009C5581">
        <w:rPr>
          <w:rFonts w:ascii="Times New Roman" w:hAnsi="Times New Roman" w:cs="Times New Roman"/>
          <w:sz w:val="16"/>
          <w:szCs w:val="16"/>
        </w:rPr>
        <w:t xml:space="preserve"> </w:t>
      </w:r>
      <w:r w:rsidR="00CD20F7" w:rsidRPr="009C5581">
        <w:rPr>
          <w:rFonts w:ascii="Times New Roman" w:hAnsi="Times New Roman" w:cs="Times New Roman"/>
          <w:sz w:val="16"/>
          <w:szCs w:val="16"/>
        </w:rPr>
        <w:t>for informal employment share in 2018-2021</w:t>
      </w:r>
      <w:r w:rsidRPr="009C5581">
        <w:rPr>
          <w:rFonts w:ascii="Times New Roman" w:hAnsi="Times New Roman" w:cs="Times New Roman"/>
          <w:sz w:val="16"/>
          <w:szCs w:val="16"/>
        </w:rPr>
        <w:t>.</w:t>
      </w:r>
      <w:r w:rsidR="008B4F79" w:rsidRPr="009C5581">
        <w:rPr>
          <w:rFonts w:ascii="Times New Roman" w:hAnsi="Times New Roman" w:cs="Times New Roman"/>
          <w:sz w:val="16"/>
          <w:szCs w:val="16"/>
        </w:rPr>
        <w:t xml:space="preserve"> </w:t>
      </w:r>
    </w:p>
    <w:p w14:paraId="4F943F7F" w14:textId="77777777" w:rsidR="002D1795" w:rsidRPr="009C5581" w:rsidRDefault="008B4F79" w:rsidP="008B4F79">
      <w:pPr>
        <w:spacing w:after="120" w:line="240" w:lineRule="auto"/>
        <w:jc w:val="both"/>
        <w:rPr>
          <w:rFonts w:ascii="Times New Roman" w:eastAsia="Constantia" w:hAnsi="Times New Roman" w:cs="Times New Roman"/>
          <w:i/>
          <w:sz w:val="16"/>
          <w:szCs w:val="16"/>
          <w:lang w:eastAsia="en-GB"/>
        </w:rPr>
      </w:pPr>
      <w:r w:rsidRPr="009C5581">
        <w:rPr>
          <w:rFonts w:ascii="Times New Roman" w:eastAsia="Constantia" w:hAnsi="Times New Roman" w:cs="Times New Roman"/>
          <w:i/>
          <w:sz w:val="16"/>
          <w:szCs w:val="16"/>
          <w:lang w:eastAsia="en-GB"/>
        </w:rPr>
        <w:t>Note: Cumulative change below 10% over the past five years are indicated as zero to account for margins of error in estimation.</w:t>
      </w:r>
    </w:p>
    <w:p w14:paraId="3CF897F5" w14:textId="47A7F554" w:rsidR="006A7768" w:rsidRPr="00346D1C" w:rsidRDefault="006A7768" w:rsidP="006A7768">
      <w:pPr>
        <w:spacing w:after="120" w:line="240" w:lineRule="auto"/>
        <w:jc w:val="both"/>
        <w:rPr>
          <w:rFonts w:ascii="Georgia" w:eastAsia="Times New Roman" w:hAnsi="Georgia" w:cs="Times New Roman"/>
          <w:color w:val="000000" w:themeColor="text1"/>
          <w:sz w:val="24"/>
          <w:szCs w:val="24"/>
        </w:rPr>
      </w:pPr>
      <w:r w:rsidRPr="00346D1C">
        <w:rPr>
          <w:rFonts w:ascii="Georgia" w:eastAsia="Times New Roman" w:hAnsi="Georgia" w:cs="Times New Roman"/>
          <w:color w:val="000000" w:themeColor="text1"/>
          <w:sz w:val="24"/>
          <w:szCs w:val="24"/>
        </w:rPr>
        <w:fldChar w:fldCharType="begin"/>
      </w:r>
      <w:r w:rsidRPr="00346D1C">
        <w:rPr>
          <w:rFonts w:ascii="Georgia" w:eastAsia="Times New Roman" w:hAnsi="Georgia" w:cs="Times New Roman"/>
          <w:color w:val="000000" w:themeColor="text1"/>
          <w:sz w:val="24"/>
          <w:szCs w:val="24"/>
        </w:rPr>
        <w:instrText xml:space="preserve"> REF _Ref118812387 \h  \* MERGEFORMAT </w:instrText>
      </w:r>
      <w:r w:rsidRPr="00346D1C">
        <w:rPr>
          <w:rFonts w:ascii="Georgia" w:eastAsia="Times New Roman" w:hAnsi="Georgia" w:cs="Times New Roman"/>
          <w:color w:val="000000" w:themeColor="text1"/>
          <w:sz w:val="24"/>
          <w:szCs w:val="24"/>
        </w:rPr>
      </w:r>
      <w:r w:rsidRPr="00346D1C">
        <w:rPr>
          <w:rFonts w:ascii="Georgia" w:eastAsia="Times New Roman" w:hAnsi="Georgia" w:cs="Times New Roman"/>
          <w:color w:val="000000" w:themeColor="text1"/>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5</w:t>
      </w:r>
      <w:r w:rsidRPr="00346D1C">
        <w:rPr>
          <w:rFonts w:ascii="Georgia" w:eastAsia="Times New Roman" w:hAnsi="Georgia" w:cs="Times New Roman"/>
          <w:color w:val="000000" w:themeColor="text1"/>
          <w:sz w:val="24"/>
          <w:szCs w:val="24"/>
        </w:rPr>
        <w:fldChar w:fldCharType="end"/>
      </w:r>
      <w:r w:rsidRPr="00346D1C">
        <w:rPr>
          <w:rFonts w:ascii="Georgia" w:eastAsia="Times New Roman" w:hAnsi="Georgia" w:cs="Times New Roman"/>
          <w:color w:val="000000" w:themeColor="text1"/>
          <w:sz w:val="24"/>
          <w:szCs w:val="24"/>
        </w:rPr>
        <w:t xml:space="preserve"> </w:t>
      </w:r>
      <w:r w:rsidR="00A31BFD" w:rsidRPr="00346D1C">
        <w:rPr>
          <w:rFonts w:ascii="Georgia" w:eastAsia="Times New Roman" w:hAnsi="Georgia" w:cs="Times New Roman"/>
          <w:color w:val="000000" w:themeColor="text1"/>
          <w:sz w:val="24"/>
          <w:szCs w:val="24"/>
        </w:rPr>
        <w:t>illustrates</w:t>
      </w:r>
      <w:r w:rsidRPr="00346D1C">
        <w:rPr>
          <w:rFonts w:ascii="Georgia" w:eastAsia="Times New Roman" w:hAnsi="Georgia" w:cs="Times New Roman"/>
          <w:color w:val="000000" w:themeColor="text1"/>
          <w:sz w:val="24"/>
          <w:szCs w:val="24"/>
        </w:rPr>
        <w:t xml:space="preserve"> that</w:t>
      </w:r>
      <w:r w:rsidR="004E166C" w:rsidRPr="00346D1C">
        <w:rPr>
          <w:rFonts w:ascii="Georgia" w:eastAsia="Times New Roman" w:hAnsi="Georgia" w:cs="Times New Roman"/>
          <w:color w:val="000000" w:themeColor="text1"/>
          <w:sz w:val="24"/>
          <w:szCs w:val="24"/>
        </w:rPr>
        <w:t xml:space="preserve"> the trend</w:t>
      </w:r>
      <w:r w:rsidR="00A22C2C" w:rsidRPr="00346D1C">
        <w:rPr>
          <w:rFonts w:ascii="Georgia" w:eastAsia="Times New Roman" w:hAnsi="Georgia" w:cs="Times New Roman"/>
          <w:color w:val="000000" w:themeColor="text1"/>
          <w:sz w:val="24"/>
          <w:szCs w:val="24"/>
        </w:rPr>
        <w:t>s</w:t>
      </w:r>
      <w:r w:rsidR="004E166C" w:rsidRPr="00346D1C">
        <w:rPr>
          <w:rFonts w:ascii="Georgia" w:eastAsia="Times New Roman" w:hAnsi="Georgia" w:cs="Times New Roman"/>
          <w:color w:val="000000" w:themeColor="text1"/>
          <w:sz w:val="24"/>
          <w:szCs w:val="24"/>
        </w:rPr>
        <w:t xml:space="preserve"> in the </w:t>
      </w:r>
      <w:r w:rsidRPr="00346D1C">
        <w:rPr>
          <w:rFonts w:ascii="Georgia" w:eastAsia="Times New Roman" w:hAnsi="Georgia" w:cs="Times New Roman"/>
          <w:color w:val="000000" w:themeColor="text1"/>
          <w:sz w:val="24"/>
          <w:szCs w:val="24"/>
        </w:rPr>
        <w:t>share of services in total employment w</w:t>
      </w:r>
      <w:r w:rsidR="00A22C2C" w:rsidRPr="00346D1C">
        <w:rPr>
          <w:rFonts w:ascii="Georgia" w:eastAsia="Times New Roman" w:hAnsi="Georgia" w:cs="Times New Roman"/>
          <w:color w:val="000000" w:themeColor="text1"/>
          <w:sz w:val="24"/>
          <w:szCs w:val="24"/>
        </w:rPr>
        <w:t>ere</w:t>
      </w:r>
      <w:r w:rsidRPr="00346D1C">
        <w:rPr>
          <w:rFonts w:ascii="Georgia" w:eastAsia="Times New Roman" w:hAnsi="Georgia" w:cs="Times New Roman"/>
          <w:color w:val="000000" w:themeColor="text1"/>
          <w:sz w:val="24"/>
          <w:szCs w:val="24"/>
        </w:rPr>
        <w:t xml:space="preserve"> similar for women and men. </w:t>
      </w:r>
      <w:r w:rsidR="00205E88" w:rsidRPr="00346D1C">
        <w:rPr>
          <w:rFonts w:ascii="Georgia" w:eastAsia="Times New Roman" w:hAnsi="Georgia" w:cs="Times New Roman"/>
          <w:color w:val="000000" w:themeColor="text1"/>
          <w:sz w:val="24"/>
          <w:szCs w:val="24"/>
        </w:rPr>
        <w:t>It also shows that, t</w:t>
      </w:r>
      <w:r w:rsidR="00117DB0" w:rsidRPr="00346D1C">
        <w:rPr>
          <w:rFonts w:ascii="Georgia" w:eastAsia="Times New Roman" w:hAnsi="Georgia" w:cs="Times New Roman"/>
          <w:color w:val="000000" w:themeColor="text1"/>
          <w:sz w:val="24"/>
          <w:szCs w:val="24"/>
        </w:rPr>
        <w:t>hroughout the past two decades, t</w:t>
      </w:r>
      <w:r w:rsidRPr="00346D1C">
        <w:rPr>
          <w:rFonts w:ascii="Georgia" w:eastAsia="Times New Roman" w:hAnsi="Georgia" w:cs="Times New Roman"/>
          <w:color w:val="000000" w:themeColor="text1"/>
          <w:sz w:val="24"/>
          <w:szCs w:val="24"/>
        </w:rPr>
        <w:t>he share of industry</w:t>
      </w:r>
      <w:r w:rsidR="00C52AEF" w:rsidRPr="00346D1C">
        <w:rPr>
          <w:rFonts w:ascii="Georgia" w:eastAsia="Times New Roman" w:hAnsi="Georgia" w:cs="Times New Roman"/>
          <w:color w:val="000000" w:themeColor="text1"/>
          <w:sz w:val="24"/>
          <w:szCs w:val="24"/>
        </w:rPr>
        <w:t xml:space="preserve"> employment</w:t>
      </w:r>
      <w:r w:rsidRPr="00346D1C">
        <w:rPr>
          <w:rFonts w:ascii="Georgia" w:eastAsia="Times New Roman" w:hAnsi="Georgia" w:cs="Times New Roman"/>
          <w:color w:val="000000" w:themeColor="text1"/>
          <w:sz w:val="24"/>
          <w:szCs w:val="24"/>
        </w:rPr>
        <w:t xml:space="preserve"> was consistently higher for men than for women, while the opposite was true for the share of agriculture.</w:t>
      </w:r>
      <w:r w:rsidR="005F5EE0" w:rsidRPr="00346D1C">
        <w:rPr>
          <w:rFonts w:ascii="Georgia" w:eastAsia="Times New Roman" w:hAnsi="Georgia" w:cs="Times New Roman"/>
          <w:color w:val="000000" w:themeColor="text1"/>
          <w:sz w:val="24"/>
          <w:szCs w:val="24"/>
        </w:rPr>
        <w:t xml:space="preserve"> </w:t>
      </w:r>
      <w:r w:rsidR="0095115A" w:rsidRPr="00346D1C">
        <w:rPr>
          <w:rFonts w:ascii="Georgia" w:eastAsia="Times New Roman" w:hAnsi="Georgia" w:cs="Times New Roman"/>
          <w:color w:val="000000" w:themeColor="text1"/>
          <w:sz w:val="24"/>
          <w:szCs w:val="24"/>
        </w:rPr>
        <w:t>This indicates that women have less access to higher-productivity jobs</w:t>
      </w:r>
      <w:r w:rsidR="007755CB" w:rsidRPr="00346D1C">
        <w:rPr>
          <w:rFonts w:ascii="Georgia" w:eastAsia="Times New Roman" w:hAnsi="Georgia" w:cs="Times New Roman"/>
          <w:color w:val="000000" w:themeColor="text1"/>
          <w:sz w:val="24"/>
          <w:szCs w:val="24"/>
        </w:rPr>
        <w:t xml:space="preserve"> (cf. MoL</w:t>
      </w:r>
      <w:r w:rsidR="00EA09F4" w:rsidRPr="00346D1C">
        <w:rPr>
          <w:rFonts w:ascii="Georgia" w:eastAsia="Times New Roman" w:hAnsi="Georgia" w:cs="Times New Roman"/>
          <w:color w:val="000000" w:themeColor="text1"/>
          <w:sz w:val="24"/>
          <w:szCs w:val="24"/>
        </w:rPr>
        <w:t>, 2021: 11).</w:t>
      </w:r>
      <w:r w:rsidR="008221A7" w:rsidRPr="00346D1C">
        <w:rPr>
          <w:rFonts w:ascii="Georgia" w:eastAsia="Times New Roman" w:hAnsi="Georgia" w:cs="Times New Roman"/>
          <w:color w:val="000000" w:themeColor="text1"/>
          <w:sz w:val="24"/>
          <w:szCs w:val="24"/>
        </w:rPr>
        <w:t xml:space="preserve"> Persons with disabilities w</w:t>
      </w:r>
      <w:r w:rsidR="00C41F3D" w:rsidRPr="00346D1C">
        <w:rPr>
          <w:rFonts w:ascii="Georgia" w:eastAsia="Times New Roman" w:hAnsi="Georgia" w:cs="Times New Roman"/>
          <w:color w:val="000000" w:themeColor="text1"/>
          <w:sz w:val="24"/>
          <w:szCs w:val="24"/>
        </w:rPr>
        <w:t>ere also more likely to be employed in agriculture than in other sectors</w:t>
      </w:r>
      <w:r w:rsidR="00491775" w:rsidRPr="00346D1C">
        <w:rPr>
          <w:rFonts w:ascii="Georgia" w:eastAsia="Times New Roman" w:hAnsi="Georgia" w:cs="Times New Roman"/>
          <w:color w:val="000000" w:themeColor="text1"/>
          <w:sz w:val="24"/>
          <w:szCs w:val="24"/>
        </w:rPr>
        <w:t xml:space="preserve"> and face restraints </w:t>
      </w:r>
      <w:r w:rsidR="004633CE" w:rsidRPr="00346D1C">
        <w:rPr>
          <w:rFonts w:ascii="Georgia" w:eastAsia="Times New Roman" w:hAnsi="Georgia" w:cs="Times New Roman"/>
          <w:color w:val="000000" w:themeColor="text1"/>
          <w:sz w:val="24"/>
          <w:szCs w:val="24"/>
        </w:rPr>
        <w:t>for working in manufactur</w:t>
      </w:r>
      <w:r w:rsidR="00EC1E41" w:rsidRPr="00346D1C">
        <w:rPr>
          <w:rFonts w:ascii="Georgia" w:eastAsia="Times New Roman" w:hAnsi="Georgia" w:cs="Times New Roman"/>
          <w:color w:val="000000" w:themeColor="text1"/>
          <w:sz w:val="24"/>
          <w:szCs w:val="24"/>
        </w:rPr>
        <w:t>ing</w:t>
      </w:r>
      <w:r w:rsidR="00C41F3D" w:rsidRPr="00346D1C">
        <w:rPr>
          <w:rFonts w:ascii="Georgia" w:eastAsia="Times New Roman" w:hAnsi="Georgia" w:cs="Times New Roman"/>
          <w:color w:val="000000" w:themeColor="text1"/>
          <w:sz w:val="24"/>
          <w:szCs w:val="24"/>
        </w:rPr>
        <w:t xml:space="preserve"> </w:t>
      </w:r>
      <w:r w:rsidR="00F304CD" w:rsidRPr="00346D1C">
        <w:rPr>
          <w:rFonts w:ascii="Georgia" w:hAnsi="Georgia" w:cs="Times New Roman"/>
          <w:sz w:val="24"/>
          <w:szCs w:val="24"/>
        </w:rPr>
        <w:t xml:space="preserve">(Onsomu et al., 2022: </w:t>
      </w:r>
      <w:r w:rsidR="00844ABD" w:rsidRPr="00346D1C">
        <w:rPr>
          <w:rFonts w:ascii="Georgia" w:hAnsi="Georgia" w:cs="Times New Roman"/>
          <w:sz w:val="24"/>
          <w:szCs w:val="24"/>
        </w:rPr>
        <w:t xml:space="preserve">52, </w:t>
      </w:r>
      <w:r w:rsidR="00F304CD" w:rsidRPr="00346D1C">
        <w:rPr>
          <w:rFonts w:ascii="Georgia" w:hAnsi="Georgia" w:cs="Times New Roman"/>
          <w:sz w:val="24"/>
          <w:szCs w:val="24"/>
        </w:rPr>
        <w:t>79).</w:t>
      </w:r>
    </w:p>
    <w:p w14:paraId="186E31CE" w14:textId="39800103" w:rsidR="00A920B5" w:rsidRPr="009C5581" w:rsidRDefault="00D3727A" w:rsidP="002D1795">
      <w:pPr>
        <w:spacing w:after="120" w:line="240" w:lineRule="auto"/>
        <w:jc w:val="center"/>
        <w:rPr>
          <w:rFonts w:ascii="Times New Roman" w:hAnsi="Times New Roman" w:cs="Times New Roman"/>
          <w:sz w:val="20"/>
          <w:szCs w:val="20"/>
        </w:rPr>
      </w:pPr>
      <w:bookmarkStart w:id="40" w:name="_Toc144414577"/>
      <w:r w:rsidRPr="009C5581">
        <w:rPr>
          <w:noProof/>
          <w:lang w:val="en-US"/>
        </w:rPr>
        <w:drawing>
          <wp:anchor distT="0" distB="0" distL="114300" distR="114300" simplePos="0" relativeHeight="251658242" behindDoc="0" locked="0" layoutInCell="1" allowOverlap="1" wp14:anchorId="0FC98717" wp14:editId="50C85F5D">
            <wp:simplePos x="0" y="0"/>
            <wp:positionH relativeFrom="column">
              <wp:posOffset>2965450</wp:posOffset>
            </wp:positionH>
            <wp:positionV relativeFrom="paragraph">
              <wp:posOffset>170815</wp:posOffset>
            </wp:positionV>
            <wp:extent cx="3016250" cy="1962150"/>
            <wp:effectExtent l="0" t="0" r="12700" b="0"/>
            <wp:wrapTopAndBottom/>
            <wp:docPr id="7" name="Chart 7">
              <a:extLst xmlns:a="http://schemas.openxmlformats.org/drawingml/2006/main">
                <a:ext uri="{FF2B5EF4-FFF2-40B4-BE49-F238E27FC236}">
                  <a16:creationId xmlns:a16="http://schemas.microsoft.com/office/drawing/2014/main" id="{68D5966F-23B3-A10A-970C-C592B089D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2D1795" w:rsidRPr="009C5581">
        <w:rPr>
          <w:noProof/>
          <w:lang w:val="en-US"/>
        </w:rPr>
        <w:drawing>
          <wp:anchor distT="0" distB="0" distL="114300" distR="114300" simplePos="0" relativeHeight="251658241" behindDoc="0" locked="0" layoutInCell="1" allowOverlap="1" wp14:anchorId="1C0F7673" wp14:editId="4A5B221D">
            <wp:simplePos x="0" y="0"/>
            <wp:positionH relativeFrom="margin">
              <wp:posOffset>0</wp:posOffset>
            </wp:positionH>
            <wp:positionV relativeFrom="paragraph">
              <wp:posOffset>170815</wp:posOffset>
            </wp:positionV>
            <wp:extent cx="2971800" cy="1962150"/>
            <wp:effectExtent l="0" t="0" r="0" b="0"/>
            <wp:wrapTopAndBottom/>
            <wp:docPr id="8" name="Chart 8">
              <a:extLst xmlns:a="http://schemas.openxmlformats.org/drawingml/2006/main">
                <a:ext uri="{FF2B5EF4-FFF2-40B4-BE49-F238E27FC236}">
                  <a16:creationId xmlns:a16="http://schemas.microsoft.com/office/drawing/2014/main" id="{63A9DDFC-0E15-06F9-67ED-8B870AF0F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bookmarkStart w:id="41" w:name="_Ref118812387"/>
      <w:r w:rsidR="00A920B5" w:rsidRPr="009C5581">
        <w:rPr>
          <w:rFonts w:ascii="Times New Roman" w:hAnsi="Times New Roman" w:cs="Times New Roman"/>
          <w:b/>
          <w:bCs/>
          <w:sz w:val="20"/>
          <w:szCs w:val="20"/>
        </w:rPr>
        <w:t xml:space="preserve">Figure </w:t>
      </w:r>
      <w:r w:rsidR="00B84F08" w:rsidRPr="009C5581">
        <w:rPr>
          <w:rFonts w:ascii="Times New Roman" w:hAnsi="Times New Roman" w:cs="Times New Roman"/>
          <w:b/>
          <w:bCs/>
          <w:sz w:val="20"/>
          <w:szCs w:val="20"/>
        </w:rPr>
        <w:fldChar w:fldCharType="begin"/>
      </w:r>
      <w:r w:rsidR="00B84F08" w:rsidRPr="009C5581">
        <w:rPr>
          <w:rFonts w:ascii="Times New Roman" w:hAnsi="Times New Roman" w:cs="Times New Roman"/>
          <w:b/>
          <w:bCs/>
          <w:sz w:val="20"/>
          <w:szCs w:val="20"/>
        </w:rPr>
        <w:instrText xml:space="preserve"> SEQ Figure \* ARABIC </w:instrText>
      </w:r>
      <w:r w:rsidR="00B84F08"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5</w:t>
      </w:r>
      <w:r w:rsidR="00B84F08" w:rsidRPr="009C5581">
        <w:rPr>
          <w:rFonts w:ascii="Times New Roman" w:hAnsi="Times New Roman" w:cs="Times New Roman"/>
          <w:b/>
          <w:bCs/>
          <w:sz w:val="20"/>
          <w:szCs w:val="20"/>
        </w:rPr>
        <w:fldChar w:fldCharType="end"/>
      </w:r>
      <w:bookmarkEnd w:id="41"/>
      <w:r w:rsidR="00A920B5" w:rsidRPr="009C5581">
        <w:rPr>
          <w:rFonts w:ascii="Times New Roman" w:hAnsi="Times New Roman" w:cs="Times New Roman"/>
          <w:sz w:val="20"/>
          <w:szCs w:val="20"/>
        </w:rPr>
        <w:t>: Employment by sector and gender, 2000-2019</w:t>
      </w:r>
      <w:bookmarkEnd w:id="40"/>
    </w:p>
    <w:p w14:paraId="303227AF" w14:textId="2D1F6A76" w:rsidR="0027237A" w:rsidRPr="009C5581" w:rsidRDefault="00D3727A" w:rsidP="007B05FF">
      <w:pPr>
        <w:spacing w:after="120" w:line="240" w:lineRule="auto"/>
        <w:jc w:val="center"/>
        <w:rPr>
          <w:rFonts w:ascii="Times New Roman" w:eastAsia="Times New Roman" w:hAnsi="Times New Roman" w:cs="Times New Roman"/>
          <w:b/>
          <w:bCs/>
          <w:i/>
          <w:iCs/>
          <w:color w:val="000000" w:themeColor="text1"/>
        </w:rPr>
      </w:pPr>
      <w:r w:rsidRPr="009C5581">
        <w:rPr>
          <w:rFonts w:ascii="Times New Roman" w:hAnsi="Times New Roman" w:cs="Times New Roman"/>
          <w:sz w:val="16"/>
          <w:szCs w:val="16"/>
        </w:rPr>
        <w:t>Source: World Bank, World Development Indicators.</w:t>
      </w:r>
    </w:p>
    <w:p w14:paraId="403AE18E" w14:textId="3987F797" w:rsidR="00273C50" w:rsidRPr="00346D1C" w:rsidRDefault="006F08F9" w:rsidP="00313A20">
      <w:pPr>
        <w:spacing w:before="240" w:after="120" w:line="240" w:lineRule="auto"/>
        <w:jc w:val="both"/>
        <w:rPr>
          <w:rFonts w:ascii="Georgia" w:eastAsia="Times New Roman" w:hAnsi="Georgia" w:cs="Times New Roman"/>
          <w:b/>
          <w:bCs/>
          <w:i/>
          <w:iCs/>
          <w:color w:val="000000" w:themeColor="text1"/>
          <w:sz w:val="24"/>
          <w:szCs w:val="24"/>
        </w:rPr>
      </w:pPr>
      <w:r w:rsidRPr="00346D1C">
        <w:rPr>
          <w:rFonts w:ascii="Georgia" w:eastAsia="Times New Roman" w:hAnsi="Georgia" w:cs="Times New Roman"/>
          <w:b/>
          <w:bCs/>
          <w:i/>
          <w:iCs/>
          <w:color w:val="000000" w:themeColor="text1"/>
          <w:sz w:val="24"/>
          <w:szCs w:val="24"/>
        </w:rPr>
        <w:t>Labour force participation and u</w:t>
      </w:r>
      <w:r w:rsidR="00273C50" w:rsidRPr="00346D1C">
        <w:rPr>
          <w:rFonts w:ascii="Georgia" w:eastAsia="Times New Roman" w:hAnsi="Georgia" w:cs="Times New Roman"/>
          <w:b/>
          <w:bCs/>
          <w:i/>
          <w:iCs/>
          <w:color w:val="000000" w:themeColor="text1"/>
          <w:sz w:val="24"/>
          <w:szCs w:val="24"/>
        </w:rPr>
        <w:t>nemployment</w:t>
      </w:r>
    </w:p>
    <w:p w14:paraId="40913108" w14:textId="3B3C73BF" w:rsidR="00840427" w:rsidRPr="009C5581" w:rsidRDefault="004A1D72" w:rsidP="006F08F9">
      <w:pPr>
        <w:spacing w:after="120" w:line="240" w:lineRule="auto"/>
        <w:jc w:val="both"/>
        <w:rPr>
          <w:rFonts w:ascii="Times New Roman" w:hAnsi="Times New Roman" w:cs="Times New Roman"/>
        </w:rPr>
      </w:pPr>
      <w:r w:rsidRPr="00346D1C">
        <w:rPr>
          <w:rFonts w:ascii="Georgia" w:hAnsi="Georgia" w:cs="Times New Roman"/>
          <w:sz w:val="24"/>
          <w:szCs w:val="24"/>
        </w:rPr>
        <w:t>Modelled</w:t>
      </w:r>
      <w:r w:rsidR="008E593F" w:rsidRPr="00346D1C">
        <w:rPr>
          <w:rFonts w:ascii="Georgia" w:hAnsi="Georgia" w:cs="Times New Roman"/>
          <w:sz w:val="24"/>
          <w:szCs w:val="24"/>
        </w:rPr>
        <w:t xml:space="preserve"> ILO estimates</w:t>
      </w:r>
      <w:r w:rsidR="00D17893" w:rsidRPr="00346D1C">
        <w:rPr>
          <w:rFonts w:ascii="Georgia" w:hAnsi="Georgia" w:cs="Times New Roman"/>
          <w:sz w:val="24"/>
          <w:szCs w:val="24"/>
        </w:rPr>
        <w:t xml:space="preserve"> suggest that t</w:t>
      </w:r>
      <w:r w:rsidR="006F08F9" w:rsidRPr="00346D1C">
        <w:rPr>
          <w:rFonts w:ascii="Georgia" w:hAnsi="Georgia" w:cs="Times New Roman"/>
          <w:sz w:val="24"/>
          <w:szCs w:val="24"/>
        </w:rPr>
        <w:t xml:space="preserve">he labour force participation rate </w:t>
      </w:r>
      <w:r w:rsidR="00275459" w:rsidRPr="00346D1C">
        <w:rPr>
          <w:rFonts w:ascii="Georgia" w:hAnsi="Georgia" w:cs="Times New Roman"/>
          <w:sz w:val="24"/>
          <w:szCs w:val="24"/>
        </w:rPr>
        <w:t>recove</w:t>
      </w:r>
      <w:r w:rsidR="007515EC" w:rsidRPr="00346D1C">
        <w:rPr>
          <w:rFonts w:ascii="Georgia" w:hAnsi="Georgia" w:cs="Times New Roman"/>
          <w:sz w:val="24"/>
          <w:szCs w:val="24"/>
        </w:rPr>
        <w:t>red</w:t>
      </w:r>
      <w:r w:rsidR="00275459" w:rsidRPr="00346D1C">
        <w:rPr>
          <w:rFonts w:ascii="Georgia" w:hAnsi="Georgia" w:cs="Times New Roman"/>
          <w:sz w:val="24"/>
          <w:szCs w:val="24"/>
        </w:rPr>
        <w:t xml:space="preserve"> from a </w:t>
      </w:r>
      <w:r w:rsidR="00D17893" w:rsidRPr="00346D1C">
        <w:rPr>
          <w:rFonts w:ascii="Georgia" w:hAnsi="Georgia" w:cs="Times New Roman"/>
          <w:sz w:val="24"/>
          <w:szCs w:val="24"/>
        </w:rPr>
        <w:t xml:space="preserve">small </w:t>
      </w:r>
      <w:r w:rsidR="00275459" w:rsidRPr="00346D1C">
        <w:rPr>
          <w:rFonts w:ascii="Georgia" w:hAnsi="Georgia" w:cs="Times New Roman"/>
          <w:sz w:val="24"/>
          <w:szCs w:val="24"/>
        </w:rPr>
        <w:t>decline between 2000 and 200</w:t>
      </w:r>
      <w:r w:rsidR="007515EC" w:rsidRPr="00346D1C">
        <w:rPr>
          <w:rFonts w:ascii="Georgia" w:hAnsi="Georgia" w:cs="Times New Roman"/>
          <w:sz w:val="24"/>
          <w:szCs w:val="24"/>
        </w:rPr>
        <w:t xml:space="preserve">6 and </w:t>
      </w:r>
      <w:r w:rsidR="006F08F9" w:rsidRPr="00346D1C">
        <w:rPr>
          <w:rFonts w:ascii="Georgia" w:hAnsi="Georgia" w:cs="Times New Roman"/>
          <w:sz w:val="24"/>
          <w:szCs w:val="24"/>
        </w:rPr>
        <w:t xml:space="preserve">has </w:t>
      </w:r>
      <w:r w:rsidR="003E59D3" w:rsidRPr="00346D1C">
        <w:rPr>
          <w:rFonts w:ascii="Georgia" w:hAnsi="Georgia" w:cs="Times New Roman"/>
          <w:sz w:val="24"/>
          <w:szCs w:val="24"/>
        </w:rPr>
        <w:t>been around 75% since 2014</w:t>
      </w:r>
      <w:r w:rsidR="00112484" w:rsidRPr="00346D1C">
        <w:rPr>
          <w:rFonts w:ascii="Georgia" w:hAnsi="Georgia" w:cs="Times New Roman"/>
          <w:sz w:val="24"/>
          <w:szCs w:val="24"/>
        </w:rPr>
        <w:t xml:space="preserve"> (see Table 3)</w:t>
      </w:r>
      <w:r w:rsidR="006F08F9" w:rsidRPr="00346D1C">
        <w:rPr>
          <w:rFonts w:ascii="Georgia" w:hAnsi="Georgia" w:cs="Times New Roman"/>
          <w:sz w:val="24"/>
          <w:szCs w:val="24"/>
        </w:rPr>
        <w:t>.</w:t>
      </w:r>
      <w:r w:rsidR="00D17893" w:rsidRPr="00346D1C">
        <w:rPr>
          <w:rStyle w:val="FootnoteReference"/>
          <w:rFonts w:ascii="Georgia" w:hAnsi="Georgia" w:cs="Times New Roman"/>
          <w:sz w:val="24"/>
          <w:szCs w:val="24"/>
        </w:rPr>
        <w:footnoteReference w:id="16"/>
      </w:r>
      <w:r w:rsidR="00330F04" w:rsidRPr="00346D1C">
        <w:rPr>
          <w:rFonts w:ascii="Georgia" w:hAnsi="Georgia" w:cs="Times New Roman"/>
          <w:sz w:val="24"/>
          <w:szCs w:val="24"/>
        </w:rPr>
        <w:t xml:space="preserve"> </w:t>
      </w:r>
      <w:r w:rsidR="00980439" w:rsidRPr="00346D1C">
        <w:rPr>
          <w:rFonts w:ascii="Georgia" w:hAnsi="Georgia" w:cs="Times New Roman"/>
          <w:sz w:val="24"/>
          <w:szCs w:val="24"/>
        </w:rPr>
        <w:t xml:space="preserve">Persons with disabilities </w:t>
      </w:r>
      <w:r w:rsidR="00EA6BCB" w:rsidRPr="00346D1C">
        <w:rPr>
          <w:rFonts w:ascii="Georgia" w:hAnsi="Georgia" w:cs="Times New Roman"/>
          <w:sz w:val="24"/>
          <w:szCs w:val="24"/>
        </w:rPr>
        <w:t xml:space="preserve">tend to be less engaged in economic activities than </w:t>
      </w:r>
      <w:r w:rsidR="002B43B2" w:rsidRPr="00346D1C">
        <w:rPr>
          <w:rFonts w:ascii="Georgia" w:hAnsi="Georgia" w:cs="Times New Roman"/>
          <w:sz w:val="24"/>
          <w:szCs w:val="24"/>
        </w:rPr>
        <w:t xml:space="preserve">other members of the working age population (Onsomu et al., 2022: </w:t>
      </w:r>
      <w:r w:rsidR="006D3A0E" w:rsidRPr="00346D1C">
        <w:rPr>
          <w:rFonts w:ascii="Georgia" w:hAnsi="Georgia" w:cs="Times New Roman"/>
          <w:sz w:val="24"/>
          <w:szCs w:val="24"/>
        </w:rPr>
        <w:t xml:space="preserve">79). </w:t>
      </w:r>
      <w:r w:rsidR="00E76DB9" w:rsidRPr="00346D1C">
        <w:rPr>
          <w:rFonts w:ascii="Georgia" w:hAnsi="Georgia" w:cs="Times New Roman"/>
          <w:sz w:val="24"/>
          <w:szCs w:val="24"/>
        </w:rPr>
        <w:t>There are</w:t>
      </w:r>
      <w:r w:rsidR="006D3A0E" w:rsidRPr="00346D1C">
        <w:rPr>
          <w:rFonts w:ascii="Georgia" w:hAnsi="Georgia" w:cs="Times New Roman"/>
          <w:sz w:val="24"/>
          <w:szCs w:val="24"/>
        </w:rPr>
        <w:t xml:space="preserve"> also</w:t>
      </w:r>
      <w:r w:rsidR="00E76DB9" w:rsidRPr="00346D1C">
        <w:rPr>
          <w:rFonts w:ascii="Georgia" w:hAnsi="Georgia" w:cs="Times New Roman"/>
          <w:sz w:val="24"/>
          <w:szCs w:val="24"/>
        </w:rPr>
        <w:t xml:space="preserve"> large differences between men and women</w:t>
      </w:r>
      <w:r w:rsidR="00DD70FD" w:rsidRPr="00346D1C">
        <w:rPr>
          <w:rFonts w:ascii="Georgia" w:hAnsi="Georgia" w:cs="Times New Roman"/>
          <w:sz w:val="24"/>
          <w:szCs w:val="24"/>
        </w:rPr>
        <w:t xml:space="preserve">: the </w:t>
      </w:r>
      <w:r w:rsidR="00E76DB9" w:rsidRPr="00346D1C">
        <w:rPr>
          <w:rFonts w:ascii="Georgia" w:hAnsi="Georgia" w:cs="Times New Roman"/>
          <w:sz w:val="24"/>
          <w:szCs w:val="24"/>
        </w:rPr>
        <w:t xml:space="preserve">labour force participation of </w:t>
      </w:r>
      <w:r w:rsidR="00DD70FD" w:rsidRPr="00346D1C">
        <w:rPr>
          <w:rFonts w:ascii="Georgia" w:hAnsi="Georgia" w:cs="Times New Roman"/>
          <w:sz w:val="24"/>
          <w:szCs w:val="24"/>
        </w:rPr>
        <w:t xml:space="preserve">men is </w:t>
      </w:r>
      <w:r w:rsidR="00A7626E" w:rsidRPr="00346D1C">
        <w:rPr>
          <w:rFonts w:ascii="Georgia" w:hAnsi="Georgia" w:cs="Times New Roman"/>
          <w:sz w:val="24"/>
          <w:szCs w:val="24"/>
        </w:rPr>
        <w:t xml:space="preserve">consistently </w:t>
      </w:r>
      <w:r w:rsidR="00DD70FD" w:rsidRPr="00346D1C">
        <w:rPr>
          <w:rFonts w:ascii="Georgia" w:hAnsi="Georgia" w:cs="Times New Roman"/>
          <w:sz w:val="24"/>
          <w:szCs w:val="24"/>
        </w:rPr>
        <w:t xml:space="preserve">higher than that of </w:t>
      </w:r>
      <w:r w:rsidR="00E76DB9" w:rsidRPr="00346D1C">
        <w:rPr>
          <w:rFonts w:ascii="Georgia" w:hAnsi="Georgia" w:cs="Times New Roman"/>
          <w:sz w:val="24"/>
          <w:szCs w:val="24"/>
        </w:rPr>
        <w:t>women</w:t>
      </w:r>
      <w:r w:rsidR="00DD70FD" w:rsidRPr="00346D1C">
        <w:rPr>
          <w:rFonts w:ascii="Georgia" w:hAnsi="Georgia" w:cs="Times New Roman"/>
          <w:sz w:val="24"/>
          <w:szCs w:val="24"/>
        </w:rPr>
        <w:t xml:space="preserve"> and the gender gap </w:t>
      </w:r>
      <w:r w:rsidR="00AF10D8" w:rsidRPr="00346D1C">
        <w:rPr>
          <w:rFonts w:ascii="Georgia" w:hAnsi="Georgia" w:cs="Times New Roman"/>
          <w:sz w:val="24"/>
          <w:szCs w:val="24"/>
        </w:rPr>
        <w:t>widened</w:t>
      </w:r>
      <w:r w:rsidR="00DD70FD" w:rsidRPr="00346D1C">
        <w:rPr>
          <w:rFonts w:ascii="Georgia" w:hAnsi="Georgia" w:cs="Times New Roman"/>
          <w:sz w:val="24"/>
          <w:szCs w:val="24"/>
        </w:rPr>
        <w:t xml:space="preserve"> until 2016. </w:t>
      </w:r>
      <w:r w:rsidR="00BA565A" w:rsidRPr="00346D1C">
        <w:rPr>
          <w:rFonts w:ascii="Georgia" w:hAnsi="Georgia" w:cs="Times New Roman"/>
          <w:sz w:val="24"/>
          <w:szCs w:val="24"/>
        </w:rPr>
        <w:t>The gap su</w:t>
      </w:r>
      <w:r w:rsidR="005035A1" w:rsidRPr="00346D1C">
        <w:rPr>
          <w:rFonts w:ascii="Georgia" w:hAnsi="Georgia" w:cs="Times New Roman"/>
          <w:sz w:val="24"/>
          <w:szCs w:val="24"/>
        </w:rPr>
        <w:t>bsequently narrowed until 2019</w:t>
      </w:r>
      <w:r w:rsidR="00D20946" w:rsidRPr="00346D1C">
        <w:rPr>
          <w:rFonts w:ascii="Georgia" w:hAnsi="Georgia" w:cs="Times New Roman"/>
          <w:sz w:val="24"/>
          <w:szCs w:val="24"/>
        </w:rPr>
        <w:t>,</w:t>
      </w:r>
      <w:r w:rsidR="005035A1" w:rsidRPr="00346D1C">
        <w:rPr>
          <w:rFonts w:ascii="Georgia" w:hAnsi="Georgia" w:cs="Times New Roman"/>
          <w:sz w:val="24"/>
          <w:szCs w:val="24"/>
        </w:rPr>
        <w:t xml:space="preserve"> but increased again as a result of C</w:t>
      </w:r>
      <w:r w:rsidR="00212399" w:rsidRPr="00346D1C">
        <w:rPr>
          <w:rFonts w:ascii="Georgia" w:hAnsi="Georgia" w:cs="Times New Roman"/>
          <w:sz w:val="24"/>
          <w:szCs w:val="24"/>
        </w:rPr>
        <w:t>OVID</w:t>
      </w:r>
      <w:r w:rsidR="005035A1" w:rsidRPr="00346D1C">
        <w:rPr>
          <w:rFonts w:ascii="Georgia" w:hAnsi="Georgia" w:cs="Times New Roman"/>
          <w:sz w:val="24"/>
          <w:szCs w:val="24"/>
        </w:rPr>
        <w:t>-19</w:t>
      </w:r>
      <w:r w:rsidR="00D67ED3" w:rsidRPr="00346D1C">
        <w:rPr>
          <w:rFonts w:ascii="Georgia" w:hAnsi="Georgia" w:cs="Times New Roman"/>
          <w:sz w:val="24"/>
          <w:szCs w:val="24"/>
        </w:rPr>
        <w:t xml:space="preserve">, which apparently affected </w:t>
      </w:r>
      <w:r w:rsidR="00437ADE" w:rsidRPr="00346D1C">
        <w:rPr>
          <w:rFonts w:ascii="Georgia" w:hAnsi="Georgia" w:cs="Times New Roman"/>
          <w:sz w:val="24"/>
          <w:szCs w:val="24"/>
        </w:rPr>
        <w:t xml:space="preserve">the </w:t>
      </w:r>
      <w:r w:rsidR="00D67ED3" w:rsidRPr="00346D1C">
        <w:rPr>
          <w:rFonts w:ascii="Georgia" w:hAnsi="Georgia" w:cs="Times New Roman"/>
          <w:sz w:val="24"/>
          <w:szCs w:val="24"/>
        </w:rPr>
        <w:t xml:space="preserve">labour force participation </w:t>
      </w:r>
      <w:r w:rsidR="00840427" w:rsidRPr="00346D1C">
        <w:rPr>
          <w:rFonts w:ascii="Georgia" w:hAnsi="Georgia" w:cs="Times New Roman"/>
          <w:sz w:val="24"/>
          <w:szCs w:val="24"/>
        </w:rPr>
        <w:t>of women more than that of men</w:t>
      </w:r>
      <w:r w:rsidR="00D161FB" w:rsidRPr="00346D1C">
        <w:rPr>
          <w:rFonts w:ascii="Georgia" w:hAnsi="Georgia" w:cs="Times New Roman"/>
          <w:sz w:val="24"/>
          <w:szCs w:val="24"/>
        </w:rPr>
        <w:t xml:space="preserve"> (see </w:t>
      </w:r>
      <w:r w:rsidR="00D161FB" w:rsidRPr="00346D1C">
        <w:rPr>
          <w:rFonts w:ascii="Georgia" w:hAnsi="Georgia" w:cs="Times New Roman"/>
          <w:sz w:val="24"/>
          <w:szCs w:val="24"/>
        </w:rPr>
        <w:fldChar w:fldCharType="begin"/>
      </w:r>
      <w:r w:rsidR="00D161FB" w:rsidRPr="00346D1C">
        <w:rPr>
          <w:rFonts w:ascii="Georgia" w:hAnsi="Georgia" w:cs="Times New Roman"/>
          <w:sz w:val="24"/>
          <w:szCs w:val="24"/>
        </w:rPr>
        <w:instrText xml:space="preserve"> REF _Ref117242964 \h  \* MERGEFORMAT </w:instrText>
      </w:r>
      <w:r w:rsidR="00D161FB" w:rsidRPr="00346D1C">
        <w:rPr>
          <w:rFonts w:ascii="Georgia" w:hAnsi="Georgia" w:cs="Times New Roman"/>
          <w:sz w:val="24"/>
          <w:szCs w:val="24"/>
        </w:rPr>
      </w:r>
      <w:r w:rsidR="00D161FB"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6</w:t>
      </w:r>
      <w:r w:rsidR="00D161FB" w:rsidRPr="00346D1C">
        <w:rPr>
          <w:rFonts w:ascii="Georgia" w:hAnsi="Georgia" w:cs="Times New Roman"/>
          <w:sz w:val="24"/>
          <w:szCs w:val="24"/>
        </w:rPr>
        <w:fldChar w:fldCharType="end"/>
      </w:r>
      <w:r w:rsidR="000F6B1B" w:rsidRPr="00346D1C">
        <w:rPr>
          <w:rFonts w:ascii="Georgia" w:hAnsi="Georgia" w:cs="Times New Roman"/>
          <w:sz w:val="24"/>
          <w:szCs w:val="24"/>
        </w:rPr>
        <w:t>a</w:t>
      </w:r>
      <w:r w:rsidR="00D161FB" w:rsidRPr="00346D1C">
        <w:rPr>
          <w:rFonts w:ascii="Georgia" w:hAnsi="Georgia" w:cs="Times New Roman"/>
          <w:sz w:val="24"/>
          <w:szCs w:val="24"/>
        </w:rPr>
        <w:t>).</w:t>
      </w:r>
      <w:r w:rsidR="00E2750A" w:rsidRPr="00346D1C">
        <w:rPr>
          <w:rFonts w:ascii="Georgia" w:hAnsi="Georgia" w:cs="Times New Roman"/>
          <w:sz w:val="24"/>
          <w:szCs w:val="24"/>
        </w:rPr>
        <w:t xml:space="preserve"> </w:t>
      </w:r>
    </w:p>
    <w:p w14:paraId="1E7A82CC" w14:textId="706E1D3E" w:rsidR="006F08F9" w:rsidRPr="009C5581" w:rsidRDefault="00A4493C" w:rsidP="006F08F9">
      <w:pPr>
        <w:spacing w:after="120" w:line="240" w:lineRule="auto"/>
        <w:jc w:val="center"/>
        <w:rPr>
          <w:rFonts w:ascii="Times New Roman" w:hAnsi="Times New Roman" w:cs="Times New Roman"/>
          <w:sz w:val="20"/>
          <w:szCs w:val="20"/>
        </w:rPr>
      </w:pPr>
      <w:bookmarkStart w:id="42" w:name="_Ref117242964"/>
      <w:bookmarkStart w:id="43" w:name="_Toc144414578"/>
      <w:r w:rsidRPr="009C5581">
        <w:rPr>
          <w:noProof/>
          <w:lang w:val="en-US"/>
        </w:rPr>
        <w:drawing>
          <wp:anchor distT="0" distB="0" distL="114300" distR="114300" simplePos="0" relativeHeight="251658244" behindDoc="0" locked="0" layoutInCell="1" allowOverlap="1" wp14:anchorId="69D23AFB" wp14:editId="46A825CD">
            <wp:simplePos x="0" y="0"/>
            <wp:positionH relativeFrom="margin">
              <wp:posOffset>-1905</wp:posOffset>
            </wp:positionH>
            <wp:positionV relativeFrom="paragraph">
              <wp:posOffset>188595</wp:posOffset>
            </wp:positionV>
            <wp:extent cx="2991485" cy="2305050"/>
            <wp:effectExtent l="0" t="0" r="18415" b="0"/>
            <wp:wrapTopAndBottom/>
            <wp:docPr id="13" name="Chart 13">
              <a:extLst xmlns:a="http://schemas.openxmlformats.org/drawingml/2006/main">
                <a:ext uri="{FF2B5EF4-FFF2-40B4-BE49-F238E27FC236}">
                  <a16:creationId xmlns:a16="http://schemas.microsoft.com/office/drawing/2014/main" id="{073E14E5-E6A7-8C2D-5765-4FBF8374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9C5581">
        <w:rPr>
          <w:noProof/>
          <w:lang w:val="en-US"/>
        </w:rPr>
        <w:drawing>
          <wp:anchor distT="0" distB="0" distL="114300" distR="114300" simplePos="0" relativeHeight="251658245" behindDoc="0" locked="0" layoutInCell="1" allowOverlap="1" wp14:anchorId="17A03B1B" wp14:editId="6CA4BB32">
            <wp:simplePos x="0" y="0"/>
            <wp:positionH relativeFrom="margin">
              <wp:posOffset>2988945</wp:posOffset>
            </wp:positionH>
            <wp:positionV relativeFrom="paragraph">
              <wp:posOffset>188595</wp:posOffset>
            </wp:positionV>
            <wp:extent cx="3142615" cy="2305050"/>
            <wp:effectExtent l="0" t="0" r="635" b="0"/>
            <wp:wrapTopAndBottom/>
            <wp:docPr id="15" name="Chart 15">
              <a:extLst xmlns:a="http://schemas.openxmlformats.org/drawingml/2006/main">
                <a:ext uri="{FF2B5EF4-FFF2-40B4-BE49-F238E27FC236}">
                  <a16:creationId xmlns:a16="http://schemas.microsoft.com/office/drawing/2014/main" id="{46CB68BE-B4A3-8B6B-2FD6-FC788BFEA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F650C8" w:rsidRPr="009C5581">
        <w:rPr>
          <w:rFonts w:ascii="Times New Roman" w:hAnsi="Times New Roman" w:cs="Times New Roman"/>
          <w:b/>
          <w:bCs/>
          <w:sz w:val="20"/>
          <w:szCs w:val="20"/>
        </w:rPr>
        <w:t xml:space="preserve">Figure </w:t>
      </w:r>
      <w:r w:rsidR="00B84F08" w:rsidRPr="009C5581">
        <w:rPr>
          <w:rFonts w:ascii="Times New Roman" w:hAnsi="Times New Roman" w:cs="Times New Roman"/>
          <w:b/>
          <w:bCs/>
          <w:sz w:val="20"/>
          <w:szCs w:val="20"/>
        </w:rPr>
        <w:fldChar w:fldCharType="begin"/>
      </w:r>
      <w:r w:rsidR="00B84F08" w:rsidRPr="009C5581">
        <w:rPr>
          <w:rFonts w:ascii="Times New Roman" w:hAnsi="Times New Roman" w:cs="Times New Roman"/>
          <w:b/>
          <w:bCs/>
          <w:sz w:val="20"/>
          <w:szCs w:val="20"/>
        </w:rPr>
        <w:instrText xml:space="preserve"> SEQ Figure \* ARABIC </w:instrText>
      </w:r>
      <w:r w:rsidR="00B84F08"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6</w:t>
      </w:r>
      <w:r w:rsidR="00B84F08" w:rsidRPr="009C5581">
        <w:rPr>
          <w:rFonts w:ascii="Times New Roman" w:hAnsi="Times New Roman" w:cs="Times New Roman"/>
          <w:b/>
          <w:bCs/>
          <w:sz w:val="20"/>
          <w:szCs w:val="20"/>
        </w:rPr>
        <w:fldChar w:fldCharType="end"/>
      </w:r>
      <w:bookmarkEnd w:id="42"/>
      <w:r w:rsidR="00F650C8" w:rsidRPr="009C5581">
        <w:rPr>
          <w:rFonts w:ascii="Times New Roman" w:hAnsi="Times New Roman" w:cs="Times New Roman"/>
          <w:sz w:val="20"/>
          <w:szCs w:val="20"/>
        </w:rPr>
        <w:t xml:space="preserve">: </w:t>
      </w:r>
      <w:r w:rsidR="006F08F9" w:rsidRPr="009C5581">
        <w:rPr>
          <w:rFonts w:ascii="Times New Roman" w:hAnsi="Times New Roman" w:cs="Times New Roman"/>
          <w:sz w:val="20"/>
          <w:szCs w:val="20"/>
        </w:rPr>
        <w:t>Labour force participation</w:t>
      </w:r>
      <w:r w:rsidR="00F3593D" w:rsidRPr="009C5581">
        <w:rPr>
          <w:rFonts w:ascii="Times New Roman" w:hAnsi="Times New Roman" w:cs="Times New Roman"/>
          <w:sz w:val="20"/>
          <w:szCs w:val="20"/>
        </w:rPr>
        <w:t xml:space="preserve"> and unemployment</w:t>
      </w:r>
      <w:r w:rsidR="006F08F9" w:rsidRPr="009C5581">
        <w:rPr>
          <w:rFonts w:ascii="Times New Roman" w:hAnsi="Times New Roman" w:cs="Times New Roman"/>
          <w:sz w:val="20"/>
          <w:szCs w:val="20"/>
        </w:rPr>
        <w:t xml:space="preserve"> by </w:t>
      </w:r>
      <w:r w:rsidR="00350AA0" w:rsidRPr="009C5581">
        <w:rPr>
          <w:rFonts w:ascii="Times New Roman" w:hAnsi="Times New Roman" w:cs="Times New Roman"/>
          <w:sz w:val="20"/>
          <w:szCs w:val="20"/>
        </w:rPr>
        <w:t>gender</w:t>
      </w:r>
      <w:r w:rsidR="006F08F9" w:rsidRPr="009C5581">
        <w:rPr>
          <w:rFonts w:ascii="Times New Roman" w:hAnsi="Times New Roman" w:cs="Times New Roman"/>
          <w:sz w:val="20"/>
          <w:szCs w:val="20"/>
        </w:rPr>
        <w:t>, 200</w:t>
      </w:r>
      <w:r w:rsidR="00350AA0" w:rsidRPr="009C5581">
        <w:rPr>
          <w:rFonts w:ascii="Times New Roman" w:hAnsi="Times New Roman" w:cs="Times New Roman"/>
          <w:sz w:val="20"/>
          <w:szCs w:val="20"/>
        </w:rPr>
        <w:t>0</w:t>
      </w:r>
      <w:r w:rsidR="006F08F9" w:rsidRPr="009C5581">
        <w:rPr>
          <w:rFonts w:ascii="Times New Roman" w:hAnsi="Times New Roman" w:cs="Times New Roman"/>
          <w:sz w:val="20"/>
          <w:szCs w:val="20"/>
        </w:rPr>
        <w:t>-20</w:t>
      </w:r>
      <w:r w:rsidR="00350AA0" w:rsidRPr="009C5581">
        <w:rPr>
          <w:rFonts w:ascii="Times New Roman" w:hAnsi="Times New Roman" w:cs="Times New Roman"/>
          <w:sz w:val="20"/>
          <w:szCs w:val="20"/>
        </w:rPr>
        <w:t>21</w:t>
      </w:r>
      <w:bookmarkEnd w:id="43"/>
    </w:p>
    <w:p w14:paraId="200E3A89" w14:textId="77777777" w:rsidR="00A82686" w:rsidRPr="009C5581" w:rsidRDefault="00A82686" w:rsidP="006F08F9">
      <w:pPr>
        <w:spacing w:after="120" w:line="240" w:lineRule="auto"/>
        <w:jc w:val="center"/>
        <w:rPr>
          <w:rFonts w:ascii="Times New Roman" w:hAnsi="Times New Roman" w:cs="Times New Roman"/>
          <w:sz w:val="20"/>
          <w:szCs w:val="20"/>
        </w:rPr>
      </w:pPr>
    </w:p>
    <w:p w14:paraId="45997FC6" w14:textId="131B7CA4" w:rsidR="006F08F9" w:rsidRPr="009C5581" w:rsidRDefault="006F08F9" w:rsidP="006F08F9">
      <w:pPr>
        <w:spacing w:after="120" w:line="240" w:lineRule="auto"/>
        <w:jc w:val="center"/>
        <w:rPr>
          <w:rFonts w:ascii="Times New Roman" w:hAnsi="Times New Roman" w:cs="Times New Roman"/>
          <w:sz w:val="16"/>
          <w:szCs w:val="16"/>
        </w:rPr>
      </w:pPr>
      <w:r w:rsidRPr="009C5581">
        <w:rPr>
          <w:rFonts w:ascii="Times New Roman" w:hAnsi="Times New Roman" w:cs="Times New Roman"/>
          <w:sz w:val="16"/>
          <w:szCs w:val="16"/>
        </w:rPr>
        <w:t>Source: World Bank, World Development Indicators.</w:t>
      </w:r>
    </w:p>
    <w:p w14:paraId="322D3FC4" w14:textId="77777777" w:rsidR="00057DF2" w:rsidRPr="00346D1C" w:rsidRDefault="00057DF2" w:rsidP="00057DF2">
      <w:pPr>
        <w:spacing w:after="120" w:line="240" w:lineRule="auto"/>
        <w:jc w:val="both"/>
        <w:rPr>
          <w:rFonts w:ascii="Georgia" w:hAnsi="Georgia" w:cs="Times New Roman"/>
          <w:sz w:val="24"/>
          <w:szCs w:val="24"/>
        </w:rPr>
      </w:pPr>
      <w:r w:rsidRPr="00346D1C">
        <w:rPr>
          <w:rFonts w:ascii="Georgia" w:hAnsi="Georgia" w:cs="Times New Roman"/>
          <w:sz w:val="24"/>
          <w:szCs w:val="24"/>
        </w:rPr>
        <w:t>DHS 2022 data that point at much lower employment rates among women than among men of 15-49 years of age suggest that the gender gap persisted in recent years (KNBS 2023c: 21, Tables 3.6.1 and 3.6.2).</w:t>
      </w:r>
    </w:p>
    <w:p w14:paraId="6FDE462B" w14:textId="1E07E05F" w:rsidR="00D161FB" w:rsidRPr="00346D1C" w:rsidRDefault="00DB63EC" w:rsidP="00D161FB">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According to </w:t>
      </w:r>
      <w:r w:rsidR="004A1D72" w:rsidRPr="00346D1C">
        <w:rPr>
          <w:rFonts w:ascii="Georgia" w:hAnsi="Georgia" w:cs="Times New Roman"/>
          <w:sz w:val="24"/>
          <w:szCs w:val="24"/>
        </w:rPr>
        <w:t>modelled</w:t>
      </w:r>
      <w:r w:rsidR="00116C40" w:rsidRPr="00346D1C">
        <w:rPr>
          <w:rFonts w:ascii="Georgia" w:hAnsi="Georgia" w:cs="Times New Roman"/>
          <w:sz w:val="24"/>
          <w:szCs w:val="24"/>
        </w:rPr>
        <w:t xml:space="preserve"> ILO estimates </w:t>
      </w:r>
      <w:r w:rsidR="0099759C" w:rsidRPr="00346D1C">
        <w:rPr>
          <w:rFonts w:ascii="Georgia" w:hAnsi="Georgia" w:cs="Times New Roman"/>
          <w:sz w:val="24"/>
          <w:szCs w:val="24"/>
        </w:rPr>
        <w:t xml:space="preserve">presented in </w:t>
      </w:r>
      <w:r w:rsidR="007C42AA" w:rsidRPr="00346D1C">
        <w:rPr>
          <w:rFonts w:ascii="Georgia" w:hAnsi="Georgia" w:cs="Times New Roman"/>
          <w:sz w:val="24"/>
          <w:szCs w:val="24"/>
        </w:rPr>
        <w:t xml:space="preserve">the World Development Indicators, the labour force participation </w:t>
      </w:r>
      <w:r w:rsidR="00E67D0E" w:rsidRPr="00346D1C">
        <w:rPr>
          <w:rFonts w:ascii="Georgia" w:hAnsi="Georgia" w:cs="Times New Roman"/>
          <w:sz w:val="24"/>
          <w:szCs w:val="24"/>
        </w:rPr>
        <w:t xml:space="preserve">rate </w:t>
      </w:r>
      <w:r w:rsidR="007C42AA" w:rsidRPr="00346D1C">
        <w:rPr>
          <w:rFonts w:ascii="Georgia" w:hAnsi="Georgia" w:cs="Times New Roman"/>
          <w:sz w:val="24"/>
          <w:szCs w:val="24"/>
        </w:rPr>
        <w:t xml:space="preserve">of youth </w:t>
      </w:r>
      <w:r w:rsidR="00141D08" w:rsidRPr="00346D1C">
        <w:rPr>
          <w:rFonts w:ascii="Georgia" w:hAnsi="Georgia" w:cs="Times New Roman"/>
          <w:sz w:val="24"/>
          <w:szCs w:val="24"/>
        </w:rPr>
        <w:t>declined from 50% in 2000 to 43% in 2019</w:t>
      </w:r>
      <w:r w:rsidR="001B7EEF" w:rsidRPr="00346D1C">
        <w:rPr>
          <w:rFonts w:ascii="Georgia" w:hAnsi="Georgia" w:cs="Times New Roman"/>
          <w:sz w:val="24"/>
          <w:szCs w:val="24"/>
        </w:rPr>
        <w:t xml:space="preserve">. </w:t>
      </w:r>
      <w:r w:rsidR="003F4B9F" w:rsidRPr="00346D1C">
        <w:rPr>
          <w:rFonts w:ascii="Georgia" w:hAnsi="Georgia" w:cs="Times New Roman"/>
          <w:sz w:val="24"/>
          <w:szCs w:val="24"/>
        </w:rPr>
        <w:t xml:space="preserve">The small gender gap in favour of women that initially existed </w:t>
      </w:r>
      <w:r w:rsidR="00A410BE" w:rsidRPr="00346D1C">
        <w:rPr>
          <w:rFonts w:ascii="Georgia" w:hAnsi="Georgia" w:cs="Times New Roman"/>
          <w:sz w:val="24"/>
          <w:szCs w:val="24"/>
        </w:rPr>
        <w:t xml:space="preserve">gradually </w:t>
      </w:r>
      <w:r w:rsidR="003F4B9F" w:rsidRPr="00346D1C">
        <w:rPr>
          <w:rFonts w:ascii="Georgia" w:hAnsi="Georgia" w:cs="Times New Roman"/>
          <w:sz w:val="24"/>
          <w:szCs w:val="24"/>
        </w:rPr>
        <w:t>disappeared over time.</w:t>
      </w:r>
      <w:r w:rsidR="00A54A69" w:rsidRPr="00346D1C">
        <w:rPr>
          <w:rFonts w:ascii="Georgia" w:hAnsi="Georgia" w:cs="Times New Roman"/>
          <w:sz w:val="24"/>
          <w:szCs w:val="24"/>
        </w:rPr>
        <w:t xml:space="preserve"> </w:t>
      </w:r>
      <w:r w:rsidR="000325F7" w:rsidRPr="00346D1C">
        <w:rPr>
          <w:rFonts w:ascii="Georgia" w:hAnsi="Georgia" w:cs="Times New Roman"/>
          <w:sz w:val="24"/>
          <w:szCs w:val="24"/>
        </w:rPr>
        <w:t xml:space="preserve">In itself, </w:t>
      </w:r>
      <w:r w:rsidR="00A46BD2" w:rsidRPr="00346D1C">
        <w:rPr>
          <w:rFonts w:ascii="Georgia" w:hAnsi="Georgia" w:cs="Times New Roman"/>
          <w:sz w:val="24"/>
          <w:szCs w:val="24"/>
        </w:rPr>
        <w:t>the observed decrease</w:t>
      </w:r>
      <w:r w:rsidR="003C3DAF" w:rsidRPr="00346D1C">
        <w:rPr>
          <w:rFonts w:ascii="Georgia" w:hAnsi="Georgia" w:cs="Times New Roman"/>
          <w:sz w:val="24"/>
          <w:szCs w:val="24"/>
        </w:rPr>
        <w:t xml:space="preserve"> in the rate of youth labour force participation can be interpreted as a positive development</w:t>
      </w:r>
      <w:r w:rsidR="00EA49C7" w:rsidRPr="00346D1C">
        <w:rPr>
          <w:rFonts w:ascii="Georgia" w:hAnsi="Georgia" w:cs="Times New Roman"/>
          <w:sz w:val="24"/>
          <w:szCs w:val="24"/>
        </w:rPr>
        <w:t xml:space="preserve">, </w:t>
      </w:r>
      <w:r w:rsidR="00FB3ADA" w:rsidRPr="00346D1C">
        <w:rPr>
          <w:rFonts w:ascii="Georgia" w:hAnsi="Georgia" w:cs="Times New Roman"/>
          <w:sz w:val="24"/>
          <w:szCs w:val="24"/>
        </w:rPr>
        <w:t xml:space="preserve">if </w:t>
      </w:r>
      <w:r w:rsidR="005F4A10" w:rsidRPr="00346D1C">
        <w:rPr>
          <w:rFonts w:ascii="Georgia" w:hAnsi="Georgia" w:cs="Times New Roman"/>
          <w:sz w:val="24"/>
          <w:szCs w:val="24"/>
        </w:rPr>
        <w:t>it coincides with more</w:t>
      </w:r>
      <w:r w:rsidR="00B157E5" w:rsidRPr="00346D1C">
        <w:rPr>
          <w:rFonts w:ascii="Georgia" w:hAnsi="Georgia" w:cs="Times New Roman"/>
          <w:sz w:val="24"/>
          <w:szCs w:val="24"/>
        </w:rPr>
        <w:t xml:space="preserve"> young people </w:t>
      </w:r>
      <w:r w:rsidR="00A55B6E" w:rsidRPr="00346D1C">
        <w:rPr>
          <w:rFonts w:ascii="Georgia" w:hAnsi="Georgia" w:cs="Times New Roman"/>
          <w:sz w:val="24"/>
          <w:szCs w:val="24"/>
        </w:rPr>
        <w:t xml:space="preserve">who </w:t>
      </w:r>
      <w:r w:rsidR="00B157E5" w:rsidRPr="00346D1C">
        <w:rPr>
          <w:rFonts w:ascii="Georgia" w:hAnsi="Georgia" w:cs="Times New Roman"/>
          <w:sz w:val="24"/>
          <w:szCs w:val="24"/>
        </w:rPr>
        <w:t>continue studying at higher levels of education</w:t>
      </w:r>
      <w:r w:rsidR="009D095B" w:rsidRPr="00346D1C">
        <w:rPr>
          <w:rFonts w:ascii="Georgia" w:hAnsi="Georgia" w:cs="Times New Roman"/>
          <w:sz w:val="24"/>
          <w:szCs w:val="24"/>
        </w:rPr>
        <w:t>. I</w:t>
      </w:r>
      <w:r w:rsidR="00A55B6E" w:rsidRPr="00346D1C">
        <w:rPr>
          <w:rFonts w:ascii="Georgia" w:hAnsi="Georgia" w:cs="Times New Roman"/>
          <w:sz w:val="24"/>
          <w:szCs w:val="24"/>
        </w:rPr>
        <w:t>n the end</w:t>
      </w:r>
      <w:r w:rsidR="009D095B" w:rsidRPr="00346D1C">
        <w:rPr>
          <w:rFonts w:ascii="Georgia" w:hAnsi="Georgia" w:cs="Times New Roman"/>
          <w:sz w:val="24"/>
          <w:szCs w:val="24"/>
        </w:rPr>
        <w:t xml:space="preserve">, this </w:t>
      </w:r>
      <w:r w:rsidR="00A55B6E" w:rsidRPr="00346D1C">
        <w:rPr>
          <w:rFonts w:ascii="Georgia" w:hAnsi="Georgia" w:cs="Times New Roman"/>
          <w:sz w:val="24"/>
          <w:szCs w:val="24"/>
        </w:rPr>
        <w:t>will contribute to reducing income inequality</w:t>
      </w:r>
      <w:r w:rsidR="00646C57" w:rsidRPr="00346D1C">
        <w:rPr>
          <w:rFonts w:ascii="Georgia" w:hAnsi="Georgia" w:cs="Times New Roman"/>
          <w:sz w:val="24"/>
          <w:szCs w:val="24"/>
        </w:rPr>
        <w:t xml:space="preserve">, </w:t>
      </w:r>
      <w:r w:rsidR="00AF64E4" w:rsidRPr="00346D1C">
        <w:rPr>
          <w:rFonts w:ascii="Georgia" w:hAnsi="Georgia" w:cs="Times New Roman"/>
          <w:sz w:val="24"/>
          <w:szCs w:val="24"/>
        </w:rPr>
        <w:t>given that labour force participation of people with higher educational attainments tends to be higher</w:t>
      </w:r>
      <w:r w:rsidR="00863097" w:rsidRPr="00346D1C">
        <w:rPr>
          <w:rFonts w:ascii="Georgia" w:hAnsi="Georgia" w:cs="Times New Roman"/>
          <w:sz w:val="24"/>
          <w:szCs w:val="24"/>
        </w:rPr>
        <w:t xml:space="preserve"> </w:t>
      </w:r>
      <w:r w:rsidR="00996EB4" w:rsidRPr="00346D1C">
        <w:rPr>
          <w:rFonts w:ascii="Georgia" w:hAnsi="Georgia" w:cs="Times New Roman"/>
          <w:sz w:val="24"/>
          <w:szCs w:val="24"/>
        </w:rPr>
        <w:t xml:space="preserve">than </w:t>
      </w:r>
      <w:r w:rsidR="005235B3" w:rsidRPr="00346D1C">
        <w:rPr>
          <w:rFonts w:ascii="Georgia" w:hAnsi="Georgia" w:cs="Times New Roman"/>
          <w:sz w:val="24"/>
          <w:szCs w:val="24"/>
        </w:rPr>
        <w:t>among people with lower levels of education.</w:t>
      </w:r>
      <w:r w:rsidR="00A55B6E" w:rsidRPr="00346D1C">
        <w:rPr>
          <w:rFonts w:ascii="Georgia" w:hAnsi="Georgia" w:cs="Times New Roman"/>
          <w:sz w:val="24"/>
          <w:szCs w:val="24"/>
        </w:rPr>
        <w:t xml:space="preserve"> </w:t>
      </w:r>
      <w:r w:rsidR="007C0462" w:rsidRPr="00346D1C">
        <w:rPr>
          <w:rFonts w:ascii="Georgia" w:hAnsi="Georgia" w:cs="Times New Roman"/>
          <w:sz w:val="24"/>
          <w:szCs w:val="24"/>
        </w:rPr>
        <w:t>However, t</w:t>
      </w:r>
      <w:r w:rsidR="00F83DC2" w:rsidRPr="00346D1C">
        <w:rPr>
          <w:rFonts w:ascii="Georgia" w:hAnsi="Georgia" w:cs="Times New Roman"/>
          <w:sz w:val="24"/>
          <w:szCs w:val="24"/>
        </w:rPr>
        <w:t>ime series</w:t>
      </w:r>
      <w:r w:rsidR="00D161FB" w:rsidRPr="00346D1C">
        <w:rPr>
          <w:rFonts w:ascii="Georgia" w:hAnsi="Georgia" w:cs="Times New Roman"/>
          <w:sz w:val="24"/>
          <w:szCs w:val="24"/>
        </w:rPr>
        <w:t xml:space="preserve"> o</w:t>
      </w:r>
      <w:r w:rsidR="00F83DC2" w:rsidRPr="00346D1C">
        <w:rPr>
          <w:rFonts w:ascii="Georgia" w:hAnsi="Georgia" w:cs="Times New Roman"/>
          <w:sz w:val="24"/>
          <w:szCs w:val="24"/>
        </w:rPr>
        <w:t>f</w:t>
      </w:r>
      <w:r w:rsidR="00D161FB" w:rsidRPr="00346D1C">
        <w:rPr>
          <w:rFonts w:ascii="Georgia" w:hAnsi="Georgia" w:cs="Times New Roman"/>
          <w:sz w:val="24"/>
          <w:szCs w:val="24"/>
        </w:rPr>
        <w:t xml:space="preserve"> labour force participation by level of education are lacking. Observations for selected years in the </w:t>
      </w:r>
      <w:r w:rsidR="002977C7" w:rsidRPr="00346D1C">
        <w:rPr>
          <w:rFonts w:ascii="Georgia" w:hAnsi="Georgia" w:cs="Times New Roman"/>
          <w:sz w:val="24"/>
          <w:szCs w:val="24"/>
        </w:rPr>
        <w:t>W</w:t>
      </w:r>
      <w:r w:rsidR="00D161FB" w:rsidRPr="00346D1C">
        <w:rPr>
          <w:rFonts w:ascii="Georgia" w:hAnsi="Georgia" w:cs="Times New Roman"/>
          <w:sz w:val="24"/>
          <w:szCs w:val="24"/>
        </w:rPr>
        <w:t xml:space="preserve">orld Development Indicators database </w:t>
      </w:r>
      <w:r w:rsidR="000102D8" w:rsidRPr="00346D1C">
        <w:rPr>
          <w:rFonts w:ascii="Georgia" w:hAnsi="Georgia" w:cs="Times New Roman"/>
          <w:sz w:val="24"/>
          <w:szCs w:val="24"/>
        </w:rPr>
        <w:t xml:space="preserve">indicate that the </w:t>
      </w:r>
      <w:r w:rsidR="00C5453E" w:rsidRPr="00346D1C">
        <w:rPr>
          <w:rFonts w:ascii="Georgia" w:hAnsi="Georgia" w:cs="Times New Roman"/>
          <w:sz w:val="24"/>
          <w:szCs w:val="24"/>
        </w:rPr>
        <w:t xml:space="preserve">labour force participation rate is </w:t>
      </w:r>
      <w:r w:rsidR="000E23C0" w:rsidRPr="00346D1C">
        <w:rPr>
          <w:rFonts w:ascii="Georgia" w:hAnsi="Georgia" w:cs="Times New Roman"/>
          <w:sz w:val="24"/>
          <w:szCs w:val="24"/>
        </w:rPr>
        <w:t>indeed increas</w:t>
      </w:r>
      <w:r w:rsidR="00026AD1" w:rsidRPr="00346D1C">
        <w:rPr>
          <w:rFonts w:ascii="Georgia" w:hAnsi="Georgia" w:cs="Times New Roman"/>
          <w:sz w:val="24"/>
          <w:szCs w:val="24"/>
        </w:rPr>
        <w:t>ing</w:t>
      </w:r>
      <w:r w:rsidR="000E23C0" w:rsidRPr="00346D1C">
        <w:rPr>
          <w:rFonts w:ascii="Georgia" w:hAnsi="Georgia" w:cs="Times New Roman"/>
          <w:sz w:val="24"/>
          <w:szCs w:val="24"/>
        </w:rPr>
        <w:t xml:space="preserve"> with educational attainment</w:t>
      </w:r>
      <w:r w:rsidR="003863B8" w:rsidRPr="00346D1C">
        <w:rPr>
          <w:rFonts w:ascii="Georgia" w:hAnsi="Georgia" w:cs="Times New Roman"/>
          <w:sz w:val="24"/>
          <w:szCs w:val="24"/>
        </w:rPr>
        <w:t xml:space="preserve">. The observations </w:t>
      </w:r>
      <w:r w:rsidR="00D161FB" w:rsidRPr="00346D1C">
        <w:rPr>
          <w:rFonts w:ascii="Georgia" w:hAnsi="Georgia" w:cs="Times New Roman"/>
          <w:sz w:val="24"/>
          <w:szCs w:val="24"/>
        </w:rPr>
        <w:t xml:space="preserve">suggest an increase over time in the labour force participation of people with intermediate education, followed by a decline in recent years, and </w:t>
      </w:r>
      <w:r w:rsidR="00B962C3" w:rsidRPr="00346D1C">
        <w:rPr>
          <w:rFonts w:ascii="Georgia" w:hAnsi="Georgia" w:cs="Times New Roman"/>
          <w:sz w:val="24"/>
          <w:szCs w:val="24"/>
        </w:rPr>
        <w:t xml:space="preserve">changes in </w:t>
      </w:r>
      <w:r w:rsidR="00D161FB" w:rsidRPr="00346D1C">
        <w:rPr>
          <w:rFonts w:ascii="Georgia" w:hAnsi="Georgia" w:cs="Times New Roman"/>
          <w:sz w:val="24"/>
          <w:szCs w:val="24"/>
        </w:rPr>
        <w:t xml:space="preserve">opposite </w:t>
      </w:r>
      <w:r w:rsidR="00B962C3" w:rsidRPr="00346D1C">
        <w:rPr>
          <w:rFonts w:ascii="Georgia" w:hAnsi="Georgia" w:cs="Times New Roman"/>
          <w:sz w:val="24"/>
          <w:szCs w:val="24"/>
        </w:rPr>
        <w:t xml:space="preserve">directions </w:t>
      </w:r>
      <w:r w:rsidR="00D161FB" w:rsidRPr="00346D1C">
        <w:rPr>
          <w:rFonts w:ascii="Georgia" w:hAnsi="Georgia" w:cs="Times New Roman"/>
          <w:sz w:val="24"/>
          <w:szCs w:val="24"/>
        </w:rPr>
        <w:t xml:space="preserve">for both the population with basic education and the population with advanced education. </w:t>
      </w:r>
    </w:p>
    <w:p w14:paraId="687227E6" w14:textId="6DBF9C5D" w:rsidR="009133C9" w:rsidRPr="00346D1C" w:rsidRDefault="007F274B" w:rsidP="00691BD9">
      <w:pPr>
        <w:spacing w:after="120" w:line="240" w:lineRule="auto"/>
        <w:jc w:val="both"/>
        <w:rPr>
          <w:rFonts w:ascii="Georgia" w:eastAsia="Times New Roman" w:hAnsi="Georgia" w:cs="Times New Roman"/>
          <w:color w:val="000000" w:themeColor="text1"/>
          <w:sz w:val="24"/>
          <w:szCs w:val="24"/>
        </w:rPr>
      </w:pPr>
      <w:r w:rsidRPr="00346D1C">
        <w:rPr>
          <w:rFonts w:ascii="Georgia" w:eastAsia="Times New Roman" w:hAnsi="Georgia" w:cs="Times New Roman"/>
          <w:color w:val="000000" w:themeColor="text1"/>
          <w:sz w:val="24"/>
          <w:szCs w:val="24"/>
        </w:rPr>
        <w:t>The u</w:t>
      </w:r>
      <w:r w:rsidR="00595C6C" w:rsidRPr="00346D1C">
        <w:rPr>
          <w:rFonts w:ascii="Georgia" w:eastAsia="Times New Roman" w:hAnsi="Georgia" w:cs="Times New Roman"/>
          <w:color w:val="000000" w:themeColor="text1"/>
          <w:sz w:val="24"/>
          <w:szCs w:val="24"/>
        </w:rPr>
        <w:t xml:space="preserve">nemployment </w:t>
      </w:r>
      <w:r w:rsidRPr="00346D1C">
        <w:rPr>
          <w:rFonts w:ascii="Georgia" w:eastAsia="Times New Roman" w:hAnsi="Georgia" w:cs="Times New Roman"/>
          <w:color w:val="000000" w:themeColor="text1"/>
          <w:sz w:val="24"/>
          <w:szCs w:val="24"/>
        </w:rPr>
        <w:t>rate</w:t>
      </w:r>
      <w:r w:rsidR="00CC7520" w:rsidRPr="00346D1C">
        <w:rPr>
          <w:rFonts w:ascii="Georgia" w:eastAsia="Times New Roman" w:hAnsi="Georgia" w:cs="Times New Roman"/>
          <w:color w:val="000000" w:themeColor="text1"/>
          <w:sz w:val="24"/>
          <w:szCs w:val="24"/>
        </w:rPr>
        <w:t xml:space="preserve"> according to ILO </w:t>
      </w:r>
      <w:r w:rsidR="004A1D72" w:rsidRPr="00346D1C">
        <w:rPr>
          <w:rFonts w:ascii="Georgia" w:eastAsia="Times New Roman" w:hAnsi="Georgia" w:cs="Times New Roman"/>
          <w:color w:val="000000" w:themeColor="text1"/>
          <w:sz w:val="24"/>
          <w:szCs w:val="24"/>
        </w:rPr>
        <w:t>modelled</w:t>
      </w:r>
      <w:r w:rsidR="00CC7520" w:rsidRPr="00346D1C">
        <w:rPr>
          <w:rFonts w:ascii="Georgia" w:eastAsia="Times New Roman" w:hAnsi="Georgia" w:cs="Times New Roman"/>
          <w:color w:val="000000" w:themeColor="text1"/>
          <w:sz w:val="24"/>
          <w:szCs w:val="24"/>
        </w:rPr>
        <w:t xml:space="preserve"> estimates</w:t>
      </w:r>
      <w:r w:rsidRPr="00346D1C">
        <w:rPr>
          <w:rFonts w:ascii="Georgia" w:eastAsia="Times New Roman" w:hAnsi="Georgia" w:cs="Times New Roman"/>
          <w:color w:val="000000" w:themeColor="text1"/>
          <w:sz w:val="24"/>
          <w:szCs w:val="24"/>
        </w:rPr>
        <w:t xml:space="preserve"> was approximately 3% in 2000-2016,</w:t>
      </w:r>
      <w:r w:rsidR="00A526FC" w:rsidRPr="00346D1C">
        <w:rPr>
          <w:rFonts w:ascii="Georgia" w:eastAsia="Times New Roman" w:hAnsi="Georgia" w:cs="Times New Roman"/>
          <w:color w:val="000000" w:themeColor="text1"/>
          <w:sz w:val="24"/>
          <w:szCs w:val="24"/>
        </w:rPr>
        <w:t xml:space="preserve"> with a small decline over time</w:t>
      </w:r>
      <w:r w:rsidR="00252B81" w:rsidRPr="00346D1C">
        <w:rPr>
          <w:rFonts w:ascii="Georgia" w:eastAsia="Times New Roman" w:hAnsi="Georgia" w:cs="Times New Roman"/>
          <w:color w:val="000000" w:themeColor="text1"/>
          <w:sz w:val="24"/>
          <w:szCs w:val="24"/>
        </w:rPr>
        <w:t>,</w:t>
      </w:r>
      <w:r w:rsidRPr="00346D1C">
        <w:rPr>
          <w:rFonts w:ascii="Georgia" w:eastAsia="Times New Roman" w:hAnsi="Georgia" w:cs="Times New Roman"/>
          <w:color w:val="000000" w:themeColor="text1"/>
          <w:sz w:val="24"/>
          <w:szCs w:val="24"/>
        </w:rPr>
        <w:t xml:space="preserve"> but increased in more recent years</w:t>
      </w:r>
      <w:r w:rsidR="00254A0D" w:rsidRPr="00346D1C">
        <w:rPr>
          <w:rFonts w:ascii="Georgia" w:eastAsia="Times New Roman" w:hAnsi="Georgia" w:cs="Times New Roman"/>
          <w:color w:val="000000" w:themeColor="text1"/>
          <w:sz w:val="24"/>
          <w:szCs w:val="24"/>
        </w:rPr>
        <w:t xml:space="preserve"> and stood at nearly 6% in 2021</w:t>
      </w:r>
      <w:r w:rsidR="00595C6C" w:rsidRPr="00346D1C">
        <w:rPr>
          <w:rFonts w:ascii="Georgia" w:eastAsia="Times New Roman" w:hAnsi="Georgia" w:cs="Times New Roman"/>
          <w:color w:val="000000" w:themeColor="text1"/>
          <w:sz w:val="24"/>
          <w:szCs w:val="24"/>
        </w:rPr>
        <w:t xml:space="preserve"> </w:t>
      </w:r>
      <w:r w:rsidR="001D3C50" w:rsidRPr="00346D1C">
        <w:rPr>
          <w:rFonts w:ascii="Georgia" w:hAnsi="Georgia" w:cs="Times New Roman"/>
          <w:sz w:val="24"/>
          <w:szCs w:val="24"/>
        </w:rPr>
        <w:t>(see Table 3).</w:t>
      </w:r>
      <w:r w:rsidRPr="00346D1C">
        <w:rPr>
          <w:rFonts w:ascii="Georgia" w:eastAsia="Times New Roman" w:hAnsi="Georgia" w:cs="Times New Roman"/>
          <w:color w:val="000000" w:themeColor="text1"/>
          <w:sz w:val="24"/>
          <w:szCs w:val="24"/>
        </w:rPr>
        <w:t xml:space="preserve"> The </w:t>
      </w:r>
      <w:r w:rsidR="009534FE" w:rsidRPr="00346D1C">
        <w:rPr>
          <w:rFonts w:ascii="Georgia" w:eastAsia="Times New Roman" w:hAnsi="Georgia" w:cs="Times New Roman"/>
          <w:color w:val="000000" w:themeColor="text1"/>
          <w:sz w:val="24"/>
          <w:szCs w:val="24"/>
        </w:rPr>
        <w:t>unemployment figures s</w:t>
      </w:r>
      <w:r w:rsidR="0039194F" w:rsidRPr="00346D1C">
        <w:rPr>
          <w:rFonts w:ascii="Georgia" w:eastAsia="Times New Roman" w:hAnsi="Georgia" w:cs="Times New Roman"/>
          <w:color w:val="000000" w:themeColor="text1"/>
          <w:sz w:val="24"/>
          <w:szCs w:val="24"/>
        </w:rPr>
        <w:t>uggest</w:t>
      </w:r>
      <w:r w:rsidR="009534FE" w:rsidRPr="00346D1C">
        <w:rPr>
          <w:rFonts w:ascii="Georgia" w:eastAsia="Times New Roman" w:hAnsi="Georgia" w:cs="Times New Roman"/>
          <w:color w:val="000000" w:themeColor="text1"/>
          <w:sz w:val="24"/>
          <w:szCs w:val="24"/>
        </w:rPr>
        <w:t xml:space="preserve"> that </w:t>
      </w:r>
      <w:r w:rsidR="00FB701D" w:rsidRPr="00346D1C">
        <w:rPr>
          <w:rFonts w:ascii="Georgia" w:eastAsia="Times New Roman" w:hAnsi="Georgia" w:cs="Times New Roman"/>
          <w:color w:val="000000" w:themeColor="text1"/>
          <w:sz w:val="24"/>
          <w:szCs w:val="24"/>
        </w:rPr>
        <w:t xml:space="preserve">most of </w:t>
      </w:r>
      <w:r w:rsidR="009534FE" w:rsidRPr="00346D1C">
        <w:rPr>
          <w:rFonts w:ascii="Georgia" w:eastAsia="Times New Roman" w:hAnsi="Georgia" w:cs="Times New Roman"/>
          <w:color w:val="000000" w:themeColor="text1"/>
          <w:sz w:val="24"/>
          <w:szCs w:val="24"/>
        </w:rPr>
        <w:t xml:space="preserve">the </w:t>
      </w:r>
      <w:r w:rsidRPr="00346D1C">
        <w:rPr>
          <w:rFonts w:ascii="Georgia" w:eastAsia="Times New Roman" w:hAnsi="Georgia" w:cs="Times New Roman"/>
          <w:color w:val="000000" w:themeColor="text1"/>
          <w:sz w:val="24"/>
          <w:szCs w:val="24"/>
        </w:rPr>
        <w:t>increase occurred already before the</w:t>
      </w:r>
      <w:r w:rsidR="00212399" w:rsidRPr="00346D1C">
        <w:rPr>
          <w:rFonts w:ascii="Georgia" w:eastAsia="Times New Roman" w:hAnsi="Georgia" w:cs="Times New Roman"/>
          <w:color w:val="000000" w:themeColor="text1"/>
          <w:sz w:val="24"/>
          <w:szCs w:val="24"/>
        </w:rPr>
        <w:t xml:space="preserve"> start of the</w:t>
      </w:r>
      <w:r w:rsidRPr="00346D1C">
        <w:rPr>
          <w:rFonts w:ascii="Georgia" w:eastAsia="Times New Roman" w:hAnsi="Georgia" w:cs="Times New Roman"/>
          <w:color w:val="000000" w:themeColor="text1"/>
          <w:sz w:val="24"/>
          <w:szCs w:val="24"/>
        </w:rPr>
        <w:t xml:space="preserve"> </w:t>
      </w:r>
      <w:r w:rsidR="00401BC3" w:rsidRPr="00346D1C">
        <w:rPr>
          <w:rFonts w:ascii="Georgia" w:eastAsia="Times New Roman" w:hAnsi="Georgia" w:cs="Times New Roman"/>
          <w:color w:val="000000" w:themeColor="text1"/>
          <w:sz w:val="24"/>
          <w:szCs w:val="24"/>
        </w:rPr>
        <w:t>COVID-19 pandemic</w:t>
      </w:r>
      <w:r w:rsidRPr="00346D1C">
        <w:rPr>
          <w:rFonts w:ascii="Georgia" w:eastAsia="Times New Roman" w:hAnsi="Georgia" w:cs="Times New Roman"/>
          <w:color w:val="000000" w:themeColor="text1"/>
          <w:sz w:val="24"/>
          <w:szCs w:val="24"/>
        </w:rPr>
        <w:t>.</w:t>
      </w:r>
      <w:r w:rsidR="0039194F" w:rsidRPr="00346D1C">
        <w:rPr>
          <w:rStyle w:val="FootnoteReference"/>
          <w:rFonts w:ascii="Georgia" w:eastAsia="Times New Roman" w:hAnsi="Georgia" w:cs="Times New Roman"/>
          <w:color w:val="000000" w:themeColor="text1"/>
          <w:sz w:val="24"/>
          <w:szCs w:val="24"/>
        </w:rPr>
        <w:footnoteReference w:id="17"/>
      </w:r>
      <w:r w:rsidRPr="00346D1C">
        <w:rPr>
          <w:rFonts w:ascii="Georgia" w:eastAsia="Times New Roman" w:hAnsi="Georgia" w:cs="Times New Roman"/>
          <w:color w:val="000000" w:themeColor="text1"/>
          <w:sz w:val="24"/>
          <w:szCs w:val="24"/>
        </w:rPr>
        <w:t xml:space="preserve"> </w:t>
      </w:r>
      <w:r w:rsidR="00252B81" w:rsidRPr="00346D1C">
        <w:rPr>
          <w:rFonts w:ascii="Georgia" w:hAnsi="Georgia" w:cs="Times New Roman"/>
          <w:sz w:val="24"/>
          <w:szCs w:val="24"/>
        </w:rPr>
        <w:fldChar w:fldCharType="begin"/>
      </w:r>
      <w:r w:rsidR="00252B81" w:rsidRPr="00346D1C">
        <w:rPr>
          <w:rFonts w:ascii="Georgia" w:hAnsi="Georgia" w:cs="Times New Roman"/>
          <w:sz w:val="24"/>
          <w:szCs w:val="24"/>
        </w:rPr>
        <w:instrText xml:space="preserve"> REF _Ref117242964 \h  \* MERGEFORMAT </w:instrText>
      </w:r>
      <w:r w:rsidR="00252B81" w:rsidRPr="00346D1C">
        <w:rPr>
          <w:rFonts w:ascii="Georgia" w:hAnsi="Georgia" w:cs="Times New Roman"/>
          <w:sz w:val="24"/>
          <w:szCs w:val="24"/>
        </w:rPr>
      </w:r>
      <w:r w:rsidR="00252B81"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6</w:t>
      </w:r>
      <w:r w:rsidR="00252B81" w:rsidRPr="00346D1C">
        <w:rPr>
          <w:rFonts w:ascii="Georgia" w:hAnsi="Georgia" w:cs="Times New Roman"/>
          <w:sz w:val="24"/>
          <w:szCs w:val="24"/>
        </w:rPr>
        <w:fldChar w:fldCharType="end"/>
      </w:r>
      <w:r w:rsidR="000F6B1B" w:rsidRPr="00346D1C">
        <w:rPr>
          <w:rFonts w:ascii="Georgia" w:hAnsi="Georgia" w:cs="Times New Roman"/>
          <w:sz w:val="24"/>
          <w:szCs w:val="24"/>
        </w:rPr>
        <w:t>b</w:t>
      </w:r>
      <w:r w:rsidR="00252B81" w:rsidRPr="00346D1C">
        <w:rPr>
          <w:rFonts w:ascii="Georgia" w:hAnsi="Georgia" w:cs="Times New Roman"/>
          <w:sz w:val="24"/>
          <w:szCs w:val="24"/>
        </w:rPr>
        <w:t xml:space="preserve"> </w:t>
      </w:r>
      <w:r w:rsidR="00FB5A66" w:rsidRPr="00346D1C">
        <w:rPr>
          <w:rFonts w:ascii="Georgia" w:eastAsia="Times New Roman" w:hAnsi="Georgia" w:cs="Times New Roman"/>
          <w:color w:val="000000" w:themeColor="text1"/>
          <w:sz w:val="24"/>
          <w:szCs w:val="24"/>
        </w:rPr>
        <w:t>show</w:t>
      </w:r>
      <w:r w:rsidR="00252B81" w:rsidRPr="00346D1C">
        <w:rPr>
          <w:rFonts w:ascii="Georgia" w:eastAsia="Times New Roman" w:hAnsi="Georgia" w:cs="Times New Roman"/>
          <w:color w:val="000000" w:themeColor="text1"/>
          <w:sz w:val="24"/>
          <w:szCs w:val="24"/>
        </w:rPr>
        <w:t>s</w:t>
      </w:r>
      <w:r w:rsidR="00FB5A66" w:rsidRPr="00346D1C">
        <w:rPr>
          <w:rFonts w:ascii="Georgia" w:eastAsia="Times New Roman" w:hAnsi="Georgia" w:cs="Times New Roman"/>
          <w:color w:val="000000" w:themeColor="text1"/>
          <w:sz w:val="24"/>
          <w:szCs w:val="24"/>
        </w:rPr>
        <w:t xml:space="preserve"> that </w:t>
      </w:r>
      <w:r w:rsidR="00A22BC8" w:rsidRPr="00346D1C">
        <w:rPr>
          <w:rFonts w:ascii="Georgia" w:eastAsia="Times New Roman" w:hAnsi="Georgia" w:cs="Times New Roman"/>
          <w:color w:val="000000" w:themeColor="text1"/>
          <w:sz w:val="24"/>
          <w:szCs w:val="24"/>
        </w:rPr>
        <w:t xml:space="preserve">the </w:t>
      </w:r>
      <w:r w:rsidR="00AE1DCB" w:rsidRPr="00346D1C">
        <w:rPr>
          <w:rFonts w:ascii="Georgia" w:eastAsia="Times New Roman" w:hAnsi="Georgia" w:cs="Times New Roman"/>
          <w:color w:val="000000" w:themeColor="text1"/>
          <w:sz w:val="24"/>
          <w:szCs w:val="24"/>
        </w:rPr>
        <w:t xml:space="preserve">rate of unemployment of women </w:t>
      </w:r>
      <w:r w:rsidR="00A4575A" w:rsidRPr="00346D1C">
        <w:rPr>
          <w:rFonts w:ascii="Georgia" w:eastAsia="Times New Roman" w:hAnsi="Georgia" w:cs="Times New Roman"/>
          <w:color w:val="000000" w:themeColor="text1"/>
          <w:sz w:val="24"/>
          <w:szCs w:val="24"/>
        </w:rPr>
        <w:t xml:space="preserve">in all the years </w:t>
      </w:r>
      <w:r w:rsidR="000C08BC" w:rsidRPr="00346D1C">
        <w:rPr>
          <w:rFonts w:ascii="Georgia" w:eastAsia="Times New Roman" w:hAnsi="Georgia" w:cs="Times New Roman"/>
          <w:color w:val="000000" w:themeColor="text1"/>
          <w:sz w:val="24"/>
          <w:szCs w:val="24"/>
        </w:rPr>
        <w:t xml:space="preserve">was </w:t>
      </w:r>
      <w:r w:rsidR="00AE1DCB" w:rsidRPr="00346D1C">
        <w:rPr>
          <w:rFonts w:ascii="Georgia" w:eastAsia="Times New Roman" w:hAnsi="Georgia" w:cs="Times New Roman"/>
          <w:color w:val="000000" w:themeColor="text1"/>
          <w:sz w:val="24"/>
          <w:szCs w:val="24"/>
        </w:rPr>
        <w:t>slightly higher than that of men</w:t>
      </w:r>
      <w:r w:rsidR="009F65C3" w:rsidRPr="00346D1C">
        <w:rPr>
          <w:rFonts w:ascii="Georgia" w:eastAsia="Times New Roman" w:hAnsi="Georgia" w:cs="Times New Roman"/>
          <w:color w:val="000000" w:themeColor="text1"/>
          <w:sz w:val="24"/>
          <w:szCs w:val="24"/>
        </w:rPr>
        <w:t>.</w:t>
      </w:r>
      <w:r w:rsidR="001C3D4E" w:rsidRPr="00346D1C">
        <w:rPr>
          <w:rFonts w:ascii="Georgia" w:eastAsia="Times New Roman" w:hAnsi="Georgia" w:cs="Times New Roman"/>
          <w:color w:val="000000" w:themeColor="text1"/>
          <w:sz w:val="24"/>
          <w:szCs w:val="24"/>
        </w:rPr>
        <w:t xml:space="preserve"> </w:t>
      </w:r>
      <w:r w:rsidR="002F3EF7" w:rsidRPr="00346D1C">
        <w:rPr>
          <w:rFonts w:ascii="Georgia" w:eastAsia="Times New Roman" w:hAnsi="Georgia" w:cs="Times New Roman"/>
          <w:color w:val="000000" w:themeColor="text1"/>
          <w:sz w:val="24"/>
          <w:szCs w:val="24"/>
        </w:rPr>
        <w:t xml:space="preserve">The same holds </w:t>
      </w:r>
      <w:r w:rsidR="00CD3871" w:rsidRPr="00346D1C">
        <w:rPr>
          <w:rFonts w:ascii="Georgia" w:eastAsia="Times New Roman" w:hAnsi="Georgia" w:cs="Times New Roman"/>
          <w:color w:val="000000" w:themeColor="text1"/>
          <w:sz w:val="24"/>
          <w:szCs w:val="24"/>
        </w:rPr>
        <w:t xml:space="preserve">true </w:t>
      </w:r>
      <w:r w:rsidR="002F3EF7" w:rsidRPr="00346D1C">
        <w:rPr>
          <w:rFonts w:ascii="Georgia" w:eastAsia="Times New Roman" w:hAnsi="Georgia" w:cs="Times New Roman"/>
          <w:color w:val="000000" w:themeColor="text1"/>
          <w:sz w:val="24"/>
          <w:szCs w:val="24"/>
        </w:rPr>
        <w:t xml:space="preserve">for </w:t>
      </w:r>
      <w:r w:rsidR="00D6707B" w:rsidRPr="00346D1C">
        <w:rPr>
          <w:rFonts w:ascii="Georgia" w:eastAsia="Times New Roman" w:hAnsi="Georgia" w:cs="Times New Roman"/>
          <w:color w:val="000000" w:themeColor="text1"/>
          <w:sz w:val="24"/>
          <w:szCs w:val="24"/>
        </w:rPr>
        <w:t>youth</w:t>
      </w:r>
      <w:r w:rsidR="00614D07" w:rsidRPr="00346D1C">
        <w:rPr>
          <w:rFonts w:ascii="Georgia" w:eastAsia="Times New Roman" w:hAnsi="Georgia" w:cs="Times New Roman"/>
          <w:color w:val="000000" w:themeColor="text1"/>
          <w:sz w:val="24"/>
          <w:szCs w:val="24"/>
        </w:rPr>
        <w:t xml:space="preserve"> </w:t>
      </w:r>
      <w:r w:rsidR="00B82511" w:rsidRPr="00346D1C">
        <w:rPr>
          <w:rFonts w:ascii="Georgia" w:eastAsia="Times New Roman" w:hAnsi="Georgia" w:cs="Times New Roman"/>
          <w:color w:val="000000" w:themeColor="text1"/>
          <w:sz w:val="24"/>
          <w:szCs w:val="24"/>
        </w:rPr>
        <w:t>unemployment</w:t>
      </w:r>
      <w:r w:rsidR="00614D07" w:rsidRPr="00346D1C">
        <w:rPr>
          <w:rFonts w:ascii="Georgia" w:eastAsia="Times New Roman" w:hAnsi="Georgia" w:cs="Times New Roman"/>
          <w:color w:val="000000" w:themeColor="text1"/>
          <w:sz w:val="24"/>
          <w:szCs w:val="24"/>
        </w:rPr>
        <w:t xml:space="preserve">, </w:t>
      </w:r>
      <w:r w:rsidR="00BF5D83" w:rsidRPr="00346D1C">
        <w:rPr>
          <w:rFonts w:ascii="Georgia" w:eastAsia="Times New Roman" w:hAnsi="Georgia" w:cs="Times New Roman"/>
          <w:color w:val="000000" w:themeColor="text1"/>
          <w:sz w:val="24"/>
          <w:szCs w:val="24"/>
        </w:rPr>
        <w:t xml:space="preserve">though the rates of unemployment </w:t>
      </w:r>
      <w:r w:rsidR="00CC7AF5" w:rsidRPr="00346D1C">
        <w:rPr>
          <w:rFonts w:ascii="Georgia" w:eastAsia="Times New Roman" w:hAnsi="Georgia" w:cs="Times New Roman"/>
          <w:color w:val="000000" w:themeColor="text1"/>
          <w:sz w:val="24"/>
          <w:szCs w:val="24"/>
        </w:rPr>
        <w:t xml:space="preserve">among </w:t>
      </w:r>
      <w:r w:rsidR="0045766E" w:rsidRPr="00346D1C">
        <w:rPr>
          <w:rFonts w:ascii="Georgia" w:eastAsia="Times New Roman" w:hAnsi="Georgia" w:cs="Times New Roman"/>
          <w:color w:val="000000" w:themeColor="text1"/>
          <w:sz w:val="24"/>
          <w:szCs w:val="24"/>
        </w:rPr>
        <w:t xml:space="preserve">male and female youth were more </w:t>
      </w:r>
      <w:r w:rsidR="00714316" w:rsidRPr="00346D1C">
        <w:rPr>
          <w:rFonts w:ascii="Georgia" w:eastAsia="Times New Roman" w:hAnsi="Georgia" w:cs="Times New Roman"/>
          <w:color w:val="000000" w:themeColor="text1"/>
          <w:sz w:val="24"/>
          <w:szCs w:val="24"/>
        </w:rPr>
        <w:t xml:space="preserve">than </w:t>
      </w:r>
      <w:r w:rsidR="0045766E" w:rsidRPr="00346D1C">
        <w:rPr>
          <w:rFonts w:ascii="Georgia" w:eastAsia="Times New Roman" w:hAnsi="Georgia" w:cs="Times New Roman"/>
          <w:color w:val="000000" w:themeColor="text1"/>
          <w:sz w:val="24"/>
          <w:szCs w:val="24"/>
        </w:rPr>
        <w:t xml:space="preserve">double the </w:t>
      </w:r>
      <w:r w:rsidR="003C2472" w:rsidRPr="00346D1C">
        <w:rPr>
          <w:rFonts w:ascii="Georgia" w:eastAsia="Times New Roman" w:hAnsi="Georgia" w:cs="Times New Roman"/>
          <w:color w:val="000000" w:themeColor="text1"/>
          <w:sz w:val="24"/>
          <w:szCs w:val="24"/>
        </w:rPr>
        <w:t xml:space="preserve">overall </w:t>
      </w:r>
      <w:r w:rsidR="00072B6F" w:rsidRPr="00346D1C">
        <w:rPr>
          <w:rFonts w:ascii="Georgia" w:eastAsia="Times New Roman" w:hAnsi="Georgia" w:cs="Times New Roman"/>
          <w:color w:val="000000" w:themeColor="text1"/>
          <w:sz w:val="24"/>
          <w:szCs w:val="24"/>
        </w:rPr>
        <w:t>fe</w:t>
      </w:r>
      <w:r w:rsidR="003C2472" w:rsidRPr="00346D1C">
        <w:rPr>
          <w:rFonts w:ascii="Georgia" w:eastAsia="Times New Roman" w:hAnsi="Georgia" w:cs="Times New Roman"/>
          <w:color w:val="000000" w:themeColor="text1"/>
          <w:sz w:val="24"/>
          <w:szCs w:val="24"/>
        </w:rPr>
        <w:t>male and male unem</w:t>
      </w:r>
      <w:r w:rsidR="0003356B" w:rsidRPr="00346D1C">
        <w:rPr>
          <w:rFonts w:ascii="Georgia" w:eastAsia="Times New Roman" w:hAnsi="Georgia" w:cs="Times New Roman"/>
          <w:color w:val="000000" w:themeColor="text1"/>
          <w:sz w:val="24"/>
          <w:szCs w:val="24"/>
        </w:rPr>
        <w:t>p</w:t>
      </w:r>
      <w:r w:rsidR="003C2472" w:rsidRPr="00346D1C">
        <w:rPr>
          <w:rFonts w:ascii="Georgia" w:eastAsia="Times New Roman" w:hAnsi="Georgia" w:cs="Times New Roman"/>
          <w:color w:val="000000" w:themeColor="text1"/>
          <w:sz w:val="24"/>
          <w:szCs w:val="24"/>
        </w:rPr>
        <w:t xml:space="preserve">loyment rates </w:t>
      </w:r>
      <w:r w:rsidR="000C635C" w:rsidRPr="00346D1C">
        <w:rPr>
          <w:rFonts w:ascii="Georgia" w:eastAsia="Times New Roman" w:hAnsi="Georgia" w:cs="Times New Roman"/>
          <w:color w:val="000000" w:themeColor="text1"/>
          <w:sz w:val="24"/>
          <w:szCs w:val="24"/>
        </w:rPr>
        <w:t>(</w:t>
      </w:r>
      <w:r w:rsidR="00485455" w:rsidRPr="00346D1C">
        <w:rPr>
          <w:rFonts w:ascii="Georgia" w:eastAsia="Times New Roman" w:hAnsi="Georgia" w:cs="Times New Roman"/>
          <w:color w:val="000000" w:themeColor="text1"/>
          <w:sz w:val="24"/>
          <w:szCs w:val="24"/>
        </w:rPr>
        <w:t xml:space="preserve">see </w:t>
      </w:r>
      <w:r w:rsidR="00A43583" w:rsidRPr="00346D1C">
        <w:rPr>
          <w:rFonts w:ascii="Georgia" w:eastAsia="Times New Roman" w:hAnsi="Georgia" w:cs="Times New Roman"/>
          <w:color w:val="000000" w:themeColor="text1"/>
          <w:sz w:val="24"/>
          <w:szCs w:val="24"/>
        </w:rPr>
        <w:t>World Development Indicators</w:t>
      </w:r>
      <w:r w:rsidR="00485455" w:rsidRPr="00346D1C">
        <w:rPr>
          <w:rFonts w:ascii="Georgia" w:eastAsia="Times New Roman" w:hAnsi="Georgia" w:cs="Times New Roman"/>
          <w:color w:val="000000" w:themeColor="text1"/>
          <w:sz w:val="24"/>
          <w:szCs w:val="24"/>
        </w:rPr>
        <w:t xml:space="preserve"> database</w:t>
      </w:r>
      <w:r w:rsidR="00A43583" w:rsidRPr="00346D1C">
        <w:rPr>
          <w:rFonts w:ascii="Georgia" w:eastAsia="Times New Roman" w:hAnsi="Georgia" w:cs="Times New Roman"/>
          <w:color w:val="000000" w:themeColor="text1"/>
          <w:sz w:val="24"/>
          <w:szCs w:val="24"/>
        </w:rPr>
        <w:t>).</w:t>
      </w:r>
      <w:r w:rsidR="000F14D1" w:rsidRPr="00346D1C">
        <w:rPr>
          <w:rFonts w:ascii="Georgia" w:eastAsia="Times New Roman" w:hAnsi="Georgia" w:cs="Times New Roman"/>
          <w:color w:val="000000" w:themeColor="text1"/>
          <w:sz w:val="24"/>
          <w:szCs w:val="24"/>
        </w:rPr>
        <w:t xml:space="preserve"> </w:t>
      </w:r>
    </w:p>
    <w:p w14:paraId="0B52F8FA" w14:textId="142BF3EF" w:rsidR="00FB5A66" w:rsidRPr="00346D1C" w:rsidRDefault="00516B47" w:rsidP="00691BD9">
      <w:pPr>
        <w:spacing w:after="120" w:line="240" w:lineRule="auto"/>
        <w:jc w:val="both"/>
        <w:rPr>
          <w:rFonts w:ascii="Georgia" w:eastAsia="Times New Roman" w:hAnsi="Georgia" w:cs="Times New Roman"/>
          <w:color w:val="000000" w:themeColor="text1"/>
          <w:sz w:val="24"/>
          <w:szCs w:val="24"/>
        </w:rPr>
      </w:pPr>
      <w:r w:rsidRPr="00346D1C">
        <w:rPr>
          <w:rFonts w:ascii="Georgia" w:eastAsia="Times New Roman" w:hAnsi="Georgia" w:cs="Times New Roman"/>
          <w:color w:val="000000" w:themeColor="text1"/>
          <w:sz w:val="24"/>
          <w:szCs w:val="24"/>
        </w:rPr>
        <w:t xml:space="preserve">During </w:t>
      </w:r>
      <w:r w:rsidR="007D3E4A" w:rsidRPr="00346D1C">
        <w:rPr>
          <w:rFonts w:ascii="Georgia" w:eastAsia="Times New Roman" w:hAnsi="Georgia" w:cs="Times New Roman"/>
          <w:color w:val="000000" w:themeColor="text1"/>
          <w:sz w:val="24"/>
          <w:szCs w:val="24"/>
        </w:rPr>
        <w:t xml:space="preserve">the pandemic, the higher unemployment rate may have </w:t>
      </w:r>
      <w:r w:rsidR="00AE339F" w:rsidRPr="00346D1C">
        <w:rPr>
          <w:rFonts w:ascii="Georgia" w:eastAsia="Times New Roman" w:hAnsi="Georgia" w:cs="Times New Roman"/>
          <w:color w:val="000000" w:themeColor="text1"/>
          <w:sz w:val="24"/>
          <w:szCs w:val="24"/>
        </w:rPr>
        <w:t>contributed to increases in poverty and inequality.</w:t>
      </w:r>
      <w:r w:rsidR="000C1B11" w:rsidRPr="00346D1C">
        <w:rPr>
          <w:rFonts w:ascii="Georgia" w:eastAsia="Times New Roman" w:hAnsi="Georgia" w:cs="Times New Roman"/>
          <w:color w:val="000000" w:themeColor="text1"/>
          <w:sz w:val="24"/>
          <w:szCs w:val="24"/>
        </w:rPr>
        <w:t xml:space="preserve"> </w:t>
      </w:r>
      <w:r w:rsidR="000F7526" w:rsidRPr="00346D1C">
        <w:rPr>
          <w:rFonts w:ascii="Georgia" w:eastAsia="Times New Roman" w:hAnsi="Georgia" w:cs="Times New Roman"/>
          <w:color w:val="000000" w:themeColor="text1"/>
          <w:sz w:val="24"/>
          <w:szCs w:val="24"/>
        </w:rPr>
        <w:t>The rate continued to increase among women in 2021.</w:t>
      </w:r>
      <w:r w:rsidR="007271E5" w:rsidRPr="00346D1C">
        <w:rPr>
          <w:rFonts w:ascii="Georgia" w:eastAsia="Times New Roman" w:hAnsi="Georgia" w:cs="Times New Roman"/>
          <w:color w:val="000000" w:themeColor="text1"/>
          <w:sz w:val="24"/>
          <w:szCs w:val="24"/>
        </w:rPr>
        <w:t xml:space="preserve"> KIPPRA (2022) </w:t>
      </w:r>
      <w:r w:rsidR="004B78FA" w:rsidRPr="00346D1C">
        <w:rPr>
          <w:rFonts w:ascii="Georgia" w:eastAsia="Times New Roman" w:hAnsi="Georgia" w:cs="Times New Roman"/>
          <w:color w:val="000000" w:themeColor="text1"/>
          <w:sz w:val="24"/>
          <w:szCs w:val="24"/>
        </w:rPr>
        <w:t xml:space="preserve">observed that the </w:t>
      </w:r>
      <w:r w:rsidR="007271E5" w:rsidRPr="00346D1C">
        <w:rPr>
          <w:rFonts w:ascii="Georgia" w:eastAsia="Times New Roman" w:hAnsi="Georgia" w:cs="Times New Roman"/>
          <w:color w:val="000000" w:themeColor="text1"/>
          <w:sz w:val="24"/>
          <w:szCs w:val="24"/>
        </w:rPr>
        <w:t>‘rise of unemployment particularly among the vulnerable groups such as women and youth, and</w:t>
      </w:r>
      <w:r w:rsidR="00C403EB" w:rsidRPr="00346D1C">
        <w:rPr>
          <w:rFonts w:ascii="Georgia" w:eastAsia="Times New Roman" w:hAnsi="Georgia" w:cs="Times New Roman"/>
          <w:color w:val="000000" w:themeColor="text1"/>
          <w:sz w:val="24"/>
          <w:szCs w:val="24"/>
        </w:rPr>
        <w:t xml:space="preserve"> </w:t>
      </w:r>
      <w:r w:rsidR="007271E5" w:rsidRPr="00346D1C">
        <w:rPr>
          <w:rFonts w:ascii="Georgia" w:eastAsia="Times New Roman" w:hAnsi="Georgia" w:cs="Times New Roman"/>
          <w:color w:val="000000" w:themeColor="text1"/>
          <w:sz w:val="24"/>
          <w:szCs w:val="24"/>
        </w:rPr>
        <w:t>the decrease in labour force participation can have severe long-term inequality and other undesirable developmental outcomes.’</w:t>
      </w:r>
      <w:r w:rsidR="00AE339F" w:rsidRPr="00346D1C">
        <w:rPr>
          <w:rFonts w:ascii="Georgia" w:eastAsia="Times New Roman" w:hAnsi="Georgia" w:cs="Times New Roman"/>
          <w:color w:val="000000" w:themeColor="text1"/>
          <w:sz w:val="24"/>
          <w:szCs w:val="24"/>
        </w:rPr>
        <w:t xml:space="preserve"> </w:t>
      </w:r>
      <w:r w:rsidR="00061CB0" w:rsidRPr="00346D1C">
        <w:rPr>
          <w:rFonts w:ascii="Georgia" w:eastAsia="Times New Roman" w:hAnsi="Georgia" w:cs="Times New Roman"/>
          <w:color w:val="000000" w:themeColor="text1"/>
          <w:sz w:val="24"/>
          <w:szCs w:val="24"/>
        </w:rPr>
        <w:t xml:space="preserve">In normal times, however, unemployment is not seen as </w:t>
      </w:r>
      <w:r w:rsidR="006B5957" w:rsidRPr="00346D1C">
        <w:rPr>
          <w:rFonts w:ascii="Georgia" w:eastAsia="Times New Roman" w:hAnsi="Georgia" w:cs="Times New Roman"/>
          <w:color w:val="000000" w:themeColor="text1"/>
          <w:sz w:val="24"/>
          <w:szCs w:val="24"/>
        </w:rPr>
        <w:t>a</w:t>
      </w:r>
      <w:r w:rsidR="00061CB0" w:rsidRPr="00346D1C">
        <w:rPr>
          <w:rFonts w:ascii="Georgia" w:eastAsia="Times New Roman" w:hAnsi="Georgia" w:cs="Times New Roman"/>
          <w:color w:val="000000" w:themeColor="text1"/>
          <w:sz w:val="24"/>
          <w:szCs w:val="24"/>
        </w:rPr>
        <w:t xml:space="preserve"> </w:t>
      </w:r>
      <w:r w:rsidR="006B5957" w:rsidRPr="00346D1C">
        <w:rPr>
          <w:rFonts w:ascii="Georgia" w:eastAsia="Times New Roman" w:hAnsi="Georgia" w:cs="Times New Roman"/>
          <w:color w:val="000000" w:themeColor="text1"/>
          <w:sz w:val="24"/>
          <w:szCs w:val="24"/>
        </w:rPr>
        <w:t xml:space="preserve">major factor causing poverty and inequality. </w:t>
      </w:r>
      <w:r w:rsidR="00327DB5" w:rsidRPr="00346D1C">
        <w:rPr>
          <w:rFonts w:ascii="Georgia" w:eastAsia="Times New Roman" w:hAnsi="Georgia" w:cs="Times New Roman"/>
          <w:color w:val="000000" w:themeColor="text1"/>
          <w:sz w:val="24"/>
          <w:szCs w:val="24"/>
        </w:rPr>
        <w:t xml:space="preserve">Underemployment and </w:t>
      </w:r>
      <w:r w:rsidR="003E05EA" w:rsidRPr="00346D1C">
        <w:rPr>
          <w:rFonts w:ascii="Georgia" w:eastAsia="Times New Roman" w:hAnsi="Georgia" w:cs="Times New Roman"/>
          <w:color w:val="000000" w:themeColor="text1"/>
          <w:sz w:val="24"/>
          <w:szCs w:val="24"/>
        </w:rPr>
        <w:t xml:space="preserve">the large number of working poor </w:t>
      </w:r>
      <w:r w:rsidR="00496359" w:rsidRPr="00346D1C">
        <w:rPr>
          <w:rFonts w:ascii="Georgia" w:eastAsia="Times New Roman" w:hAnsi="Georgia" w:cs="Times New Roman"/>
          <w:color w:val="000000" w:themeColor="text1"/>
          <w:sz w:val="24"/>
          <w:szCs w:val="24"/>
        </w:rPr>
        <w:t xml:space="preserve">are </w:t>
      </w:r>
      <w:r w:rsidR="00483B57" w:rsidRPr="00346D1C">
        <w:rPr>
          <w:rFonts w:ascii="Georgia" w:eastAsia="Times New Roman" w:hAnsi="Georgia" w:cs="Times New Roman"/>
          <w:color w:val="000000" w:themeColor="text1"/>
          <w:sz w:val="24"/>
          <w:szCs w:val="24"/>
        </w:rPr>
        <w:t>co</w:t>
      </w:r>
      <w:r w:rsidR="006862E9" w:rsidRPr="00346D1C">
        <w:rPr>
          <w:rFonts w:ascii="Georgia" w:eastAsia="Times New Roman" w:hAnsi="Georgia" w:cs="Times New Roman"/>
          <w:color w:val="000000" w:themeColor="text1"/>
          <w:sz w:val="24"/>
          <w:szCs w:val="24"/>
        </w:rPr>
        <w:t xml:space="preserve">nsidered more important </w:t>
      </w:r>
      <w:r w:rsidR="00483B57" w:rsidRPr="00346D1C">
        <w:rPr>
          <w:rFonts w:ascii="Georgia" w:eastAsia="Times New Roman" w:hAnsi="Georgia" w:cs="Times New Roman"/>
          <w:color w:val="000000" w:themeColor="text1"/>
          <w:sz w:val="24"/>
          <w:szCs w:val="24"/>
        </w:rPr>
        <w:t xml:space="preserve">labour market problems and </w:t>
      </w:r>
      <w:r w:rsidR="006728CA" w:rsidRPr="00346D1C">
        <w:rPr>
          <w:rFonts w:ascii="Georgia" w:eastAsia="Times New Roman" w:hAnsi="Georgia" w:cs="Times New Roman"/>
          <w:color w:val="000000" w:themeColor="text1"/>
          <w:sz w:val="24"/>
          <w:szCs w:val="24"/>
        </w:rPr>
        <w:t xml:space="preserve">likely </w:t>
      </w:r>
      <w:r w:rsidR="008F0A4D" w:rsidRPr="00346D1C">
        <w:rPr>
          <w:rFonts w:ascii="Georgia" w:eastAsia="Times New Roman" w:hAnsi="Georgia" w:cs="Times New Roman"/>
          <w:color w:val="000000" w:themeColor="text1"/>
          <w:sz w:val="24"/>
          <w:szCs w:val="24"/>
        </w:rPr>
        <w:t xml:space="preserve">causes of </w:t>
      </w:r>
      <w:r w:rsidR="006D0A32" w:rsidRPr="00346D1C">
        <w:rPr>
          <w:rFonts w:ascii="Georgia" w:eastAsia="Times New Roman" w:hAnsi="Georgia" w:cs="Times New Roman"/>
          <w:color w:val="000000" w:themeColor="text1"/>
          <w:sz w:val="24"/>
          <w:szCs w:val="24"/>
        </w:rPr>
        <w:t>overall poverty and income inequality (</w:t>
      </w:r>
      <w:r w:rsidR="006728CA" w:rsidRPr="00346D1C">
        <w:rPr>
          <w:rFonts w:ascii="Georgia" w:eastAsia="Times New Roman" w:hAnsi="Georgia" w:cs="Times New Roman"/>
          <w:color w:val="000000" w:themeColor="text1"/>
          <w:sz w:val="24"/>
          <w:szCs w:val="24"/>
        </w:rPr>
        <w:t>cf. Bigsten et al., 2016</w:t>
      </w:r>
      <w:r w:rsidR="005366DF" w:rsidRPr="00346D1C">
        <w:rPr>
          <w:rFonts w:ascii="Georgia" w:eastAsia="Times New Roman" w:hAnsi="Georgia" w:cs="Times New Roman"/>
          <w:color w:val="000000" w:themeColor="text1"/>
          <w:sz w:val="24"/>
          <w:szCs w:val="24"/>
        </w:rPr>
        <w:t>: 359</w:t>
      </w:r>
      <w:r w:rsidR="00095A63" w:rsidRPr="00346D1C">
        <w:rPr>
          <w:rFonts w:ascii="Georgia" w:eastAsia="Times New Roman" w:hAnsi="Georgia" w:cs="Times New Roman"/>
          <w:color w:val="000000" w:themeColor="text1"/>
          <w:sz w:val="24"/>
          <w:szCs w:val="24"/>
        </w:rPr>
        <w:t>; World Bank, 2021</w:t>
      </w:r>
      <w:r w:rsidR="00760B49" w:rsidRPr="00346D1C">
        <w:rPr>
          <w:rFonts w:ascii="Georgia" w:eastAsia="Times New Roman" w:hAnsi="Georgia" w:cs="Times New Roman"/>
          <w:color w:val="000000" w:themeColor="text1"/>
          <w:sz w:val="24"/>
          <w:szCs w:val="24"/>
        </w:rPr>
        <w:t>a</w:t>
      </w:r>
      <w:r w:rsidR="00095A63" w:rsidRPr="00346D1C">
        <w:rPr>
          <w:rFonts w:ascii="Georgia" w:eastAsia="Times New Roman" w:hAnsi="Georgia" w:cs="Times New Roman"/>
          <w:color w:val="000000" w:themeColor="text1"/>
          <w:sz w:val="24"/>
          <w:szCs w:val="24"/>
        </w:rPr>
        <w:t>: 30).</w:t>
      </w:r>
      <w:r w:rsidR="00937F2B" w:rsidRPr="00346D1C">
        <w:rPr>
          <w:rStyle w:val="FootnoteReference"/>
          <w:rFonts w:ascii="Georgia" w:eastAsia="Times New Roman" w:hAnsi="Georgia" w:cs="Times New Roman"/>
          <w:color w:val="000000" w:themeColor="text1"/>
          <w:sz w:val="24"/>
          <w:szCs w:val="24"/>
        </w:rPr>
        <w:footnoteReference w:id="18"/>
      </w:r>
      <w:r w:rsidR="00B82511" w:rsidRPr="00346D1C">
        <w:rPr>
          <w:rFonts w:ascii="Georgia" w:eastAsia="Times New Roman" w:hAnsi="Georgia" w:cs="Times New Roman"/>
          <w:color w:val="000000" w:themeColor="text1"/>
          <w:sz w:val="24"/>
          <w:szCs w:val="24"/>
        </w:rPr>
        <w:t xml:space="preserve"> </w:t>
      </w:r>
      <w:r w:rsidR="00AF7D57" w:rsidRPr="00346D1C">
        <w:rPr>
          <w:rFonts w:ascii="Georgia" w:eastAsia="Times New Roman" w:hAnsi="Georgia" w:cs="Times New Roman"/>
          <w:color w:val="000000" w:themeColor="text1"/>
          <w:sz w:val="24"/>
          <w:szCs w:val="24"/>
        </w:rPr>
        <w:t xml:space="preserve">The rate of underemployment was estimated </w:t>
      </w:r>
      <w:r w:rsidR="00084507" w:rsidRPr="00346D1C">
        <w:rPr>
          <w:rFonts w:ascii="Georgia" w:eastAsia="Times New Roman" w:hAnsi="Georgia" w:cs="Times New Roman"/>
          <w:color w:val="000000" w:themeColor="text1"/>
          <w:sz w:val="24"/>
          <w:szCs w:val="24"/>
        </w:rPr>
        <w:t xml:space="preserve">at 20% in 2015/16, compared to </w:t>
      </w:r>
      <w:r w:rsidR="001270B5" w:rsidRPr="00346D1C">
        <w:rPr>
          <w:rFonts w:ascii="Georgia" w:eastAsia="Times New Roman" w:hAnsi="Georgia" w:cs="Times New Roman"/>
          <w:color w:val="000000" w:themeColor="text1"/>
          <w:sz w:val="24"/>
          <w:szCs w:val="24"/>
        </w:rPr>
        <w:t>an estimated unemployment rate of 7% (MoL, 2021: 11)</w:t>
      </w:r>
      <w:r w:rsidR="004A3A73" w:rsidRPr="00346D1C">
        <w:rPr>
          <w:rFonts w:ascii="Georgia" w:eastAsia="Times New Roman" w:hAnsi="Georgia" w:cs="Times New Roman"/>
          <w:color w:val="000000" w:themeColor="text1"/>
          <w:sz w:val="24"/>
          <w:szCs w:val="24"/>
        </w:rPr>
        <w:t xml:space="preserve">. </w:t>
      </w:r>
      <w:r w:rsidR="00BC4EF4" w:rsidRPr="00346D1C">
        <w:rPr>
          <w:rFonts w:ascii="Georgia" w:eastAsia="Times New Roman" w:hAnsi="Georgia" w:cs="Times New Roman"/>
          <w:color w:val="000000" w:themeColor="text1"/>
          <w:sz w:val="24"/>
          <w:szCs w:val="24"/>
        </w:rPr>
        <w:t xml:space="preserve">The combined unemployment and underemployment rate increased between 2015/16 and 2019 and was </w:t>
      </w:r>
      <w:r w:rsidR="00F024A2" w:rsidRPr="00346D1C">
        <w:rPr>
          <w:rFonts w:ascii="Georgia" w:eastAsia="Times New Roman" w:hAnsi="Georgia" w:cs="Times New Roman"/>
          <w:color w:val="000000" w:themeColor="text1"/>
          <w:sz w:val="24"/>
          <w:szCs w:val="24"/>
        </w:rPr>
        <w:t xml:space="preserve">highest among </w:t>
      </w:r>
      <w:r w:rsidR="00866B9E" w:rsidRPr="00346D1C">
        <w:rPr>
          <w:rFonts w:ascii="Georgia" w:eastAsia="Times New Roman" w:hAnsi="Georgia" w:cs="Times New Roman"/>
          <w:color w:val="000000" w:themeColor="text1"/>
          <w:sz w:val="24"/>
          <w:szCs w:val="24"/>
        </w:rPr>
        <w:t>women and the 15-34</w:t>
      </w:r>
      <w:r w:rsidR="00D63C66" w:rsidRPr="00346D1C">
        <w:rPr>
          <w:rFonts w:ascii="Georgia" w:eastAsia="Times New Roman" w:hAnsi="Georgia" w:cs="Times New Roman"/>
          <w:color w:val="000000" w:themeColor="text1"/>
          <w:sz w:val="24"/>
          <w:szCs w:val="24"/>
        </w:rPr>
        <w:t xml:space="preserve"> years old</w:t>
      </w:r>
      <w:r w:rsidR="00866B9E" w:rsidRPr="00346D1C">
        <w:rPr>
          <w:rFonts w:ascii="Georgia" w:eastAsia="Times New Roman" w:hAnsi="Georgia" w:cs="Times New Roman"/>
          <w:color w:val="000000" w:themeColor="text1"/>
          <w:sz w:val="24"/>
          <w:szCs w:val="24"/>
        </w:rPr>
        <w:t xml:space="preserve"> population (World Bank, 2021</w:t>
      </w:r>
      <w:r w:rsidR="00760B49" w:rsidRPr="00346D1C">
        <w:rPr>
          <w:rFonts w:ascii="Georgia" w:eastAsia="Times New Roman" w:hAnsi="Georgia" w:cs="Times New Roman"/>
          <w:color w:val="000000" w:themeColor="text1"/>
          <w:sz w:val="24"/>
          <w:szCs w:val="24"/>
        </w:rPr>
        <w:t>a</w:t>
      </w:r>
      <w:r w:rsidR="00866B9E" w:rsidRPr="00346D1C">
        <w:rPr>
          <w:rFonts w:ascii="Georgia" w:eastAsia="Times New Roman" w:hAnsi="Georgia" w:cs="Times New Roman"/>
          <w:color w:val="000000" w:themeColor="text1"/>
          <w:sz w:val="24"/>
          <w:szCs w:val="24"/>
        </w:rPr>
        <w:t>: Figure 56).</w:t>
      </w:r>
    </w:p>
    <w:p w14:paraId="4C8FB5B6" w14:textId="1FCA7422" w:rsidR="00273C50" w:rsidRPr="00346D1C" w:rsidRDefault="00E76DB9" w:rsidP="00313A20">
      <w:pPr>
        <w:spacing w:before="240" w:after="120" w:line="240" w:lineRule="auto"/>
        <w:jc w:val="both"/>
        <w:rPr>
          <w:rFonts w:ascii="Georgia" w:eastAsia="Times New Roman" w:hAnsi="Georgia" w:cs="Times New Roman"/>
          <w:b/>
          <w:bCs/>
          <w:i/>
          <w:iCs/>
          <w:color w:val="000000" w:themeColor="text1"/>
          <w:sz w:val="24"/>
          <w:szCs w:val="24"/>
        </w:rPr>
      </w:pPr>
      <w:r w:rsidRPr="00346D1C">
        <w:rPr>
          <w:rFonts w:ascii="Georgia" w:eastAsia="Times New Roman" w:hAnsi="Georgia" w:cs="Times New Roman"/>
          <w:b/>
          <w:bCs/>
          <w:i/>
          <w:iCs/>
          <w:color w:val="000000" w:themeColor="text1"/>
          <w:sz w:val="24"/>
          <w:szCs w:val="24"/>
        </w:rPr>
        <w:t>Wage</w:t>
      </w:r>
      <w:r w:rsidR="00DB7833" w:rsidRPr="00346D1C">
        <w:rPr>
          <w:rFonts w:ascii="Georgia" w:eastAsia="Times New Roman" w:hAnsi="Georgia" w:cs="Times New Roman"/>
          <w:b/>
          <w:bCs/>
          <w:i/>
          <w:iCs/>
          <w:color w:val="000000" w:themeColor="text1"/>
          <w:sz w:val="24"/>
          <w:szCs w:val="24"/>
        </w:rPr>
        <w:t xml:space="preserve"> </w:t>
      </w:r>
      <w:r w:rsidR="000E70F7" w:rsidRPr="00346D1C">
        <w:rPr>
          <w:rFonts w:ascii="Georgia" w:eastAsia="Times New Roman" w:hAnsi="Georgia" w:cs="Times New Roman"/>
          <w:b/>
          <w:bCs/>
          <w:i/>
          <w:iCs/>
          <w:color w:val="000000" w:themeColor="text1"/>
          <w:sz w:val="24"/>
          <w:szCs w:val="24"/>
        </w:rPr>
        <w:t>a</w:t>
      </w:r>
      <w:r w:rsidRPr="00346D1C">
        <w:rPr>
          <w:rFonts w:ascii="Georgia" w:eastAsia="Times New Roman" w:hAnsi="Georgia" w:cs="Times New Roman"/>
          <w:b/>
          <w:bCs/>
          <w:i/>
          <w:iCs/>
          <w:color w:val="000000" w:themeColor="text1"/>
          <w:sz w:val="24"/>
          <w:szCs w:val="24"/>
        </w:rPr>
        <w:t>nd s</w:t>
      </w:r>
      <w:r w:rsidR="00273C50" w:rsidRPr="00346D1C">
        <w:rPr>
          <w:rFonts w:ascii="Georgia" w:eastAsia="Times New Roman" w:hAnsi="Georgia" w:cs="Times New Roman"/>
          <w:b/>
          <w:bCs/>
          <w:i/>
          <w:iCs/>
          <w:color w:val="000000" w:themeColor="text1"/>
          <w:sz w:val="24"/>
          <w:szCs w:val="24"/>
        </w:rPr>
        <w:t>elf-employment</w:t>
      </w:r>
      <w:r w:rsidR="00ED3BA0" w:rsidRPr="00346D1C">
        <w:rPr>
          <w:rFonts w:ascii="Georgia" w:eastAsia="Times New Roman" w:hAnsi="Georgia" w:cs="Times New Roman"/>
          <w:b/>
          <w:bCs/>
          <w:i/>
          <w:iCs/>
          <w:color w:val="000000" w:themeColor="text1"/>
          <w:sz w:val="24"/>
          <w:szCs w:val="24"/>
        </w:rPr>
        <w:t>,</w:t>
      </w:r>
      <w:r w:rsidR="00A255DD" w:rsidRPr="00346D1C">
        <w:rPr>
          <w:rFonts w:ascii="Georgia" w:eastAsia="Times New Roman" w:hAnsi="Georgia" w:cs="Times New Roman"/>
          <w:b/>
          <w:bCs/>
          <w:i/>
          <w:iCs/>
          <w:color w:val="000000" w:themeColor="text1"/>
          <w:sz w:val="24"/>
          <w:szCs w:val="24"/>
        </w:rPr>
        <w:t xml:space="preserve"> vul</w:t>
      </w:r>
      <w:r w:rsidR="0092155C" w:rsidRPr="00346D1C">
        <w:rPr>
          <w:rFonts w:ascii="Georgia" w:eastAsia="Times New Roman" w:hAnsi="Georgia" w:cs="Times New Roman"/>
          <w:b/>
          <w:bCs/>
          <w:i/>
          <w:iCs/>
          <w:color w:val="000000" w:themeColor="text1"/>
          <w:sz w:val="24"/>
          <w:szCs w:val="24"/>
        </w:rPr>
        <w:t>nerable work</w:t>
      </w:r>
      <w:r w:rsidR="00ED3BA0" w:rsidRPr="00346D1C">
        <w:rPr>
          <w:rFonts w:ascii="Georgia" w:eastAsia="Times New Roman" w:hAnsi="Georgia" w:cs="Times New Roman"/>
          <w:b/>
          <w:bCs/>
          <w:i/>
          <w:iCs/>
          <w:color w:val="000000" w:themeColor="text1"/>
          <w:sz w:val="24"/>
          <w:szCs w:val="24"/>
        </w:rPr>
        <w:t xml:space="preserve"> and informal employment</w:t>
      </w:r>
    </w:p>
    <w:p w14:paraId="4057CAE5" w14:textId="5D09FC41" w:rsidR="00A212D2" w:rsidRPr="00346D1C" w:rsidRDefault="00E76DB9" w:rsidP="00AE056E">
      <w:pPr>
        <w:spacing w:after="120" w:line="240" w:lineRule="auto"/>
        <w:jc w:val="both"/>
        <w:rPr>
          <w:rFonts w:ascii="Georgia" w:hAnsi="Georgia" w:cs="Times New Roman"/>
          <w:sz w:val="24"/>
          <w:szCs w:val="24"/>
        </w:rPr>
      </w:pPr>
      <w:r w:rsidRPr="00346D1C">
        <w:rPr>
          <w:rFonts w:ascii="Georgia" w:eastAsia="Times New Roman" w:hAnsi="Georgia" w:cs="Times New Roman"/>
          <w:color w:val="000000" w:themeColor="text1"/>
          <w:sz w:val="24"/>
          <w:szCs w:val="24"/>
        </w:rPr>
        <w:t xml:space="preserve">The share of wage and salaried workers </w:t>
      </w:r>
      <w:r w:rsidR="00AF2EA7" w:rsidRPr="00346D1C">
        <w:rPr>
          <w:rFonts w:ascii="Georgia" w:eastAsia="Times New Roman" w:hAnsi="Georgia" w:cs="Times New Roman"/>
          <w:color w:val="000000" w:themeColor="text1"/>
          <w:sz w:val="24"/>
          <w:szCs w:val="24"/>
        </w:rPr>
        <w:t>showed</w:t>
      </w:r>
      <w:r w:rsidRPr="00346D1C">
        <w:rPr>
          <w:rFonts w:ascii="Georgia" w:eastAsia="Times New Roman" w:hAnsi="Georgia" w:cs="Times New Roman"/>
          <w:color w:val="000000" w:themeColor="text1"/>
          <w:sz w:val="24"/>
          <w:szCs w:val="24"/>
        </w:rPr>
        <w:t xml:space="preserve"> a </w:t>
      </w:r>
      <w:r w:rsidR="007F274B" w:rsidRPr="00346D1C">
        <w:rPr>
          <w:rFonts w:ascii="Georgia" w:eastAsia="Times New Roman" w:hAnsi="Georgia" w:cs="Times New Roman"/>
          <w:color w:val="000000" w:themeColor="text1"/>
          <w:sz w:val="24"/>
          <w:szCs w:val="24"/>
        </w:rPr>
        <w:t>marked increase in the past two decades, from 34% in 2000 to 51% in 2019</w:t>
      </w:r>
      <w:r w:rsidR="00C549B4" w:rsidRPr="00346D1C">
        <w:rPr>
          <w:rFonts w:ascii="Georgia" w:eastAsia="Times New Roman" w:hAnsi="Georgia" w:cs="Times New Roman"/>
          <w:color w:val="000000" w:themeColor="text1"/>
          <w:sz w:val="24"/>
          <w:szCs w:val="24"/>
        </w:rPr>
        <w:t>. C</w:t>
      </w:r>
      <w:r w:rsidR="007F274B" w:rsidRPr="00346D1C">
        <w:rPr>
          <w:rFonts w:ascii="Georgia" w:eastAsia="Times New Roman" w:hAnsi="Georgia" w:cs="Times New Roman"/>
          <w:color w:val="000000" w:themeColor="text1"/>
          <w:sz w:val="24"/>
          <w:szCs w:val="24"/>
        </w:rPr>
        <w:t xml:space="preserve">onsequently, the share of self-employment dropped from two-thirds of the total </w:t>
      </w:r>
      <w:r w:rsidR="00193EB9" w:rsidRPr="00346D1C">
        <w:rPr>
          <w:rFonts w:ascii="Georgia" w:eastAsia="Times New Roman" w:hAnsi="Georgia" w:cs="Times New Roman"/>
          <w:color w:val="000000" w:themeColor="text1"/>
          <w:sz w:val="24"/>
          <w:szCs w:val="24"/>
        </w:rPr>
        <w:t xml:space="preserve">workforce </w:t>
      </w:r>
      <w:r w:rsidR="007F274B" w:rsidRPr="00346D1C">
        <w:rPr>
          <w:rFonts w:ascii="Georgia" w:eastAsia="Times New Roman" w:hAnsi="Georgia" w:cs="Times New Roman"/>
          <w:color w:val="000000" w:themeColor="text1"/>
          <w:sz w:val="24"/>
          <w:szCs w:val="24"/>
        </w:rPr>
        <w:t>to slightly less than half</w:t>
      </w:r>
      <w:r w:rsidR="001D3C50" w:rsidRPr="00346D1C">
        <w:rPr>
          <w:rFonts w:ascii="Georgia" w:eastAsia="Times New Roman" w:hAnsi="Georgia" w:cs="Times New Roman"/>
          <w:color w:val="000000" w:themeColor="text1"/>
          <w:sz w:val="24"/>
          <w:szCs w:val="24"/>
        </w:rPr>
        <w:t xml:space="preserve"> </w:t>
      </w:r>
      <w:r w:rsidR="001D3C50" w:rsidRPr="00346D1C">
        <w:rPr>
          <w:rFonts w:ascii="Georgia" w:hAnsi="Georgia" w:cs="Times New Roman"/>
          <w:sz w:val="24"/>
          <w:szCs w:val="24"/>
        </w:rPr>
        <w:t>(see Table 3).</w:t>
      </w:r>
      <w:r w:rsidR="0092155C" w:rsidRPr="00346D1C">
        <w:rPr>
          <w:rFonts w:ascii="Georgia" w:hAnsi="Georgia" w:cs="Times New Roman"/>
          <w:sz w:val="24"/>
          <w:szCs w:val="24"/>
        </w:rPr>
        <w:t xml:space="preserve"> </w:t>
      </w:r>
      <w:r w:rsidR="00845F96" w:rsidRPr="00346D1C">
        <w:rPr>
          <w:rFonts w:ascii="Georgia" w:hAnsi="Georgia" w:cs="Times New Roman"/>
          <w:sz w:val="24"/>
          <w:szCs w:val="24"/>
        </w:rPr>
        <w:fldChar w:fldCharType="begin"/>
      </w:r>
      <w:r w:rsidR="00845F96" w:rsidRPr="00346D1C">
        <w:rPr>
          <w:rFonts w:ascii="Georgia" w:hAnsi="Georgia" w:cs="Times New Roman"/>
          <w:sz w:val="24"/>
          <w:szCs w:val="24"/>
        </w:rPr>
        <w:instrText xml:space="preserve"> REF _Ref119590902 \h  \* MERGEFORMAT </w:instrText>
      </w:r>
      <w:r w:rsidR="00845F96" w:rsidRPr="00346D1C">
        <w:rPr>
          <w:rFonts w:ascii="Georgia" w:hAnsi="Georgia" w:cs="Times New Roman"/>
          <w:sz w:val="24"/>
          <w:szCs w:val="24"/>
        </w:rPr>
      </w:r>
      <w:r w:rsidR="00845F96"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7</w:t>
      </w:r>
      <w:r w:rsidR="00845F96" w:rsidRPr="00346D1C">
        <w:rPr>
          <w:rFonts w:ascii="Georgia" w:hAnsi="Georgia" w:cs="Times New Roman"/>
          <w:sz w:val="24"/>
          <w:szCs w:val="24"/>
        </w:rPr>
        <w:fldChar w:fldCharType="end"/>
      </w:r>
      <w:r w:rsidR="000F6B1B" w:rsidRPr="00346D1C">
        <w:rPr>
          <w:rFonts w:ascii="Georgia" w:hAnsi="Georgia" w:cs="Times New Roman"/>
          <w:sz w:val="24"/>
          <w:szCs w:val="24"/>
        </w:rPr>
        <w:t>a</w:t>
      </w:r>
      <w:r w:rsidR="00845F96" w:rsidRPr="00346D1C">
        <w:rPr>
          <w:rFonts w:ascii="Georgia" w:hAnsi="Georgia" w:cs="Times New Roman"/>
          <w:sz w:val="24"/>
          <w:szCs w:val="24"/>
        </w:rPr>
        <w:t xml:space="preserve"> illustrates that the proportion of wage employment is larger for men than for women, though the gender gap is narrowing over time. Using KNBS survey data of 2015/16, Omanyo (2021) found that males are more likely to be in wage employment than females.</w:t>
      </w:r>
      <w:r w:rsidR="00462B82" w:rsidRPr="00346D1C">
        <w:rPr>
          <w:rFonts w:ascii="Georgia" w:hAnsi="Georgia" w:cs="Times New Roman"/>
          <w:sz w:val="24"/>
          <w:szCs w:val="24"/>
        </w:rPr>
        <w:t xml:space="preserve"> </w:t>
      </w:r>
      <w:r w:rsidR="00CB02F2" w:rsidRPr="00346D1C">
        <w:rPr>
          <w:rFonts w:ascii="Georgia" w:hAnsi="Georgia" w:cs="Times New Roman"/>
          <w:sz w:val="24"/>
          <w:szCs w:val="24"/>
        </w:rPr>
        <w:t>In addition, he found that</w:t>
      </w:r>
      <w:r w:rsidR="003F4D1D" w:rsidRPr="00346D1C">
        <w:rPr>
          <w:rFonts w:ascii="Georgia" w:hAnsi="Georgia" w:cs="Times New Roman"/>
          <w:sz w:val="24"/>
          <w:szCs w:val="24"/>
        </w:rPr>
        <w:t>,</w:t>
      </w:r>
      <w:r w:rsidR="00CB02F2" w:rsidRPr="00346D1C">
        <w:rPr>
          <w:rFonts w:ascii="Georgia" w:hAnsi="Georgia" w:cs="Times New Roman"/>
          <w:sz w:val="24"/>
          <w:szCs w:val="24"/>
        </w:rPr>
        <w:t xml:space="preserve"> for both</w:t>
      </w:r>
      <w:r w:rsidR="00CC6BAC" w:rsidRPr="00346D1C">
        <w:rPr>
          <w:rFonts w:ascii="Georgia" w:hAnsi="Georgia" w:cs="Times New Roman"/>
          <w:sz w:val="24"/>
          <w:szCs w:val="24"/>
        </w:rPr>
        <w:t xml:space="preserve"> </w:t>
      </w:r>
      <w:r w:rsidR="0063670B" w:rsidRPr="00346D1C">
        <w:rPr>
          <w:rFonts w:ascii="Georgia" w:hAnsi="Georgia" w:cs="Times New Roman"/>
          <w:sz w:val="24"/>
          <w:szCs w:val="24"/>
        </w:rPr>
        <w:t>men and women</w:t>
      </w:r>
      <w:r w:rsidR="003F4D1D" w:rsidRPr="00346D1C">
        <w:rPr>
          <w:rFonts w:ascii="Georgia" w:hAnsi="Georgia" w:cs="Times New Roman"/>
          <w:sz w:val="24"/>
          <w:szCs w:val="24"/>
        </w:rPr>
        <w:t>,</w:t>
      </w:r>
      <w:r w:rsidR="000426FE" w:rsidRPr="00346D1C">
        <w:rPr>
          <w:rFonts w:ascii="Georgia" w:hAnsi="Georgia" w:cs="Times New Roman"/>
          <w:sz w:val="24"/>
          <w:szCs w:val="24"/>
        </w:rPr>
        <w:t xml:space="preserve"> the likelihood of wage employment increased with age and educational attainment.</w:t>
      </w:r>
      <w:r w:rsidR="00C32657" w:rsidRPr="00346D1C">
        <w:rPr>
          <w:rFonts w:ascii="Georgia" w:hAnsi="Georgia" w:cs="Times New Roman"/>
          <w:sz w:val="24"/>
          <w:szCs w:val="24"/>
        </w:rPr>
        <w:t xml:space="preserve"> </w:t>
      </w:r>
      <w:r w:rsidR="00845F96" w:rsidRPr="00346D1C">
        <w:rPr>
          <w:rFonts w:ascii="Georgia" w:hAnsi="Georgia" w:cs="Times New Roman"/>
          <w:sz w:val="24"/>
          <w:szCs w:val="24"/>
        </w:rPr>
        <w:t xml:space="preserve">Table 3 </w:t>
      </w:r>
      <w:r w:rsidR="00C17A80" w:rsidRPr="00346D1C">
        <w:rPr>
          <w:rFonts w:ascii="Georgia" w:hAnsi="Georgia" w:cs="Times New Roman"/>
          <w:sz w:val="24"/>
          <w:szCs w:val="24"/>
        </w:rPr>
        <w:t xml:space="preserve">also </w:t>
      </w:r>
      <w:r w:rsidR="00097448" w:rsidRPr="00346D1C">
        <w:rPr>
          <w:rFonts w:ascii="Georgia" w:hAnsi="Georgia" w:cs="Times New Roman"/>
          <w:sz w:val="24"/>
          <w:szCs w:val="24"/>
        </w:rPr>
        <w:t>reveals</w:t>
      </w:r>
      <w:r w:rsidR="0092155C" w:rsidRPr="00346D1C">
        <w:rPr>
          <w:rFonts w:ascii="Georgia" w:hAnsi="Georgia" w:cs="Times New Roman"/>
          <w:sz w:val="24"/>
          <w:szCs w:val="24"/>
        </w:rPr>
        <w:t xml:space="preserve"> that t</w:t>
      </w:r>
      <w:r w:rsidR="007F274B" w:rsidRPr="00346D1C">
        <w:rPr>
          <w:rFonts w:ascii="Georgia" w:hAnsi="Georgia" w:cs="Times New Roman"/>
          <w:sz w:val="24"/>
          <w:szCs w:val="24"/>
        </w:rPr>
        <w:t xml:space="preserve">he share of employed people </w:t>
      </w:r>
      <w:r w:rsidR="002C5988" w:rsidRPr="00346D1C">
        <w:rPr>
          <w:rFonts w:ascii="Georgia" w:hAnsi="Georgia" w:cs="Times New Roman"/>
          <w:sz w:val="24"/>
          <w:szCs w:val="24"/>
        </w:rPr>
        <w:t xml:space="preserve">doing vulnerable work </w:t>
      </w:r>
      <w:r w:rsidR="00A13264" w:rsidRPr="00346D1C">
        <w:rPr>
          <w:rFonts w:ascii="Georgia" w:hAnsi="Georgia" w:cs="Times New Roman"/>
          <w:sz w:val="24"/>
          <w:szCs w:val="24"/>
        </w:rPr>
        <w:t>initi</w:t>
      </w:r>
      <w:r w:rsidR="003938E4" w:rsidRPr="00346D1C">
        <w:rPr>
          <w:rFonts w:ascii="Georgia" w:hAnsi="Georgia" w:cs="Times New Roman"/>
          <w:sz w:val="24"/>
          <w:szCs w:val="24"/>
        </w:rPr>
        <w:t>ally rose</w:t>
      </w:r>
      <w:r w:rsidR="0034274D" w:rsidRPr="00346D1C">
        <w:rPr>
          <w:rFonts w:ascii="Georgia" w:hAnsi="Georgia" w:cs="Times New Roman"/>
          <w:sz w:val="24"/>
          <w:szCs w:val="24"/>
        </w:rPr>
        <w:t xml:space="preserve">, but subsequently </w:t>
      </w:r>
      <w:r w:rsidR="002C5988" w:rsidRPr="00346D1C">
        <w:rPr>
          <w:rFonts w:ascii="Georgia" w:hAnsi="Georgia" w:cs="Times New Roman"/>
          <w:sz w:val="24"/>
          <w:szCs w:val="24"/>
        </w:rPr>
        <w:t xml:space="preserve">decreased over time, </w:t>
      </w:r>
      <w:r w:rsidR="00F46D4A" w:rsidRPr="00346D1C">
        <w:rPr>
          <w:rFonts w:ascii="Georgia" w:hAnsi="Georgia" w:cs="Times New Roman"/>
          <w:sz w:val="24"/>
          <w:szCs w:val="24"/>
        </w:rPr>
        <w:t xml:space="preserve">dropping </w:t>
      </w:r>
      <w:r w:rsidR="002C5988" w:rsidRPr="00346D1C">
        <w:rPr>
          <w:rFonts w:ascii="Georgia" w:hAnsi="Georgia" w:cs="Times New Roman"/>
          <w:sz w:val="24"/>
          <w:szCs w:val="24"/>
        </w:rPr>
        <w:t xml:space="preserve">to </w:t>
      </w:r>
      <w:r w:rsidR="004B4CE2" w:rsidRPr="00346D1C">
        <w:rPr>
          <w:rFonts w:ascii="Georgia" w:hAnsi="Georgia" w:cs="Times New Roman"/>
          <w:sz w:val="24"/>
          <w:szCs w:val="24"/>
        </w:rPr>
        <w:t>just below</w:t>
      </w:r>
      <w:r w:rsidR="002C5988" w:rsidRPr="00346D1C">
        <w:rPr>
          <w:rFonts w:ascii="Georgia" w:hAnsi="Georgia" w:cs="Times New Roman"/>
          <w:sz w:val="24"/>
          <w:szCs w:val="24"/>
        </w:rPr>
        <w:t xml:space="preserve"> 50% in 2019</w:t>
      </w:r>
      <w:r w:rsidR="0006573F" w:rsidRPr="00346D1C">
        <w:rPr>
          <w:rFonts w:ascii="Georgia" w:hAnsi="Georgia" w:cs="Times New Roman"/>
          <w:sz w:val="24"/>
          <w:szCs w:val="24"/>
        </w:rPr>
        <w:t>. V</w:t>
      </w:r>
      <w:r w:rsidR="00A212D2" w:rsidRPr="00346D1C">
        <w:rPr>
          <w:rFonts w:ascii="Georgia" w:hAnsi="Georgia" w:cs="Times New Roman"/>
          <w:sz w:val="24"/>
          <w:szCs w:val="24"/>
        </w:rPr>
        <w:t xml:space="preserve">ulnerable employment </w:t>
      </w:r>
      <w:r w:rsidR="00A83643" w:rsidRPr="00346D1C">
        <w:rPr>
          <w:rFonts w:ascii="Georgia" w:hAnsi="Georgia" w:cs="Times New Roman"/>
          <w:sz w:val="24"/>
          <w:szCs w:val="24"/>
        </w:rPr>
        <w:t>wa</w:t>
      </w:r>
      <w:r w:rsidR="00A212D2" w:rsidRPr="00346D1C">
        <w:rPr>
          <w:rFonts w:ascii="Georgia" w:hAnsi="Georgia" w:cs="Times New Roman"/>
          <w:sz w:val="24"/>
          <w:szCs w:val="24"/>
        </w:rPr>
        <w:t>s more common among women than among men, but the gender difference reduced in the past two decades</w:t>
      </w:r>
      <w:r w:rsidR="0006573F" w:rsidRPr="00346D1C">
        <w:rPr>
          <w:rFonts w:ascii="Georgia" w:hAnsi="Georgia" w:cs="Times New Roman"/>
          <w:sz w:val="24"/>
          <w:szCs w:val="24"/>
        </w:rPr>
        <w:t xml:space="preserve"> </w:t>
      </w:r>
      <w:r w:rsidR="00C17A80" w:rsidRPr="00346D1C">
        <w:rPr>
          <w:rFonts w:ascii="Georgia" w:hAnsi="Georgia" w:cs="Times New Roman"/>
          <w:sz w:val="24"/>
          <w:szCs w:val="24"/>
        </w:rPr>
        <w:t>(</w:t>
      </w:r>
      <w:r w:rsidR="0006573F" w:rsidRPr="00346D1C">
        <w:rPr>
          <w:rFonts w:ascii="Georgia" w:hAnsi="Georgia" w:cs="Times New Roman"/>
          <w:sz w:val="24"/>
          <w:szCs w:val="24"/>
        </w:rPr>
        <w:fldChar w:fldCharType="begin"/>
      </w:r>
      <w:r w:rsidR="0006573F" w:rsidRPr="00346D1C">
        <w:rPr>
          <w:rFonts w:ascii="Georgia" w:hAnsi="Georgia" w:cs="Times New Roman"/>
          <w:sz w:val="24"/>
          <w:szCs w:val="24"/>
        </w:rPr>
        <w:instrText xml:space="preserve"> REF _Ref119590902 \h  \* MERGEFORMAT </w:instrText>
      </w:r>
      <w:r w:rsidR="0006573F" w:rsidRPr="00346D1C">
        <w:rPr>
          <w:rFonts w:ascii="Georgia" w:hAnsi="Georgia" w:cs="Times New Roman"/>
          <w:sz w:val="24"/>
          <w:szCs w:val="24"/>
        </w:rPr>
      </w:r>
      <w:r w:rsidR="0006573F"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7</w:t>
      </w:r>
      <w:r w:rsidR="0006573F" w:rsidRPr="00346D1C">
        <w:rPr>
          <w:rFonts w:ascii="Georgia" w:hAnsi="Georgia" w:cs="Times New Roman"/>
          <w:sz w:val="24"/>
          <w:szCs w:val="24"/>
        </w:rPr>
        <w:fldChar w:fldCharType="end"/>
      </w:r>
      <w:r w:rsidR="000F6B1B" w:rsidRPr="00346D1C">
        <w:rPr>
          <w:rFonts w:ascii="Georgia" w:hAnsi="Georgia" w:cs="Times New Roman"/>
          <w:sz w:val="24"/>
          <w:szCs w:val="24"/>
        </w:rPr>
        <w:t>b</w:t>
      </w:r>
      <w:r w:rsidR="00C17A80" w:rsidRPr="00346D1C">
        <w:rPr>
          <w:rFonts w:ascii="Georgia" w:hAnsi="Georgia" w:cs="Times New Roman"/>
          <w:sz w:val="24"/>
          <w:szCs w:val="24"/>
        </w:rPr>
        <w:t>).</w:t>
      </w:r>
      <w:r w:rsidR="0033607F" w:rsidRPr="00346D1C">
        <w:rPr>
          <w:rFonts w:ascii="Georgia" w:hAnsi="Georgia" w:cs="Times New Roman"/>
          <w:sz w:val="24"/>
          <w:szCs w:val="24"/>
        </w:rPr>
        <w:t xml:space="preserve"> </w:t>
      </w:r>
      <w:r w:rsidR="00712E6E" w:rsidRPr="00346D1C">
        <w:rPr>
          <w:rFonts w:ascii="Georgia" w:hAnsi="Georgia" w:cs="Times New Roman"/>
          <w:sz w:val="24"/>
          <w:szCs w:val="24"/>
        </w:rPr>
        <w:t>Pe</w:t>
      </w:r>
      <w:r w:rsidR="00090A90" w:rsidRPr="00346D1C">
        <w:rPr>
          <w:rFonts w:ascii="Georgia" w:hAnsi="Georgia" w:cs="Times New Roman"/>
          <w:sz w:val="24"/>
          <w:szCs w:val="24"/>
        </w:rPr>
        <w:t xml:space="preserve">rsons </w:t>
      </w:r>
      <w:r w:rsidR="00712E6E" w:rsidRPr="00346D1C">
        <w:rPr>
          <w:rFonts w:ascii="Georgia" w:hAnsi="Georgia" w:cs="Times New Roman"/>
          <w:sz w:val="24"/>
          <w:szCs w:val="24"/>
        </w:rPr>
        <w:t>with disabilit</w:t>
      </w:r>
      <w:r w:rsidR="00090A90" w:rsidRPr="00346D1C">
        <w:rPr>
          <w:rFonts w:ascii="Georgia" w:hAnsi="Georgia" w:cs="Times New Roman"/>
          <w:sz w:val="24"/>
          <w:szCs w:val="24"/>
        </w:rPr>
        <w:t xml:space="preserve">ies </w:t>
      </w:r>
      <w:r w:rsidR="00712E6E" w:rsidRPr="00346D1C">
        <w:rPr>
          <w:rFonts w:ascii="Georgia" w:hAnsi="Georgia" w:cs="Times New Roman"/>
          <w:sz w:val="24"/>
          <w:szCs w:val="24"/>
        </w:rPr>
        <w:t xml:space="preserve">are also more likely to be </w:t>
      </w:r>
      <w:r w:rsidR="00B37E58" w:rsidRPr="00346D1C">
        <w:rPr>
          <w:rFonts w:ascii="Georgia" w:hAnsi="Georgia" w:cs="Times New Roman"/>
          <w:sz w:val="24"/>
          <w:szCs w:val="24"/>
        </w:rPr>
        <w:t xml:space="preserve">engaged </w:t>
      </w:r>
      <w:r w:rsidR="00712E6E" w:rsidRPr="00346D1C">
        <w:rPr>
          <w:rFonts w:ascii="Georgia" w:hAnsi="Georgia" w:cs="Times New Roman"/>
          <w:sz w:val="24"/>
          <w:szCs w:val="24"/>
        </w:rPr>
        <w:t xml:space="preserve">in vulnerable employment </w:t>
      </w:r>
      <w:r w:rsidR="00090A90" w:rsidRPr="00346D1C">
        <w:rPr>
          <w:rFonts w:ascii="Georgia" w:hAnsi="Georgia" w:cs="Times New Roman"/>
          <w:sz w:val="24"/>
          <w:szCs w:val="24"/>
        </w:rPr>
        <w:t xml:space="preserve">than the </w:t>
      </w:r>
      <w:r w:rsidR="00357B74" w:rsidRPr="00346D1C">
        <w:rPr>
          <w:rFonts w:ascii="Georgia" w:hAnsi="Georgia" w:cs="Times New Roman"/>
          <w:sz w:val="24"/>
          <w:szCs w:val="24"/>
        </w:rPr>
        <w:t>population in general (Onsomu et al., 2022: 80).</w:t>
      </w:r>
      <w:r w:rsidR="00DB7B38" w:rsidRPr="00346D1C">
        <w:rPr>
          <w:rFonts w:ascii="Georgia" w:hAnsi="Georgia" w:cs="Times New Roman"/>
          <w:sz w:val="24"/>
          <w:szCs w:val="24"/>
        </w:rPr>
        <w:t xml:space="preserve"> </w:t>
      </w:r>
      <w:r w:rsidR="00AC4F9F" w:rsidRPr="00346D1C">
        <w:rPr>
          <w:rFonts w:ascii="Georgia" w:hAnsi="Georgia" w:cs="Times New Roman"/>
          <w:sz w:val="24"/>
          <w:szCs w:val="24"/>
        </w:rPr>
        <w:t>They are also overrepresented in informal employment (ibid</w:t>
      </w:r>
      <w:r w:rsidR="00923884" w:rsidRPr="00346D1C">
        <w:rPr>
          <w:rFonts w:ascii="Georgia" w:hAnsi="Georgia" w:cs="Times New Roman"/>
          <w:sz w:val="24"/>
          <w:szCs w:val="24"/>
        </w:rPr>
        <w:t>.: 79)</w:t>
      </w:r>
    </w:p>
    <w:p w14:paraId="1CD23671" w14:textId="0A526CD3" w:rsidR="00502AE6" w:rsidRPr="00346D1C" w:rsidRDefault="00502AE6" w:rsidP="00EF4F0A">
      <w:pPr>
        <w:spacing w:after="120" w:line="240" w:lineRule="auto"/>
        <w:jc w:val="both"/>
        <w:rPr>
          <w:rFonts w:ascii="Georgia" w:hAnsi="Georgia" w:cs="Times New Roman"/>
          <w:sz w:val="24"/>
          <w:szCs w:val="24"/>
        </w:rPr>
      </w:pPr>
      <w:r w:rsidRPr="00346D1C">
        <w:rPr>
          <w:rFonts w:ascii="Georgia" w:hAnsi="Georgia" w:cs="Times New Roman"/>
          <w:sz w:val="24"/>
          <w:szCs w:val="24"/>
        </w:rPr>
        <w:t>Employment in the informal sector is generally more vulnerable than in the formal sector. Informal employment makes up a large part of total employment (see Table 3).</w:t>
      </w:r>
      <w:r w:rsidR="009E393C" w:rsidRPr="00346D1C">
        <w:rPr>
          <w:rStyle w:val="FootnoteReference"/>
          <w:rFonts w:ascii="Georgia" w:hAnsi="Georgia" w:cs="Times New Roman"/>
          <w:sz w:val="24"/>
          <w:szCs w:val="24"/>
        </w:rPr>
        <w:footnoteReference w:id="19"/>
      </w:r>
      <w:r w:rsidRPr="00346D1C">
        <w:rPr>
          <w:rFonts w:ascii="Georgia" w:hAnsi="Georgia" w:cs="Times New Roman"/>
          <w:sz w:val="24"/>
          <w:szCs w:val="24"/>
        </w:rPr>
        <w:t xml:space="preserve"> Informal sector activities are especially dominant in trade and food services.</w:t>
      </w:r>
      <w:r w:rsidRPr="00346D1C">
        <w:rPr>
          <w:rStyle w:val="FootnoteReference"/>
          <w:rFonts w:ascii="Georgia" w:hAnsi="Georgia" w:cs="Times New Roman"/>
          <w:sz w:val="24"/>
          <w:szCs w:val="24"/>
        </w:rPr>
        <w:footnoteReference w:id="20"/>
      </w:r>
      <w:r w:rsidRPr="00346D1C">
        <w:rPr>
          <w:rFonts w:ascii="Georgia" w:hAnsi="Georgia" w:cs="Times New Roman"/>
          <w:sz w:val="24"/>
          <w:szCs w:val="24"/>
        </w:rPr>
        <w:t xml:space="preserve"> This coincides with the observation of Bigsten et al. (2016: 357) that ‘the vast majority of labour outside agriculture is in the informal rather than the formal sector,’ since the service sector is the largest sector after agriculture.</w:t>
      </w:r>
      <w:r w:rsidR="005A3DB8" w:rsidRPr="00346D1C">
        <w:rPr>
          <w:rFonts w:ascii="Georgia" w:hAnsi="Georgia" w:cs="Times New Roman"/>
          <w:sz w:val="24"/>
          <w:szCs w:val="24"/>
        </w:rPr>
        <w:t xml:space="preserve"> Limited labour mobility between the informal and the formal sector is </w:t>
      </w:r>
      <w:r w:rsidR="006842F3" w:rsidRPr="00346D1C">
        <w:rPr>
          <w:rFonts w:ascii="Georgia" w:hAnsi="Georgia" w:cs="Times New Roman"/>
          <w:sz w:val="24"/>
          <w:szCs w:val="24"/>
        </w:rPr>
        <w:t>a cause of earnings differentials between the sectors (</w:t>
      </w:r>
      <w:r w:rsidR="005A3DB8" w:rsidRPr="00346D1C">
        <w:rPr>
          <w:rFonts w:ascii="Georgia" w:hAnsi="Georgia" w:cs="Times New Roman"/>
          <w:sz w:val="24"/>
          <w:szCs w:val="24"/>
        </w:rPr>
        <w:t>Kimenyi</w:t>
      </w:r>
      <w:r w:rsidR="004171CC" w:rsidRPr="00346D1C">
        <w:rPr>
          <w:rFonts w:ascii="Georgia" w:hAnsi="Georgia" w:cs="Times New Roman"/>
          <w:sz w:val="24"/>
          <w:szCs w:val="24"/>
        </w:rPr>
        <w:t>, Mwega &amp; Ndung’u</w:t>
      </w:r>
      <w:r w:rsidR="006842F3" w:rsidRPr="00346D1C">
        <w:rPr>
          <w:rFonts w:ascii="Georgia" w:hAnsi="Georgia" w:cs="Times New Roman"/>
          <w:sz w:val="24"/>
          <w:szCs w:val="24"/>
        </w:rPr>
        <w:t xml:space="preserve">, </w:t>
      </w:r>
      <w:r w:rsidR="005A3DB8" w:rsidRPr="00346D1C">
        <w:rPr>
          <w:rFonts w:ascii="Georgia" w:hAnsi="Georgia" w:cs="Times New Roman"/>
          <w:sz w:val="24"/>
          <w:szCs w:val="24"/>
        </w:rPr>
        <w:t>2016)</w:t>
      </w:r>
      <w:r w:rsidR="006842F3" w:rsidRPr="00346D1C">
        <w:rPr>
          <w:rFonts w:ascii="Georgia" w:hAnsi="Georgia" w:cs="Times New Roman"/>
          <w:sz w:val="24"/>
          <w:szCs w:val="24"/>
        </w:rPr>
        <w:t xml:space="preserve">. </w:t>
      </w:r>
      <w:r w:rsidR="00175F45" w:rsidRPr="00346D1C">
        <w:rPr>
          <w:rFonts w:ascii="Georgia" w:hAnsi="Georgia" w:cs="Times New Roman"/>
          <w:sz w:val="24"/>
          <w:szCs w:val="24"/>
        </w:rPr>
        <w:t>Indirectly, this contributes to income inequality.</w:t>
      </w:r>
      <w:r w:rsidR="005A3DB8" w:rsidRPr="00346D1C">
        <w:rPr>
          <w:rFonts w:ascii="Georgia" w:hAnsi="Georgia" w:cs="Times New Roman"/>
          <w:sz w:val="24"/>
          <w:szCs w:val="24"/>
        </w:rPr>
        <w:t xml:space="preserve"> </w:t>
      </w:r>
    </w:p>
    <w:p w14:paraId="1BE69E4C" w14:textId="0186F6E9" w:rsidR="00AE056E" w:rsidRPr="009C5581" w:rsidRDefault="003B4340" w:rsidP="00AE056E">
      <w:pPr>
        <w:spacing w:after="120" w:line="240" w:lineRule="auto"/>
        <w:jc w:val="center"/>
        <w:rPr>
          <w:rFonts w:ascii="Times New Roman" w:hAnsi="Times New Roman" w:cs="Times New Roman"/>
          <w:sz w:val="20"/>
          <w:szCs w:val="20"/>
        </w:rPr>
      </w:pPr>
      <w:bookmarkStart w:id="44" w:name="_Ref119590902"/>
      <w:bookmarkStart w:id="45" w:name="_Toc144414579"/>
      <w:r w:rsidRPr="009C5581">
        <w:rPr>
          <w:noProof/>
          <w:lang w:val="en-US"/>
        </w:rPr>
        <w:drawing>
          <wp:anchor distT="0" distB="0" distL="114300" distR="114300" simplePos="0" relativeHeight="251658247" behindDoc="0" locked="0" layoutInCell="1" allowOverlap="1" wp14:anchorId="4C358877" wp14:editId="2E3A9A4E">
            <wp:simplePos x="0" y="0"/>
            <wp:positionH relativeFrom="margin">
              <wp:align>right</wp:align>
            </wp:positionH>
            <wp:positionV relativeFrom="paragraph">
              <wp:posOffset>196215</wp:posOffset>
            </wp:positionV>
            <wp:extent cx="2996565" cy="2025015"/>
            <wp:effectExtent l="0" t="0" r="13335" b="13335"/>
            <wp:wrapTopAndBottom/>
            <wp:docPr id="21" name="Chart 21">
              <a:extLst xmlns:a="http://schemas.openxmlformats.org/drawingml/2006/main">
                <a:ext uri="{FF2B5EF4-FFF2-40B4-BE49-F238E27FC236}">
                  <a16:creationId xmlns:a16="http://schemas.microsoft.com/office/drawing/2014/main" id="{4DC7799F-BC67-78CD-EA73-7D21D2CCA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9C5581">
        <w:rPr>
          <w:noProof/>
          <w:lang w:val="en-US"/>
        </w:rPr>
        <w:drawing>
          <wp:anchor distT="0" distB="0" distL="114300" distR="114300" simplePos="0" relativeHeight="251658246" behindDoc="0" locked="0" layoutInCell="1" allowOverlap="1" wp14:anchorId="00F40E75" wp14:editId="38D52003">
            <wp:simplePos x="0" y="0"/>
            <wp:positionH relativeFrom="margin">
              <wp:align>left</wp:align>
            </wp:positionH>
            <wp:positionV relativeFrom="paragraph">
              <wp:posOffset>196215</wp:posOffset>
            </wp:positionV>
            <wp:extent cx="2927985" cy="2025015"/>
            <wp:effectExtent l="0" t="0" r="5715" b="13335"/>
            <wp:wrapTopAndBottom/>
            <wp:docPr id="20" name="Chart 20">
              <a:extLst xmlns:a="http://schemas.openxmlformats.org/drawingml/2006/main">
                <a:ext uri="{FF2B5EF4-FFF2-40B4-BE49-F238E27FC236}">
                  <a16:creationId xmlns:a16="http://schemas.microsoft.com/office/drawing/2014/main" id="{E00BC279-88FB-AF90-6559-9A93A6EC2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AE056E" w:rsidRPr="009C5581">
        <w:rPr>
          <w:rFonts w:ascii="Times New Roman" w:hAnsi="Times New Roman" w:cs="Times New Roman"/>
          <w:b/>
          <w:bCs/>
          <w:sz w:val="20"/>
          <w:szCs w:val="20"/>
        </w:rPr>
        <w:t xml:space="preserve">Figure </w:t>
      </w:r>
      <w:r w:rsidR="00B84F08" w:rsidRPr="009C5581">
        <w:rPr>
          <w:rFonts w:ascii="Times New Roman" w:hAnsi="Times New Roman" w:cs="Times New Roman"/>
          <w:b/>
          <w:bCs/>
          <w:sz w:val="20"/>
          <w:szCs w:val="20"/>
        </w:rPr>
        <w:fldChar w:fldCharType="begin"/>
      </w:r>
      <w:r w:rsidR="00B84F08" w:rsidRPr="009C5581">
        <w:rPr>
          <w:rFonts w:ascii="Times New Roman" w:hAnsi="Times New Roman" w:cs="Times New Roman"/>
          <w:b/>
          <w:bCs/>
          <w:sz w:val="20"/>
          <w:szCs w:val="20"/>
        </w:rPr>
        <w:instrText xml:space="preserve"> SEQ Figure \* ARABIC </w:instrText>
      </w:r>
      <w:r w:rsidR="00B84F08"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7</w:t>
      </w:r>
      <w:r w:rsidR="00B84F08" w:rsidRPr="009C5581">
        <w:rPr>
          <w:rFonts w:ascii="Times New Roman" w:hAnsi="Times New Roman" w:cs="Times New Roman"/>
          <w:b/>
          <w:bCs/>
          <w:sz w:val="20"/>
          <w:szCs w:val="20"/>
        </w:rPr>
        <w:fldChar w:fldCharType="end"/>
      </w:r>
      <w:bookmarkEnd w:id="44"/>
      <w:r w:rsidR="00AE056E" w:rsidRPr="009C5581">
        <w:rPr>
          <w:rFonts w:ascii="Times New Roman" w:hAnsi="Times New Roman" w:cs="Times New Roman"/>
          <w:sz w:val="20"/>
          <w:szCs w:val="20"/>
        </w:rPr>
        <w:t>: Wage employment and vulnerable employment, by gender, 2000-2021</w:t>
      </w:r>
      <w:bookmarkEnd w:id="45"/>
    </w:p>
    <w:p w14:paraId="4FB60ED5" w14:textId="44C70FDA" w:rsidR="00E70919" w:rsidRDefault="00E70919" w:rsidP="00E70919">
      <w:pPr>
        <w:spacing w:after="120" w:line="240" w:lineRule="auto"/>
        <w:jc w:val="center"/>
        <w:rPr>
          <w:rFonts w:ascii="Times New Roman" w:hAnsi="Times New Roman" w:cs="Times New Roman"/>
          <w:sz w:val="16"/>
          <w:szCs w:val="16"/>
        </w:rPr>
      </w:pPr>
      <w:r w:rsidRPr="009C5581">
        <w:rPr>
          <w:rFonts w:ascii="Times New Roman" w:hAnsi="Times New Roman" w:cs="Times New Roman"/>
          <w:sz w:val="16"/>
          <w:szCs w:val="16"/>
        </w:rPr>
        <w:t>Source: World Bank, World Development Indicators.</w:t>
      </w:r>
    </w:p>
    <w:p w14:paraId="23B7FD52" w14:textId="77777777" w:rsidR="00561E93" w:rsidRPr="009C5581" w:rsidRDefault="00561E93" w:rsidP="00E70919">
      <w:pPr>
        <w:spacing w:after="120" w:line="240" w:lineRule="auto"/>
        <w:jc w:val="center"/>
        <w:rPr>
          <w:rFonts w:ascii="Times New Roman" w:hAnsi="Times New Roman" w:cs="Times New Roman"/>
          <w:sz w:val="16"/>
          <w:szCs w:val="16"/>
        </w:rPr>
      </w:pPr>
    </w:p>
    <w:p w14:paraId="1789A27C" w14:textId="4E4519F1" w:rsidR="00EF2B26" w:rsidRPr="00346D1C" w:rsidRDefault="00064A3B" w:rsidP="005F71D7">
      <w:pPr>
        <w:spacing w:before="240" w:after="120" w:line="240" w:lineRule="auto"/>
        <w:jc w:val="both"/>
        <w:rPr>
          <w:rFonts w:ascii="Georgia" w:hAnsi="Georgia" w:cs="Times New Roman"/>
          <w:b/>
          <w:bCs/>
          <w:i/>
          <w:iCs/>
          <w:sz w:val="24"/>
          <w:szCs w:val="24"/>
        </w:rPr>
      </w:pPr>
      <w:r w:rsidRPr="00346D1C">
        <w:rPr>
          <w:rFonts w:ascii="Georgia" w:hAnsi="Georgia" w:cs="Times New Roman"/>
          <w:b/>
          <w:bCs/>
          <w:i/>
          <w:iCs/>
          <w:sz w:val="24"/>
          <w:szCs w:val="24"/>
        </w:rPr>
        <w:t>Educational attainment and returns to education</w:t>
      </w:r>
    </w:p>
    <w:p w14:paraId="2FF784FC" w14:textId="2CC9DA23" w:rsidR="009106F3" w:rsidRPr="00346D1C" w:rsidRDefault="002411D8" w:rsidP="002C5988">
      <w:pPr>
        <w:spacing w:after="120" w:line="240" w:lineRule="auto"/>
        <w:jc w:val="both"/>
        <w:rPr>
          <w:rFonts w:ascii="Georgia" w:hAnsi="Georgia" w:cs="Times New Roman"/>
          <w:sz w:val="24"/>
          <w:szCs w:val="24"/>
        </w:rPr>
      </w:pPr>
      <w:r w:rsidRPr="00346D1C">
        <w:rPr>
          <w:rFonts w:ascii="Georgia" w:hAnsi="Georgia" w:cs="Times New Roman"/>
          <w:sz w:val="24"/>
          <w:szCs w:val="24"/>
        </w:rPr>
        <w:t>There is paucity of data on e</w:t>
      </w:r>
      <w:r w:rsidR="001D1DD0" w:rsidRPr="00346D1C">
        <w:rPr>
          <w:rFonts w:ascii="Georgia" w:hAnsi="Georgia" w:cs="Times New Roman"/>
          <w:sz w:val="24"/>
          <w:szCs w:val="24"/>
        </w:rPr>
        <w:t>ducational attainment</w:t>
      </w:r>
      <w:r w:rsidR="00441894" w:rsidRPr="00346D1C">
        <w:rPr>
          <w:rFonts w:ascii="Georgia" w:hAnsi="Georgia" w:cs="Times New Roman"/>
          <w:sz w:val="24"/>
          <w:szCs w:val="24"/>
        </w:rPr>
        <w:t xml:space="preserve"> </w:t>
      </w:r>
      <w:r w:rsidR="001D1DD0" w:rsidRPr="00346D1C">
        <w:rPr>
          <w:rFonts w:ascii="Georgia" w:hAnsi="Georgia" w:cs="Times New Roman"/>
          <w:sz w:val="24"/>
          <w:szCs w:val="24"/>
        </w:rPr>
        <w:t xml:space="preserve">in </w:t>
      </w:r>
      <w:r w:rsidR="002C5988" w:rsidRPr="00346D1C">
        <w:rPr>
          <w:rFonts w:ascii="Georgia" w:hAnsi="Georgia" w:cs="Times New Roman"/>
          <w:sz w:val="24"/>
          <w:szCs w:val="24"/>
        </w:rPr>
        <w:t>Kenya</w:t>
      </w:r>
      <w:r w:rsidR="00441894" w:rsidRPr="00346D1C">
        <w:rPr>
          <w:rFonts w:ascii="Georgia" w:hAnsi="Georgia" w:cs="Times New Roman"/>
          <w:sz w:val="24"/>
          <w:szCs w:val="24"/>
        </w:rPr>
        <w:t xml:space="preserve">. </w:t>
      </w:r>
      <w:r w:rsidR="0008337F" w:rsidRPr="00346D1C">
        <w:rPr>
          <w:rFonts w:ascii="Georgia" w:hAnsi="Georgia" w:cs="Times New Roman"/>
          <w:sz w:val="24"/>
          <w:szCs w:val="24"/>
        </w:rPr>
        <w:t>The World Development Indicators contain observations for 20</w:t>
      </w:r>
      <w:r w:rsidR="00F464D8" w:rsidRPr="00346D1C">
        <w:rPr>
          <w:rFonts w:ascii="Georgia" w:hAnsi="Georgia" w:cs="Times New Roman"/>
          <w:sz w:val="24"/>
          <w:szCs w:val="24"/>
        </w:rPr>
        <w:t>09 and 2010 only</w:t>
      </w:r>
      <w:r w:rsidR="00757F62" w:rsidRPr="00346D1C">
        <w:rPr>
          <w:rFonts w:ascii="Georgia" w:hAnsi="Georgia" w:cs="Times New Roman"/>
          <w:sz w:val="24"/>
          <w:szCs w:val="24"/>
        </w:rPr>
        <w:t xml:space="preserve">, which </w:t>
      </w:r>
      <w:r w:rsidR="00057FD6" w:rsidRPr="00346D1C">
        <w:rPr>
          <w:rFonts w:ascii="Georgia" w:hAnsi="Georgia" w:cs="Times New Roman"/>
          <w:sz w:val="24"/>
          <w:szCs w:val="24"/>
        </w:rPr>
        <w:t>suggest relatively large shifts in one year</w:t>
      </w:r>
      <w:r w:rsidR="009106F3" w:rsidRPr="00346D1C">
        <w:rPr>
          <w:rFonts w:ascii="Georgia" w:hAnsi="Georgia" w:cs="Times New Roman"/>
          <w:sz w:val="24"/>
          <w:szCs w:val="24"/>
        </w:rPr>
        <w:t xml:space="preserve"> which are not plausible</w:t>
      </w:r>
      <w:r w:rsidR="00057FD6" w:rsidRPr="00346D1C">
        <w:rPr>
          <w:rFonts w:ascii="Georgia" w:hAnsi="Georgia" w:cs="Times New Roman"/>
          <w:sz w:val="24"/>
          <w:szCs w:val="24"/>
        </w:rPr>
        <w:t xml:space="preserve">. </w:t>
      </w:r>
      <w:r w:rsidR="002F6E6E" w:rsidRPr="00346D1C">
        <w:rPr>
          <w:rFonts w:ascii="Georgia" w:hAnsi="Georgia" w:cs="Times New Roman"/>
          <w:sz w:val="24"/>
          <w:szCs w:val="24"/>
        </w:rPr>
        <w:t>Mo</w:t>
      </w:r>
      <w:r w:rsidR="007E33E3" w:rsidRPr="00346D1C">
        <w:rPr>
          <w:rFonts w:ascii="Georgia" w:hAnsi="Georgia" w:cs="Times New Roman"/>
          <w:sz w:val="24"/>
          <w:szCs w:val="24"/>
        </w:rPr>
        <w:t>L</w:t>
      </w:r>
      <w:r w:rsidR="002F6E6E" w:rsidRPr="00346D1C">
        <w:rPr>
          <w:rFonts w:ascii="Georgia" w:hAnsi="Georgia" w:cs="Times New Roman"/>
          <w:sz w:val="24"/>
          <w:szCs w:val="24"/>
        </w:rPr>
        <w:t xml:space="preserve"> (2021: 4) </w:t>
      </w:r>
      <w:r w:rsidR="00390D2B" w:rsidRPr="00346D1C">
        <w:rPr>
          <w:rFonts w:ascii="Georgia" w:hAnsi="Georgia" w:cs="Times New Roman"/>
          <w:sz w:val="24"/>
          <w:szCs w:val="24"/>
        </w:rPr>
        <w:t>mention</w:t>
      </w:r>
      <w:r w:rsidR="007E33E3" w:rsidRPr="00346D1C">
        <w:rPr>
          <w:rFonts w:ascii="Georgia" w:hAnsi="Georgia" w:cs="Times New Roman"/>
          <w:sz w:val="24"/>
          <w:szCs w:val="24"/>
        </w:rPr>
        <w:t>s</w:t>
      </w:r>
      <w:r w:rsidR="00390D2B" w:rsidRPr="00346D1C">
        <w:rPr>
          <w:rFonts w:ascii="Georgia" w:hAnsi="Georgia" w:cs="Times New Roman"/>
          <w:sz w:val="24"/>
          <w:szCs w:val="24"/>
        </w:rPr>
        <w:t xml:space="preserve"> that the mean years of schooling was </w:t>
      </w:r>
      <w:r w:rsidR="00951E04" w:rsidRPr="00346D1C">
        <w:rPr>
          <w:rFonts w:ascii="Georgia" w:hAnsi="Georgia" w:cs="Times New Roman"/>
          <w:sz w:val="24"/>
          <w:szCs w:val="24"/>
        </w:rPr>
        <w:t xml:space="preserve">6.5 years in 2018 and that the </w:t>
      </w:r>
      <w:r w:rsidR="00E876D2" w:rsidRPr="00346D1C">
        <w:rPr>
          <w:rFonts w:ascii="Georgia" w:hAnsi="Georgia" w:cs="Times New Roman"/>
          <w:sz w:val="24"/>
          <w:szCs w:val="24"/>
        </w:rPr>
        <w:t xml:space="preserve">average for women was 6.0 years compared to 7.2 for men. </w:t>
      </w:r>
      <w:r w:rsidR="00B07C94" w:rsidRPr="00346D1C">
        <w:rPr>
          <w:rFonts w:ascii="Georgia" w:hAnsi="Georgia" w:cs="Times New Roman"/>
          <w:sz w:val="24"/>
          <w:szCs w:val="24"/>
        </w:rPr>
        <w:t xml:space="preserve">It furthermore mentions that the </w:t>
      </w:r>
      <w:r w:rsidR="00521905" w:rsidRPr="00346D1C">
        <w:rPr>
          <w:rFonts w:ascii="Georgia" w:hAnsi="Georgia" w:cs="Times New Roman"/>
          <w:sz w:val="24"/>
          <w:szCs w:val="24"/>
        </w:rPr>
        <w:t xml:space="preserve">gender gap in lower levels of education was smaller than in the labour market, </w:t>
      </w:r>
      <w:r w:rsidR="006B5570" w:rsidRPr="00346D1C">
        <w:rPr>
          <w:rFonts w:ascii="Georgia" w:hAnsi="Georgia" w:cs="Times New Roman"/>
          <w:sz w:val="24"/>
          <w:szCs w:val="24"/>
        </w:rPr>
        <w:t xml:space="preserve">but that </w:t>
      </w:r>
      <w:r w:rsidR="009251FC" w:rsidRPr="00346D1C">
        <w:rPr>
          <w:rFonts w:ascii="Georgia" w:hAnsi="Georgia" w:cs="Times New Roman"/>
          <w:sz w:val="24"/>
          <w:szCs w:val="24"/>
        </w:rPr>
        <w:t xml:space="preserve">more men than women complete vocational </w:t>
      </w:r>
      <w:r w:rsidR="00453232" w:rsidRPr="00346D1C">
        <w:rPr>
          <w:rFonts w:ascii="Georgia" w:hAnsi="Georgia" w:cs="Times New Roman"/>
          <w:sz w:val="24"/>
          <w:szCs w:val="24"/>
        </w:rPr>
        <w:t>education and training and tertiary education, which ‘undermines women’s</w:t>
      </w:r>
      <w:r w:rsidR="009E784E" w:rsidRPr="00346D1C">
        <w:rPr>
          <w:rFonts w:ascii="Georgia" w:hAnsi="Georgia" w:cs="Times New Roman"/>
          <w:sz w:val="24"/>
          <w:szCs w:val="24"/>
        </w:rPr>
        <w:t xml:space="preserve"> employability and earnings potential in the labour market’</w:t>
      </w:r>
      <w:r w:rsidR="0090086B" w:rsidRPr="00346D1C">
        <w:rPr>
          <w:rFonts w:ascii="Georgia" w:hAnsi="Georgia" w:cs="Times New Roman"/>
          <w:sz w:val="24"/>
          <w:szCs w:val="24"/>
        </w:rPr>
        <w:t>.</w:t>
      </w:r>
      <w:r w:rsidR="004942C7" w:rsidRPr="00346D1C">
        <w:rPr>
          <w:rFonts w:ascii="Georgia" w:hAnsi="Georgia" w:cs="Times New Roman"/>
          <w:sz w:val="24"/>
          <w:szCs w:val="24"/>
        </w:rPr>
        <w:t xml:space="preserve"> Overal</w:t>
      </w:r>
      <w:r w:rsidR="0052630D" w:rsidRPr="00346D1C">
        <w:rPr>
          <w:rFonts w:ascii="Georgia" w:hAnsi="Georgia" w:cs="Times New Roman"/>
          <w:sz w:val="24"/>
          <w:szCs w:val="24"/>
        </w:rPr>
        <w:t>l</w:t>
      </w:r>
      <w:r w:rsidR="004942C7" w:rsidRPr="00346D1C">
        <w:rPr>
          <w:rFonts w:ascii="Georgia" w:hAnsi="Georgia" w:cs="Times New Roman"/>
          <w:sz w:val="24"/>
          <w:szCs w:val="24"/>
        </w:rPr>
        <w:t>, the gen</w:t>
      </w:r>
      <w:r w:rsidR="0052630D" w:rsidRPr="00346D1C">
        <w:rPr>
          <w:rFonts w:ascii="Georgia" w:hAnsi="Georgia" w:cs="Times New Roman"/>
          <w:sz w:val="24"/>
          <w:szCs w:val="24"/>
        </w:rPr>
        <w:t xml:space="preserve">der wage gap </w:t>
      </w:r>
      <w:r w:rsidR="00C77136" w:rsidRPr="00346D1C">
        <w:rPr>
          <w:rFonts w:ascii="Georgia" w:hAnsi="Georgia" w:cs="Times New Roman"/>
          <w:sz w:val="24"/>
          <w:szCs w:val="24"/>
        </w:rPr>
        <w:t xml:space="preserve">was </w:t>
      </w:r>
      <w:r w:rsidR="0052630D" w:rsidRPr="00346D1C">
        <w:rPr>
          <w:rFonts w:ascii="Georgia" w:hAnsi="Georgia" w:cs="Times New Roman"/>
          <w:sz w:val="24"/>
          <w:szCs w:val="24"/>
        </w:rPr>
        <w:t>68% in 2019</w:t>
      </w:r>
      <w:r w:rsidR="00C77136" w:rsidRPr="00346D1C">
        <w:rPr>
          <w:rFonts w:ascii="Georgia" w:hAnsi="Georgia" w:cs="Times New Roman"/>
          <w:sz w:val="24"/>
          <w:szCs w:val="24"/>
        </w:rPr>
        <w:t xml:space="preserve"> (ibid., 11).</w:t>
      </w:r>
      <w:r w:rsidR="00DB2C86" w:rsidRPr="00346D1C">
        <w:rPr>
          <w:rFonts w:ascii="Georgia" w:hAnsi="Georgia" w:cs="Times New Roman"/>
          <w:sz w:val="24"/>
          <w:szCs w:val="24"/>
        </w:rPr>
        <w:t xml:space="preserve"> </w:t>
      </w:r>
    </w:p>
    <w:p w14:paraId="3C346358" w14:textId="6CDBF8B0" w:rsidR="003F56FA" w:rsidRPr="00346D1C" w:rsidRDefault="0045648B" w:rsidP="00DB1A8B">
      <w:pPr>
        <w:spacing w:after="120" w:line="240" w:lineRule="auto"/>
        <w:jc w:val="both"/>
        <w:rPr>
          <w:rFonts w:ascii="Georgia" w:hAnsi="Georgia" w:cs="Times New Roman"/>
          <w:sz w:val="24"/>
          <w:szCs w:val="24"/>
        </w:rPr>
      </w:pPr>
      <w:r w:rsidRPr="00346D1C">
        <w:rPr>
          <w:rFonts w:ascii="Georgia" w:hAnsi="Georgia" w:cs="Times New Roman"/>
          <w:sz w:val="24"/>
          <w:szCs w:val="24"/>
        </w:rPr>
        <w:t>A</w:t>
      </w:r>
      <w:r w:rsidR="00456AB5" w:rsidRPr="00346D1C">
        <w:rPr>
          <w:rFonts w:ascii="Georgia" w:hAnsi="Georgia" w:cs="Times New Roman"/>
          <w:sz w:val="24"/>
          <w:szCs w:val="24"/>
        </w:rPr>
        <w:t xml:space="preserve"> stud</w:t>
      </w:r>
      <w:r w:rsidRPr="00346D1C">
        <w:rPr>
          <w:rFonts w:ascii="Georgia" w:hAnsi="Georgia" w:cs="Times New Roman"/>
          <w:sz w:val="24"/>
          <w:szCs w:val="24"/>
        </w:rPr>
        <w:t xml:space="preserve">y using 2005/06 data </w:t>
      </w:r>
      <w:r w:rsidR="00391C62" w:rsidRPr="00346D1C">
        <w:rPr>
          <w:rFonts w:ascii="Georgia" w:hAnsi="Georgia" w:cs="Times New Roman"/>
          <w:sz w:val="24"/>
          <w:szCs w:val="24"/>
        </w:rPr>
        <w:t xml:space="preserve">of full-time wage workers found </w:t>
      </w:r>
      <w:r w:rsidR="004761C5" w:rsidRPr="00346D1C">
        <w:rPr>
          <w:rFonts w:ascii="Georgia" w:hAnsi="Georgia" w:cs="Times New Roman"/>
          <w:sz w:val="24"/>
          <w:szCs w:val="24"/>
        </w:rPr>
        <w:t xml:space="preserve">that, at the national level, the private rate of return was nearly 8% for primary education, </w:t>
      </w:r>
      <w:r w:rsidR="007B61E0" w:rsidRPr="00346D1C">
        <w:rPr>
          <w:rFonts w:ascii="Georgia" w:hAnsi="Georgia" w:cs="Times New Roman"/>
          <w:sz w:val="24"/>
          <w:szCs w:val="24"/>
        </w:rPr>
        <w:t>23% for secondary education and</w:t>
      </w:r>
      <w:r w:rsidR="00182B99" w:rsidRPr="00346D1C">
        <w:rPr>
          <w:rFonts w:ascii="Georgia" w:hAnsi="Georgia" w:cs="Times New Roman"/>
          <w:sz w:val="24"/>
          <w:szCs w:val="24"/>
        </w:rPr>
        <w:t xml:space="preserve"> for college education, </w:t>
      </w:r>
      <w:r w:rsidR="00056D4C" w:rsidRPr="00346D1C">
        <w:rPr>
          <w:rFonts w:ascii="Georgia" w:hAnsi="Georgia" w:cs="Times New Roman"/>
          <w:sz w:val="24"/>
          <w:szCs w:val="24"/>
        </w:rPr>
        <w:t xml:space="preserve">whereas the rate </w:t>
      </w:r>
      <w:r w:rsidR="00033819" w:rsidRPr="00346D1C">
        <w:rPr>
          <w:rFonts w:ascii="Georgia" w:hAnsi="Georgia" w:cs="Times New Roman"/>
          <w:sz w:val="24"/>
          <w:szCs w:val="24"/>
        </w:rPr>
        <w:t>was</w:t>
      </w:r>
      <w:r w:rsidR="007B61E0" w:rsidRPr="00346D1C">
        <w:rPr>
          <w:rFonts w:ascii="Georgia" w:hAnsi="Georgia" w:cs="Times New Roman"/>
          <w:sz w:val="24"/>
          <w:szCs w:val="24"/>
        </w:rPr>
        <w:t xml:space="preserve"> 25% for university education (Kimeny</w:t>
      </w:r>
      <w:r w:rsidR="00486E71" w:rsidRPr="00346D1C">
        <w:rPr>
          <w:rFonts w:ascii="Georgia" w:hAnsi="Georgia" w:cs="Times New Roman"/>
          <w:sz w:val="24"/>
          <w:szCs w:val="24"/>
        </w:rPr>
        <w:t>i</w:t>
      </w:r>
      <w:r w:rsidR="00FD5444" w:rsidRPr="00346D1C">
        <w:rPr>
          <w:rFonts w:ascii="Georgia" w:hAnsi="Georgia" w:cs="Times New Roman"/>
          <w:sz w:val="24"/>
          <w:szCs w:val="24"/>
        </w:rPr>
        <w:t>, Mwabu &amp; Manda</w:t>
      </w:r>
      <w:r w:rsidR="00EA25D0" w:rsidRPr="00346D1C">
        <w:rPr>
          <w:rFonts w:ascii="Georgia" w:hAnsi="Georgia" w:cs="Times New Roman"/>
          <w:sz w:val="24"/>
          <w:szCs w:val="24"/>
        </w:rPr>
        <w:t>,</w:t>
      </w:r>
      <w:r w:rsidR="007B61E0" w:rsidRPr="00346D1C">
        <w:rPr>
          <w:rFonts w:ascii="Georgia" w:hAnsi="Georgia" w:cs="Times New Roman"/>
          <w:sz w:val="24"/>
          <w:szCs w:val="24"/>
        </w:rPr>
        <w:t xml:space="preserve"> 2006</w:t>
      </w:r>
      <w:r w:rsidR="003C3B06" w:rsidRPr="00346D1C">
        <w:rPr>
          <w:rFonts w:ascii="Georgia" w:hAnsi="Georgia" w:cs="Times New Roman"/>
          <w:sz w:val="24"/>
          <w:szCs w:val="24"/>
        </w:rPr>
        <w:t>a</w:t>
      </w:r>
      <w:r w:rsidR="007B61E0" w:rsidRPr="00346D1C">
        <w:rPr>
          <w:rFonts w:ascii="Georgia" w:hAnsi="Georgia" w:cs="Times New Roman"/>
          <w:sz w:val="24"/>
          <w:szCs w:val="24"/>
        </w:rPr>
        <w:t xml:space="preserve">). </w:t>
      </w:r>
      <w:r w:rsidR="00073B1A" w:rsidRPr="00346D1C">
        <w:rPr>
          <w:rFonts w:ascii="Georgia" w:hAnsi="Georgia" w:cs="Times New Roman"/>
          <w:sz w:val="24"/>
          <w:szCs w:val="24"/>
        </w:rPr>
        <w:t>The authors explain that an increasing supply of skilled labour tend</w:t>
      </w:r>
      <w:r w:rsidR="007C2C32" w:rsidRPr="00346D1C">
        <w:rPr>
          <w:rFonts w:ascii="Georgia" w:hAnsi="Georgia" w:cs="Times New Roman"/>
          <w:sz w:val="24"/>
          <w:szCs w:val="24"/>
        </w:rPr>
        <w:t>s</w:t>
      </w:r>
      <w:r w:rsidR="00073B1A" w:rsidRPr="00346D1C">
        <w:rPr>
          <w:rFonts w:ascii="Georgia" w:hAnsi="Georgia" w:cs="Times New Roman"/>
          <w:sz w:val="24"/>
          <w:szCs w:val="24"/>
        </w:rPr>
        <w:t xml:space="preserve"> to reduce the </w:t>
      </w:r>
      <w:r w:rsidR="00105A6D" w:rsidRPr="00346D1C">
        <w:rPr>
          <w:rFonts w:ascii="Georgia" w:hAnsi="Georgia" w:cs="Times New Roman"/>
          <w:sz w:val="24"/>
          <w:szCs w:val="24"/>
        </w:rPr>
        <w:t>skill premium of people with university education, but t</w:t>
      </w:r>
      <w:r w:rsidR="005E2D6B" w:rsidRPr="00346D1C">
        <w:rPr>
          <w:rFonts w:ascii="Georgia" w:hAnsi="Georgia" w:cs="Times New Roman"/>
          <w:sz w:val="24"/>
          <w:szCs w:val="24"/>
        </w:rPr>
        <w:t>hat the</w:t>
      </w:r>
      <w:r w:rsidR="007D0651" w:rsidRPr="00346D1C">
        <w:rPr>
          <w:rFonts w:ascii="Georgia" w:hAnsi="Georgia" w:cs="Times New Roman"/>
          <w:sz w:val="24"/>
          <w:szCs w:val="24"/>
        </w:rPr>
        <w:t xml:space="preserve"> negative effect on th</w:t>
      </w:r>
      <w:r w:rsidR="00977F0D" w:rsidRPr="00346D1C">
        <w:rPr>
          <w:rFonts w:ascii="Georgia" w:hAnsi="Georgia" w:cs="Times New Roman"/>
          <w:sz w:val="24"/>
          <w:szCs w:val="24"/>
        </w:rPr>
        <w:t>at</w:t>
      </w:r>
      <w:r w:rsidR="005E2D6B" w:rsidRPr="00346D1C">
        <w:rPr>
          <w:rFonts w:ascii="Georgia" w:hAnsi="Georgia" w:cs="Times New Roman"/>
          <w:sz w:val="24"/>
          <w:szCs w:val="24"/>
        </w:rPr>
        <w:t xml:space="preserve"> skill premium </w:t>
      </w:r>
      <w:r w:rsidR="007D0651" w:rsidRPr="00346D1C">
        <w:rPr>
          <w:rFonts w:ascii="Georgia" w:hAnsi="Georgia" w:cs="Times New Roman"/>
          <w:sz w:val="24"/>
          <w:szCs w:val="24"/>
        </w:rPr>
        <w:t xml:space="preserve">disappears </w:t>
      </w:r>
      <w:r w:rsidR="00977F0D" w:rsidRPr="00346D1C">
        <w:rPr>
          <w:rFonts w:ascii="Georgia" w:hAnsi="Georgia" w:cs="Times New Roman"/>
          <w:sz w:val="24"/>
          <w:szCs w:val="24"/>
        </w:rPr>
        <w:t>(</w:t>
      </w:r>
      <w:r w:rsidR="009A1D4D" w:rsidRPr="00346D1C">
        <w:rPr>
          <w:rFonts w:ascii="Georgia" w:hAnsi="Georgia" w:cs="Times New Roman"/>
          <w:sz w:val="24"/>
          <w:szCs w:val="24"/>
        </w:rPr>
        <w:t xml:space="preserve">and that the return to primary education is lower) </w:t>
      </w:r>
      <w:r w:rsidR="00815B1F" w:rsidRPr="00346D1C">
        <w:rPr>
          <w:rFonts w:ascii="Georgia" w:hAnsi="Georgia" w:cs="Times New Roman"/>
          <w:sz w:val="24"/>
          <w:szCs w:val="24"/>
        </w:rPr>
        <w:t xml:space="preserve">if the </w:t>
      </w:r>
      <w:r w:rsidR="00CD7829" w:rsidRPr="00346D1C">
        <w:rPr>
          <w:rFonts w:ascii="Georgia" w:hAnsi="Georgia" w:cs="Times New Roman"/>
          <w:sz w:val="24"/>
          <w:szCs w:val="24"/>
        </w:rPr>
        <w:t>estimation of the return</w:t>
      </w:r>
      <w:r w:rsidR="00EF1F08" w:rsidRPr="00346D1C">
        <w:rPr>
          <w:rFonts w:ascii="Georgia" w:hAnsi="Georgia" w:cs="Times New Roman"/>
          <w:sz w:val="24"/>
          <w:szCs w:val="24"/>
        </w:rPr>
        <w:t>s</w:t>
      </w:r>
      <w:r w:rsidR="00CD7829" w:rsidRPr="00346D1C">
        <w:rPr>
          <w:rFonts w:ascii="Georgia" w:hAnsi="Georgia" w:cs="Times New Roman"/>
          <w:sz w:val="24"/>
          <w:szCs w:val="24"/>
        </w:rPr>
        <w:t xml:space="preserve"> to education </w:t>
      </w:r>
      <w:r w:rsidR="009A1D4D" w:rsidRPr="00346D1C">
        <w:rPr>
          <w:rFonts w:ascii="Georgia" w:hAnsi="Georgia" w:cs="Times New Roman"/>
          <w:sz w:val="24"/>
          <w:szCs w:val="24"/>
        </w:rPr>
        <w:t xml:space="preserve">accounts for the effect of </w:t>
      </w:r>
      <w:r w:rsidR="00CD7829" w:rsidRPr="00346D1C">
        <w:rPr>
          <w:rFonts w:ascii="Georgia" w:hAnsi="Georgia" w:cs="Times New Roman"/>
          <w:sz w:val="24"/>
          <w:szCs w:val="24"/>
        </w:rPr>
        <w:t xml:space="preserve">the </w:t>
      </w:r>
      <w:r w:rsidR="00815B1F" w:rsidRPr="00346D1C">
        <w:rPr>
          <w:rFonts w:ascii="Georgia" w:hAnsi="Georgia" w:cs="Times New Roman"/>
          <w:sz w:val="24"/>
          <w:szCs w:val="24"/>
        </w:rPr>
        <w:t>human capital of others</w:t>
      </w:r>
      <w:r w:rsidR="00B51646" w:rsidRPr="00346D1C">
        <w:rPr>
          <w:rFonts w:ascii="Georgia" w:hAnsi="Georgia" w:cs="Times New Roman"/>
          <w:sz w:val="24"/>
          <w:szCs w:val="24"/>
        </w:rPr>
        <w:t>.</w:t>
      </w:r>
      <w:r w:rsidR="00815B1F" w:rsidRPr="00346D1C">
        <w:rPr>
          <w:rFonts w:ascii="Georgia" w:hAnsi="Georgia" w:cs="Times New Roman"/>
          <w:sz w:val="24"/>
          <w:szCs w:val="24"/>
        </w:rPr>
        <w:t xml:space="preserve"> </w:t>
      </w:r>
      <w:r w:rsidR="00CE0C05" w:rsidRPr="00346D1C">
        <w:rPr>
          <w:rFonts w:ascii="Georgia" w:hAnsi="Georgia" w:cs="Times New Roman"/>
          <w:sz w:val="24"/>
          <w:szCs w:val="24"/>
        </w:rPr>
        <w:t xml:space="preserve">Omanyo (2021) </w:t>
      </w:r>
      <w:r w:rsidR="006349F6" w:rsidRPr="00346D1C">
        <w:rPr>
          <w:rFonts w:ascii="Georgia" w:hAnsi="Georgia" w:cs="Times New Roman"/>
          <w:sz w:val="24"/>
          <w:szCs w:val="24"/>
        </w:rPr>
        <w:t xml:space="preserve">also found </w:t>
      </w:r>
      <w:r w:rsidR="00BA5E73" w:rsidRPr="00346D1C">
        <w:rPr>
          <w:rFonts w:ascii="Georgia" w:hAnsi="Georgia" w:cs="Times New Roman"/>
          <w:sz w:val="24"/>
          <w:szCs w:val="24"/>
        </w:rPr>
        <w:t xml:space="preserve">evidence of positive returns to education </w:t>
      </w:r>
      <w:r w:rsidR="00715AA3" w:rsidRPr="00346D1C">
        <w:rPr>
          <w:rFonts w:ascii="Georgia" w:hAnsi="Georgia" w:cs="Times New Roman"/>
          <w:sz w:val="24"/>
          <w:szCs w:val="24"/>
        </w:rPr>
        <w:t xml:space="preserve">using </w:t>
      </w:r>
      <w:r w:rsidR="00CE0C05" w:rsidRPr="00346D1C">
        <w:rPr>
          <w:rFonts w:ascii="Georgia" w:hAnsi="Georgia" w:cs="Times New Roman"/>
          <w:sz w:val="24"/>
          <w:szCs w:val="24"/>
        </w:rPr>
        <w:t>2015/16</w:t>
      </w:r>
      <w:r w:rsidR="00715AA3" w:rsidRPr="00346D1C">
        <w:rPr>
          <w:rFonts w:ascii="Georgia" w:hAnsi="Georgia" w:cs="Times New Roman"/>
          <w:sz w:val="24"/>
          <w:szCs w:val="24"/>
        </w:rPr>
        <w:t xml:space="preserve"> data.</w:t>
      </w:r>
      <w:r w:rsidR="00050C15" w:rsidRPr="00346D1C">
        <w:rPr>
          <w:rFonts w:ascii="Georgia" w:hAnsi="Georgia" w:cs="Times New Roman"/>
          <w:sz w:val="24"/>
          <w:szCs w:val="24"/>
        </w:rPr>
        <w:t xml:space="preserve"> </w:t>
      </w:r>
      <w:r w:rsidR="00D97F60" w:rsidRPr="00346D1C">
        <w:rPr>
          <w:rFonts w:ascii="Georgia" w:hAnsi="Georgia" w:cs="Times New Roman"/>
          <w:sz w:val="24"/>
          <w:szCs w:val="24"/>
        </w:rPr>
        <w:t xml:space="preserve">He furthermore </w:t>
      </w:r>
      <w:r w:rsidR="00295EAE" w:rsidRPr="00346D1C">
        <w:rPr>
          <w:rFonts w:ascii="Georgia" w:hAnsi="Georgia" w:cs="Times New Roman"/>
          <w:sz w:val="24"/>
          <w:szCs w:val="24"/>
        </w:rPr>
        <w:t xml:space="preserve">found </w:t>
      </w:r>
      <w:r w:rsidR="00F37BC6" w:rsidRPr="00346D1C">
        <w:rPr>
          <w:rFonts w:ascii="Georgia" w:hAnsi="Georgia" w:cs="Times New Roman"/>
          <w:sz w:val="24"/>
          <w:szCs w:val="24"/>
        </w:rPr>
        <w:t>that, accounting for the effect of other variables, there was a gender wage (or earnings) gap that disfavoured women.</w:t>
      </w:r>
      <w:r w:rsidR="00094CC4" w:rsidRPr="00346D1C">
        <w:rPr>
          <w:rFonts w:ascii="Georgia" w:hAnsi="Georgia" w:cs="Times New Roman"/>
          <w:sz w:val="24"/>
          <w:szCs w:val="24"/>
        </w:rPr>
        <w:t xml:space="preserve"> </w:t>
      </w:r>
      <w:r w:rsidR="00AA15B8" w:rsidRPr="00346D1C">
        <w:rPr>
          <w:rFonts w:ascii="Georgia" w:hAnsi="Georgia" w:cs="Times New Roman"/>
          <w:sz w:val="24"/>
          <w:szCs w:val="24"/>
        </w:rPr>
        <w:t xml:space="preserve">A detailed decomposition </w:t>
      </w:r>
      <w:r w:rsidR="00373056" w:rsidRPr="00346D1C">
        <w:rPr>
          <w:rFonts w:ascii="Georgia" w:hAnsi="Georgia" w:cs="Times New Roman"/>
          <w:sz w:val="24"/>
          <w:szCs w:val="24"/>
        </w:rPr>
        <w:t xml:space="preserve">of the </w:t>
      </w:r>
      <w:r w:rsidR="00F25D11" w:rsidRPr="00346D1C">
        <w:rPr>
          <w:rFonts w:ascii="Georgia" w:hAnsi="Georgia" w:cs="Times New Roman"/>
          <w:sz w:val="24"/>
          <w:szCs w:val="24"/>
        </w:rPr>
        <w:t xml:space="preserve">latter </w:t>
      </w:r>
      <w:r w:rsidR="0017394D" w:rsidRPr="00346D1C">
        <w:rPr>
          <w:rFonts w:ascii="Georgia" w:hAnsi="Georgia" w:cs="Times New Roman"/>
          <w:sz w:val="24"/>
          <w:szCs w:val="24"/>
        </w:rPr>
        <w:t xml:space="preserve">into </w:t>
      </w:r>
      <w:r w:rsidR="00004035" w:rsidRPr="00346D1C">
        <w:rPr>
          <w:rFonts w:ascii="Georgia" w:hAnsi="Georgia" w:cs="Times New Roman"/>
          <w:sz w:val="24"/>
          <w:szCs w:val="24"/>
        </w:rPr>
        <w:t>endowment, discrimination and residual effect</w:t>
      </w:r>
      <w:r w:rsidR="00096257" w:rsidRPr="00346D1C">
        <w:rPr>
          <w:rFonts w:ascii="Georgia" w:hAnsi="Georgia" w:cs="Times New Roman"/>
          <w:sz w:val="24"/>
          <w:szCs w:val="24"/>
        </w:rPr>
        <w:t>s</w:t>
      </w:r>
      <w:r w:rsidR="0017394D" w:rsidRPr="00346D1C">
        <w:rPr>
          <w:rFonts w:ascii="Georgia" w:hAnsi="Georgia" w:cs="Times New Roman"/>
          <w:sz w:val="24"/>
          <w:szCs w:val="24"/>
        </w:rPr>
        <w:t xml:space="preserve"> </w:t>
      </w:r>
      <w:r w:rsidR="00F25D11" w:rsidRPr="00346D1C">
        <w:rPr>
          <w:rFonts w:ascii="Georgia" w:hAnsi="Georgia" w:cs="Times New Roman"/>
          <w:sz w:val="24"/>
          <w:szCs w:val="24"/>
        </w:rPr>
        <w:t>showed t</w:t>
      </w:r>
      <w:r w:rsidR="00AA15B8" w:rsidRPr="00346D1C">
        <w:rPr>
          <w:rFonts w:ascii="Georgia" w:hAnsi="Georgia" w:cs="Times New Roman"/>
          <w:sz w:val="24"/>
          <w:szCs w:val="24"/>
        </w:rPr>
        <w:t xml:space="preserve">hat </w:t>
      </w:r>
      <w:r w:rsidR="00A66A13" w:rsidRPr="00346D1C">
        <w:rPr>
          <w:rFonts w:ascii="Georgia" w:hAnsi="Georgia" w:cs="Times New Roman"/>
          <w:sz w:val="24"/>
          <w:szCs w:val="24"/>
        </w:rPr>
        <w:t>the gap</w:t>
      </w:r>
      <w:r w:rsidR="008656B3" w:rsidRPr="00346D1C">
        <w:rPr>
          <w:rFonts w:ascii="Georgia" w:hAnsi="Georgia" w:cs="Times New Roman"/>
          <w:sz w:val="24"/>
          <w:szCs w:val="24"/>
        </w:rPr>
        <w:t xml:space="preserve"> was </w:t>
      </w:r>
      <w:r w:rsidR="00434F8B" w:rsidRPr="00346D1C">
        <w:rPr>
          <w:rFonts w:ascii="Georgia" w:hAnsi="Georgia" w:cs="Times New Roman"/>
          <w:sz w:val="24"/>
          <w:szCs w:val="24"/>
        </w:rPr>
        <w:t>higher in the private formal and informal sectors than in the public sector</w:t>
      </w:r>
      <w:r w:rsidR="009E41F9" w:rsidRPr="00346D1C">
        <w:rPr>
          <w:rFonts w:ascii="Georgia" w:hAnsi="Georgia" w:cs="Times New Roman"/>
          <w:sz w:val="24"/>
          <w:szCs w:val="24"/>
        </w:rPr>
        <w:t xml:space="preserve">, </w:t>
      </w:r>
      <w:r w:rsidR="00434F8B" w:rsidRPr="00346D1C">
        <w:rPr>
          <w:rFonts w:ascii="Georgia" w:hAnsi="Georgia" w:cs="Times New Roman"/>
          <w:sz w:val="24"/>
          <w:szCs w:val="24"/>
        </w:rPr>
        <w:t xml:space="preserve">that </w:t>
      </w:r>
      <w:r w:rsidR="00D61CCA" w:rsidRPr="00346D1C">
        <w:rPr>
          <w:rFonts w:ascii="Georgia" w:hAnsi="Georgia" w:cs="Times New Roman"/>
          <w:sz w:val="24"/>
          <w:szCs w:val="24"/>
        </w:rPr>
        <w:t xml:space="preserve">it </w:t>
      </w:r>
      <w:r w:rsidR="00D250B1" w:rsidRPr="00346D1C">
        <w:rPr>
          <w:rFonts w:ascii="Georgia" w:hAnsi="Georgia" w:cs="Times New Roman"/>
          <w:sz w:val="24"/>
          <w:szCs w:val="24"/>
        </w:rPr>
        <w:t>de</w:t>
      </w:r>
      <w:r w:rsidR="00D61CCA" w:rsidRPr="00346D1C">
        <w:rPr>
          <w:rFonts w:ascii="Georgia" w:hAnsi="Georgia" w:cs="Times New Roman"/>
          <w:sz w:val="24"/>
          <w:szCs w:val="24"/>
        </w:rPr>
        <w:t>creased</w:t>
      </w:r>
      <w:r w:rsidR="00F37BC6" w:rsidRPr="00346D1C">
        <w:rPr>
          <w:rFonts w:ascii="Georgia" w:hAnsi="Georgia" w:cs="Times New Roman"/>
          <w:sz w:val="24"/>
          <w:szCs w:val="24"/>
        </w:rPr>
        <w:t xml:space="preserve"> </w:t>
      </w:r>
      <w:r w:rsidR="00D250B1" w:rsidRPr="00346D1C">
        <w:rPr>
          <w:rFonts w:ascii="Georgia" w:hAnsi="Georgia" w:cs="Times New Roman"/>
          <w:sz w:val="24"/>
          <w:szCs w:val="24"/>
        </w:rPr>
        <w:t>along the wage dis</w:t>
      </w:r>
      <w:r w:rsidR="00B55302" w:rsidRPr="00346D1C">
        <w:rPr>
          <w:rFonts w:ascii="Georgia" w:hAnsi="Georgia" w:cs="Times New Roman"/>
          <w:sz w:val="24"/>
          <w:szCs w:val="24"/>
        </w:rPr>
        <w:t xml:space="preserve">tribution – that is, that it tended </w:t>
      </w:r>
      <w:r w:rsidR="003E355C" w:rsidRPr="00346D1C">
        <w:rPr>
          <w:rFonts w:ascii="Georgia" w:hAnsi="Georgia" w:cs="Times New Roman"/>
          <w:sz w:val="24"/>
          <w:szCs w:val="24"/>
        </w:rPr>
        <w:t>‘</w:t>
      </w:r>
      <w:r w:rsidR="00B55302" w:rsidRPr="00346D1C">
        <w:rPr>
          <w:rFonts w:ascii="Georgia" w:hAnsi="Georgia" w:cs="Times New Roman"/>
          <w:sz w:val="24"/>
          <w:szCs w:val="24"/>
        </w:rPr>
        <w:t>to be smaller in the group of employees with higher wages’</w:t>
      </w:r>
      <w:r w:rsidR="003E355C" w:rsidRPr="00346D1C">
        <w:rPr>
          <w:rFonts w:ascii="Georgia" w:hAnsi="Georgia" w:cs="Times New Roman"/>
          <w:sz w:val="24"/>
          <w:szCs w:val="24"/>
        </w:rPr>
        <w:t xml:space="preserve"> – and that </w:t>
      </w:r>
      <w:r w:rsidR="00527272" w:rsidRPr="00346D1C">
        <w:rPr>
          <w:rFonts w:ascii="Georgia" w:hAnsi="Georgia" w:cs="Times New Roman"/>
          <w:sz w:val="24"/>
          <w:szCs w:val="24"/>
        </w:rPr>
        <w:t xml:space="preserve">the </w:t>
      </w:r>
      <w:r w:rsidR="00096257" w:rsidRPr="00346D1C">
        <w:rPr>
          <w:rFonts w:ascii="Georgia" w:hAnsi="Georgia" w:cs="Times New Roman"/>
          <w:sz w:val="24"/>
          <w:szCs w:val="24"/>
        </w:rPr>
        <w:t xml:space="preserve">discrimination effects tended to account for most of the </w:t>
      </w:r>
      <w:r w:rsidR="001C19E3" w:rsidRPr="00346D1C">
        <w:rPr>
          <w:rFonts w:ascii="Georgia" w:hAnsi="Georgia" w:cs="Times New Roman"/>
          <w:sz w:val="24"/>
          <w:szCs w:val="24"/>
        </w:rPr>
        <w:t>gap (Omanyo, 2021).</w:t>
      </w:r>
      <w:r w:rsidR="00F37BC6" w:rsidRPr="00346D1C">
        <w:rPr>
          <w:rFonts w:ascii="Georgia" w:hAnsi="Georgia" w:cs="Times New Roman"/>
          <w:sz w:val="24"/>
          <w:szCs w:val="24"/>
        </w:rPr>
        <w:t xml:space="preserve"> </w:t>
      </w:r>
      <w:r w:rsidR="00A37B25" w:rsidRPr="00346D1C">
        <w:rPr>
          <w:rFonts w:ascii="Georgia" w:hAnsi="Georgia" w:cs="Times New Roman"/>
          <w:sz w:val="24"/>
          <w:szCs w:val="24"/>
        </w:rPr>
        <w:t xml:space="preserve">Another </w:t>
      </w:r>
      <w:r w:rsidR="000122C1" w:rsidRPr="00346D1C">
        <w:rPr>
          <w:rFonts w:ascii="Georgia" w:hAnsi="Georgia" w:cs="Times New Roman"/>
          <w:sz w:val="24"/>
          <w:szCs w:val="24"/>
        </w:rPr>
        <w:t xml:space="preserve">group that suffers from discrimination are persons with disabilities, who </w:t>
      </w:r>
      <w:r w:rsidR="00DB1A8B" w:rsidRPr="00346D1C">
        <w:rPr>
          <w:rFonts w:ascii="Georgia" w:hAnsi="Georgia" w:cs="Times New Roman"/>
          <w:sz w:val="24"/>
          <w:szCs w:val="24"/>
        </w:rPr>
        <w:t xml:space="preserve">‘are largely unemployed or earn low earning because of employer perceptions, discrimination and academic qualifications’ </w:t>
      </w:r>
      <w:r w:rsidR="002928BA" w:rsidRPr="00346D1C">
        <w:rPr>
          <w:rFonts w:ascii="Georgia" w:hAnsi="Georgia" w:cs="Times New Roman"/>
          <w:sz w:val="24"/>
          <w:szCs w:val="24"/>
        </w:rPr>
        <w:t xml:space="preserve">(Onsomu et al., 2022: </w:t>
      </w:r>
      <w:r w:rsidR="004B5A69" w:rsidRPr="00346D1C">
        <w:rPr>
          <w:rFonts w:ascii="Georgia" w:hAnsi="Georgia" w:cs="Times New Roman"/>
          <w:sz w:val="24"/>
          <w:szCs w:val="24"/>
        </w:rPr>
        <w:t>130</w:t>
      </w:r>
      <w:r w:rsidR="002928BA" w:rsidRPr="00346D1C">
        <w:rPr>
          <w:rFonts w:ascii="Georgia" w:hAnsi="Georgia" w:cs="Times New Roman"/>
          <w:sz w:val="24"/>
          <w:szCs w:val="24"/>
        </w:rPr>
        <w:t>)</w:t>
      </w:r>
      <w:r w:rsidR="004B5A69" w:rsidRPr="00346D1C">
        <w:rPr>
          <w:rFonts w:ascii="Georgia" w:hAnsi="Georgia" w:cs="Times New Roman"/>
          <w:sz w:val="24"/>
          <w:szCs w:val="24"/>
        </w:rPr>
        <w:t>.</w:t>
      </w:r>
    </w:p>
    <w:p w14:paraId="5BD0F0AE" w14:textId="7066DCC1" w:rsidR="00C862C0" w:rsidRPr="00346D1C" w:rsidRDefault="00E37D00" w:rsidP="00295EAE">
      <w:pPr>
        <w:spacing w:before="240" w:after="120" w:line="240" w:lineRule="auto"/>
        <w:jc w:val="both"/>
        <w:rPr>
          <w:rFonts w:ascii="Georgia" w:eastAsia="Times New Roman" w:hAnsi="Georgia" w:cs="Times New Roman"/>
          <w:color w:val="000000" w:themeColor="text1"/>
          <w:sz w:val="24"/>
          <w:szCs w:val="24"/>
        </w:rPr>
      </w:pPr>
      <w:r w:rsidRPr="00346D1C">
        <w:rPr>
          <w:rFonts w:ascii="Georgia" w:hAnsi="Georgia" w:cs="Times New Roman"/>
          <w:sz w:val="24"/>
          <w:szCs w:val="24"/>
        </w:rPr>
        <w:t>For both men and women, the earnings inequality was higher in 2015/16 than at the end of the 1990s, though lower than in 2005/06 (KNBS, 202</w:t>
      </w:r>
      <w:r w:rsidR="00E02965" w:rsidRPr="00346D1C">
        <w:rPr>
          <w:rFonts w:ascii="Georgia" w:hAnsi="Georgia" w:cs="Times New Roman"/>
          <w:sz w:val="24"/>
          <w:szCs w:val="24"/>
        </w:rPr>
        <w:t>0b</w:t>
      </w:r>
      <w:r w:rsidRPr="00346D1C">
        <w:rPr>
          <w:rFonts w:ascii="Georgia" w:hAnsi="Georgia" w:cs="Times New Roman"/>
          <w:sz w:val="24"/>
          <w:szCs w:val="24"/>
        </w:rPr>
        <w:t>: 69).</w:t>
      </w:r>
      <w:r w:rsidR="00075D85" w:rsidRPr="00346D1C">
        <w:rPr>
          <w:rStyle w:val="FootnoteReference"/>
          <w:rFonts w:ascii="Georgia" w:hAnsi="Georgia" w:cs="Times New Roman"/>
          <w:sz w:val="24"/>
          <w:szCs w:val="24"/>
        </w:rPr>
        <w:footnoteReference w:id="21"/>
      </w:r>
      <w:r w:rsidRPr="00346D1C">
        <w:rPr>
          <w:rFonts w:ascii="Georgia" w:hAnsi="Georgia" w:cs="Times New Roman"/>
          <w:sz w:val="24"/>
          <w:szCs w:val="24"/>
        </w:rPr>
        <w:t xml:space="preserve"> In this context, Manda et al. (202</w:t>
      </w:r>
      <w:r w:rsidR="00A32532" w:rsidRPr="00346D1C">
        <w:rPr>
          <w:rFonts w:ascii="Georgia" w:hAnsi="Georgia" w:cs="Times New Roman"/>
          <w:sz w:val="24"/>
          <w:szCs w:val="24"/>
        </w:rPr>
        <w:t>1</w:t>
      </w:r>
      <w:r w:rsidRPr="00346D1C">
        <w:rPr>
          <w:rFonts w:ascii="Georgia" w:hAnsi="Georgia" w:cs="Times New Roman"/>
          <w:sz w:val="24"/>
          <w:szCs w:val="24"/>
        </w:rPr>
        <w:t xml:space="preserve">) noted that </w:t>
      </w:r>
      <w:r w:rsidRPr="00346D1C">
        <w:rPr>
          <w:rFonts w:ascii="Georgia" w:eastAsia="Constantia" w:hAnsi="Georgia" w:cs="Times New Roman"/>
          <w:sz w:val="24"/>
          <w:szCs w:val="24"/>
        </w:rPr>
        <w:t>‘earnings inequality is higher than inequality of real per capita consumption expenditure, which indicates that the labour market could be contributing more to inequality.’</w:t>
      </w:r>
    </w:p>
    <w:p w14:paraId="0F8BF925" w14:textId="22BA3149" w:rsidR="00EF2B26" w:rsidRPr="00346D1C" w:rsidRDefault="00EF2B26" w:rsidP="005500E1">
      <w:pPr>
        <w:pStyle w:val="Heading2"/>
        <w:numPr>
          <w:ilvl w:val="1"/>
          <w:numId w:val="1"/>
        </w:numPr>
        <w:spacing w:before="240" w:after="120" w:line="240" w:lineRule="auto"/>
        <w:ind w:left="567" w:hanging="567"/>
        <w:rPr>
          <w:rFonts w:ascii="Georgia" w:eastAsia="Constantia" w:hAnsi="Georgia" w:cs="Times New Roman"/>
          <w:color w:val="000000" w:themeColor="text1"/>
          <w:sz w:val="24"/>
          <w:szCs w:val="24"/>
          <w:lang w:eastAsia="en-GB"/>
        </w:rPr>
      </w:pPr>
      <w:bookmarkStart w:id="46" w:name="_Toc41475576"/>
      <w:bookmarkStart w:id="47" w:name="_Toc52382621"/>
      <w:bookmarkStart w:id="48" w:name="_Toc62037154"/>
      <w:bookmarkStart w:id="49" w:name="_Toc145928782"/>
      <w:r w:rsidRPr="00346D1C">
        <w:rPr>
          <w:rFonts w:ascii="Georgia" w:eastAsia="Constantia" w:hAnsi="Georgia" w:cs="Times New Roman"/>
          <w:color w:val="000000" w:themeColor="text1"/>
          <w:sz w:val="24"/>
          <w:szCs w:val="24"/>
          <w:lang w:eastAsia="en-GB"/>
        </w:rPr>
        <w:t>Taxes</w:t>
      </w:r>
      <w:r w:rsidR="000869CE" w:rsidRPr="00346D1C">
        <w:rPr>
          <w:rFonts w:ascii="Georgia" w:eastAsia="Constantia" w:hAnsi="Georgia" w:cs="Times New Roman"/>
          <w:color w:val="000000" w:themeColor="text1"/>
          <w:sz w:val="24"/>
          <w:szCs w:val="24"/>
          <w:lang w:eastAsia="en-GB"/>
        </w:rPr>
        <w:t xml:space="preserve">, </w:t>
      </w:r>
      <w:r w:rsidR="00CD10EA" w:rsidRPr="00346D1C">
        <w:rPr>
          <w:rFonts w:ascii="Georgia" w:eastAsia="Constantia" w:hAnsi="Georgia" w:cs="Times New Roman"/>
          <w:color w:val="000000" w:themeColor="text1"/>
          <w:sz w:val="24"/>
          <w:szCs w:val="24"/>
          <w:lang w:eastAsia="en-GB"/>
        </w:rPr>
        <w:t xml:space="preserve">social spending and access to </w:t>
      </w:r>
      <w:bookmarkEnd w:id="46"/>
      <w:bookmarkEnd w:id="47"/>
      <w:bookmarkEnd w:id="48"/>
      <w:r w:rsidR="00E068F8" w:rsidRPr="00346D1C">
        <w:rPr>
          <w:rFonts w:ascii="Georgia" w:eastAsia="Constantia" w:hAnsi="Georgia" w:cs="Times New Roman"/>
          <w:color w:val="000000" w:themeColor="text1"/>
          <w:sz w:val="24"/>
          <w:szCs w:val="24"/>
          <w:lang w:eastAsia="en-GB"/>
        </w:rPr>
        <w:t>education and health services</w:t>
      </w:r>
      <w:bookmarkEnd w:id="49"/>
      <w:r w:rsidRPr="00346D1C">
        <w:rPr>
          <w:rFonts w:ascii="Georgia" w:eastAsia="Constantia" w:hAnsi="Georgia" w:cs="Times New Roman"/>
          <w:color w:val="000000" w:themeColor="text1"/>
          <w:sz w:val="24"/>
          <w:szCs w:val="24"/>
          <w:lang w:eastAsia="en-GB"/>
        </w:rPr>
        <w:t xml:space="preserve"> </w:t>
      </w:r>
    </w:p>
    <w:p w14:paraId="07E1B86B" w14:textId="3218EC73" w:rsidR="00EF2B26" w:rsidRPr="00346D1C" w:rsidRDefault="00EF2B26" w:rsidP="000C2A55">
      <w:pPr>
        <w:spacing w:before="240" w:after="120" w:line="240" w:lineRule="auto"/>
        <w:rPr>
          <w:rFonts w:ascii="Georgia" w:hAnsi="Georgia" w:cs="Times New Roman"/>
          <w:b/>
          <w:bCs/>
          <w:i/>
          <w:sz w:val="24"/>
          <w:szCs w:val="24"/>
          <w:lang w:eastAsia="en-GB"/>
        </w:rPr>
      </w:pPr>
      <w:r w:rsidRPr="00346D1C">
        <w:rPr>
          <w:rFonts w:ascii="Georgia" w:hAnsi="Georgia" w:cs="Times New Roman"/>
          <w:b/>
          <w:bCs/>
          <w:i/>
          <w:sz w:val="24"/>
          <w:szCs w:val="24"/>
          <w:lang w:eastAsia="en-GB"/>
        </w:rPr>
        <w:t>Taxes</w:t>
      </w:r>
    </w:p>
    <w:p w14:paraId="298211FE" w14:textId="2943C0CA" w:rsidR="005852F4" w:rsidRPr="00346D1C" w:rsidRDefault="005852F4" w:rsidP="005852F4">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According to World Bank figures, </w:t>
      </w:r>
      <w:r w:rsidR="006158A9" w:rsidRPr="00346D1C">
        <w:rPr>
          <w:rFonts w:ascii="Georgia" w:hAnsi="Georgia" w:cs="Times New Roman"/>
          <w:sz w:val="24"/>
          <w:szCs w:val="24"/>
        </w:rPr>
        <w:t>Kenya</w:t>
      </w:r>
      <w:r w:rsidRPr="00346D1C">
        <w:rPr>
          <w:rFonts w:ascii="Georgia" w:hAnsi="Georgia" w:cs="Times New Roman"/>
          <w:sz w:val="24"/>
          <w:szCs w:val="24"/>
        </w:rPr>
        <w:t xml:space="preserve">’s tax-to-GDP ratio was </w:t>
      </w:r>
      <w:r w:rsidR="006158A9" w:rsidRPr="00346D1C">
        <w:rPr>
          <w:rFonts w:ascii="Georgia" w:hAnsi="Georgia" w:cs="Times New Roman"/>
          <w:sz w:val="24"/>
          <w:szCs w:val="24"/>
        </w:rPr>
        <w:t xml:space="preserve">around 15% in the years </w:t>
      </w:r>
      <w:r w:rsidRPr="00346D1C">
        <w:rPr>
          <w:rFonts w:ascii="Georgia" w:hAnsi="Georgia" w:cs="Times New Roman"/>
          <w:sz w:val="24"/>
          <w:szCs w:val="24"/>
        </w:rPr>
        <w:t>2014</w:t>
      </w:r>
      <w:r w:rsidR="006158A9" w:rsidRPr="00346D1C">
        <w:rPr>
          <w:rFonts w:ascii="Georgia" w:hAnsi="Georgia" w:cs="Times New Roman"/>
          <w:sz w:val="24"/>
          <w:szCs w:val="24"/>
        </w:rPr>
        <w:t xml:space="preserve"> to 2020</w:t>
      </w:r>
      <w:r w:rsidRPr="00346D1C">
        <w:rPr>
          <w:rFonts w:ascii="Georgia" w:hAnsi="Georgia" w:cs="Times New Roman"/>
          <w:sz w:val="24"/>
          <w:szCs w:val="24"/>
        </w:rPr>
        <w:t xml:space="preserve"> (see </w:t>
      </w:r>
      <w:r w:rsidRPr="00346D1C">
        <w:rPr>
          <w:rFonts w:ascii="Georgia" w:hAnsi="Georgia" w:cs="Times New Roman"/>
          <w:sz w:val="24"/>
          <w:szCs w:val="24"/>
        </w:rPr>
        <w:fldChar w:fldCharType="begin"/>
      </w:r>
      <w:r w:rsidRPr="00346D1C">
        <w:rPr>
          <w:rFonts w:ascii="Georgia" w:hAnsi="Georgia" w:cs="Times New Roman"/>
          <w:sz w:val="24"/>
          <w:szCs w:val="24"/>
        </w:rPr>
        <w:instrText xml:space="preserve"> REF _Ref81398921 \h  \* MERGEFORMAT </w:instrText>
      </w:r>
      <w:r w:rsidRPr="00346D1C">
        <w:rPr>
          <w:rFonts w:ascii="Georgia" w:hAnsi="Georgia" w:cs="Times New Roman"/>
          <w:sz w:val="24"/>
          <w:szCs w:val="24"/>
        </w:rPr>
      </w:r>
      <w:r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Table </w:t>
      </w:r>
      <w:r w:rsidR="000F6B8E" w:rsidRPr="00346D1C">
        <w:rPr>
          <w:rFonts w:ascii="Georgia" w:hAnsi="Georgia" w:cs="Times New Roman"/>
          <w:smallCaps/>
          <w:noProof/>
          <w:sz w:val="24"/>
          <w:szCs w:val="24"/>
        </w:rPr>
        <w:t>4</w:t>
      </w:r>
      <w:r w:rsidRPr="00346D1C">
        <w:rPr>
          <w:rFonts w:ascii="Georgia" w:hAnsi="Georgia" w:cs="Times New Roman"/>
          <w:sz w:val="24"/>
          <w:szCs w:val="24"/>
        </w:rPr>
        <w:fldChar w:fldCharType="end"/>
      </w:r>
      <w:r w:rsidRPr="00346D1C">
        <w:rPr>
          <w:rFonts w:ascii="Georgia" w:hAnsi="Georgia" w:cs="Times New Roman"/>
          <w:sz w:val="24"/>
          <w:szCs w:val="24"/>
        </w:rPr>
        <w:t>).</w:t>
      </w:r>
      <w:r w:rsidR="00094A61" w:rsidRPr="00346D1C">
        <w:rPr>
          <w:rFonts w:ascii="Georgia" w:hAnsi="Georgia" w:cs="Times New Roman"/>
          <w:sz w:val="24"/>
          <w:szCs w:val="24"/>
        </w:rPr>
        <w:t xml:space="preserve"> </w:t>
      </w:r>
    </w:p>
    <w:p w14:paraId="7DF913BD" w14:textId="61422913" w:rsidR="005852F4" w:rsidRPr="009C5581" w:rsidRDefault="005852F4" w:rsidP="005852F4">
      <w:pPr>
        <w:pStyle w:val="Caption"/>
        <w:keepNext/>
        <w:spacing w:after="120"/>
        <w:jc w:val="both"/>
        <w:rPr>
          <w:rFonts w:ascii="Times New Roman" w:hAnsi="Times New Roman" w:cs="Times New Roman"/>
          <w:b w:val="0"/>
          <w:bCs w:val="0"/>
          <w:smallCaps w:val="0"/>
          <w:color w:val="auto"/>
          <w:sz w:val="20"/>
          <w:szCs w:val="20"/>
        </w:rPr>
      </w:pPr>
      <w:bookmarkStart w:id="50" w:name="_Ref81398921"/>
      <w:bookmarkStart w:id="51" w:name="_Toc97032526"/>
      <w:bookmarkStart w:id="52" w:name="_Toc119578201"/>
      <w:bookmarkStart w:id="53" w:name="_Toc122349800"/>
      <w:bookmarkStart w:id="54" w:name="_Toc137745023"/>
      <w:r w:rsidRPr="009C5581">
        <w:rPr>
          <w:rFonts w:ascii="Times New Roman" w:hAnsi="Times New Roman" w:cs="Times New Roman"/>
          <w:smallCaps w:val="0"/>
          <w:color w:val="auto"/>
          <w:sz w:val="20"/>
          <w:szCs w:val="20"/>
        </w:rPr>
        <w:t xml:space="preserve">Table </w:t>
      </w:r>
      <w:r w:rsidRPr="009C5581">
        <w:rPr>
          <w:rFonts w:ascii="Times New Roman" w:hAnsi="Times New Roman" w:cs="Times New Roman"/>
          <w:smallCaps w:val="0"/>
          <w:color w:val="auto"/>
          <w:sz w:val="20"/>
          <w:szCs w:val="20"/>
        </w:rPr>
        <w:fldChar w:fldCharType="begin"/>
      </w:r>
      <w:r w:rsidRPr="009C5581">
        <w:rPr>
          <w:rFonts w:ascii="Times New Roman" w:hAnsi="Times New Roman" w:cs="Times New Roman"/>
          <w:smallCaps w:val="0"/>
          <w:color w:val="auto"/>
          <w:sz w:val="20"/>
          <w:szCs w:val="20"/>
        </w:rPr>
        <w:instrText xml:space="preserve"> SEQ Table \* ARABIC </w:instrText>
      </w:r>
      <w:r w:rsidRPr="009C5581">
        <w:rPr>
          <w:rFonts w:ascii="Times New Roman" w:hAnsi="Times New Roman" w:cs="Times New Roman"/>
          <w:smallCaps w:val="0"/>
          <w:color w:val="auto"/>
          <w:sz w:val="20"/>
          <w:szCs w:val="20"/>
        </w:rPr>
        <w:fldChar w:fldCharType="separate"/>
      </w:r>
      <w:r w:rsidR="000F6B8E">
        <w:rPr>
          <w:rFonts w:ascii="Times New Roman" w:hAnsi="Times New Roman" w:cs="Times New Roman"/>
          <w:smallCaps w:val="0"/>
          <w:noProof/>
          <w:color w:val="auto"/>
          <w:sz w:val="20"/>
          <w:szCs w:val="20"/>
        </w:rPr>
        <w:t>4</w:t>
      </w:r>
      <w:r w:rsidRPr="009C5581">
        <w:rPr>
          <w:rFonts w:ascii="Times New Roman" w:hAnsi="Times New Roman" w:cs="Times New Roman"/>
          <w:smallCaps w:val="0"/>
          <w:color w:val="auto"/>
          <w:sz w:val="20"/>
          <w:szCs w:val="20"/>
        </w:rPr>
        <w:fldChar w:fldCharType="end"/>
      </w:r>
      <w:bookmarkEnd w:id="50"/>
      <w:r w:rsidRPr="009C5581">
        <w:rPr>
          <w:rFonts w:ascii="Times New Roman" w:hAnsi="Times New Roman" w:cs="Times New Roman"/>
          <w:smallCaps w:val="0"/>
          <w:color w:val="auto"/>
          <w:sz w:val="20"/>
          <w:szCs w:val="20"/>
        </w:rPr>
        <w:t>:</w:t>
      </w:r>
      <w:r w:rsidRPr="009C5581">
        <w:rPr>
          <w:rFonts w:ascii="Times New Roman" w:hAnsi="Times New Roman" w:cs="Times New Roman"/>
          <w:b w:val="0"/>
          <w:bCs w:val="0"/>
          <w:smallCaps w:val="0"/>
          <w:color w:val="auto"/>
          <w:sz w:val="20"/>
          <w:szCs w:val="20"/>
        </w:rPr>
        <w:t xml:space="preserve"> Tax revenue indicators</w:t>
      </w:r>
      <w:bookmarkEnd w:id="51"/>
      <w:bookmarkEnd w:id="52"/>
      <w:bookmarkEnd w:id="53"/>
      <w:bookmarkEnd w:id="54"/>
    </w:p>
    <w:tbl>
      <w:tblPr>
        <w:tblW w:w="5000" w:type="pct"/>
        <w:jc w:val="center"/>
        <w:tblCellMar>
          <w:left w:w="70" w:type="dxa"/>
          <w:right w:w="70" w:type="dxa"/>
        </w:tblCellMar>
        <w:tblLook w:val="04A0" w:firstRow="1" w:lastRow="0" w:firstColumn="1" w:lastColumn="0" w:noHBand="0" w:noVBand="1"/>
      </w:tblPr>
      <w:tblGrid>
        <w:gridCol w:w="4095"/>
        <w:gridCol w:w="488"/>
        <w:gridCol w:w="488"/>
        <w:gridCol w:w="488"/>
        <w:gridCol w:w="488"/>
        <w:gridCol w:w="488"/>
        <w:gridCol w:w="488"/>
        <w:gridCol w:w="488"/>
        <w:gridCol w:w="488"/>
        <w:gridCol w:w="488"/>
        <w:gridCol w:w="488"/>
        <w:gridCol w:w="488"/>
        <w:gridCol w:w="417"/>
      </w:tblGrid>
      <w:tr w:rsidR="00B31956" w:rsidRPr="009C5581" w14:paraId="26E2BB7B" w14:textId="77777777" w:rsidTr="00B31956">
        <w:trPr>
          <w:trHeight w:val="20"/>
          <w:jc w:val="center"/>
        </w:trPr>
        <w:tc>
          <w:tcPr>
            <w:tcW w:w="2072"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7772B07" w14:textId="77777777" w:rsidR="00EB00FA" w:rsidRPr="009C5581" w:rsidRDefault="00EB00FA" w:rsidP="00D84C76">
            <w:pPr>
              <w:spacing w:after="0" w:line="240" w:lineRule="auto"/>
              <w:jc w:val="both"/>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Indicator</w:t>
            </w:r>
          </w:p>
        </w:tc>
        <w:tc>
          <w:tcPr>
            <w:tcW w:w="247" w:type="pct"/>
            <w:tcBorders>
              <w:top w:val="single" w:sz="4" w:space="0" w:color="auto"/>
              <w:left w:val="single" w:sz="4" w:space="0" w:color="auto"/>
              <w:bottom w:val="single" w:sz="4" w:space="0" w:color="auto"/>
              <w:right w:val="nil"/>
            </w:tcBorders>
            <w:shd w:val="clear" w:color="000000" w:fill="A6A6A6"/>
          </w:tcPr>
          <w:p w14:paraId="7F876D37" w14:textId="66378115"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2000</w:t>
            </w:r>
          </w:p>
        </w:tc>
        <w:tc>
          <w:tcPr>
            <w:tcW w:w="247" w:type="pct"/>
            <w:tcBorders>
              <w:top w:val="single" w:sz="4" w:space="0" w:color="auto"/>
              <w:left w:val="nil"/>
              <w:bottom w:val="single" w:sz="4" w:space="0" w:color="auto"/>
              <w:right w:val="nil"/>
            </w:tcBorders>
            <w:shd w:val="clear" w:color="000000" w:fill="A6A6A6"/>
            <w:noWrap/>
            <w:vAlign w:val="bottom"/>
            <w:hideMark/>
          </w:tcPr>
          <w:p w14:paraId="11BA7EA4" w14:textId="4D5159F8"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2004</w:t>
            </w:r>
          </w:p>
        </w:tc>
        <w:tc>
          <w:tcPr>
            <w:tcW w:w="247" w:type="pct"/>
            <w:tcBorders>
              <w:top w:val="single" w:sz="4" w:space="0" w:color="auto"/>
              <w:left w:val="nil"/>
              <w:bottom w:val="single" w:sz="4" w:space="0" w:color="auto"/>
              <w:right w:val="nil"/>
            </w:tcBorders>
            <w:shd w:val="clear" w:color="000000" w:fill="A6A6A6"/>
          </w:tcPr>
          <w:p w14:paraId="2AC1AC88" w14:textId="13561B04"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2008</w:t>
            </w:r>
          </w:p>
        </w:tc>
        <w:tc>
          <w:tcPr>
            <w:tcW w:w="247" w:type="pct"/>
            <w:tcBorders>
              <w:top w:val="single" w:sz="4" w:space="0" w:color="auto"/>
              <w:left w:val="nil"/>
              <w:bottom w:val="single" w:sz="4" w:space="0" w:color="auto"/>
              <w:right w:val="nil"/>
            </w:tcBorders>
            <w:shd w:val="clear" w:color="000000" w:fill="A6A6A6"/>
            <w:noWrap/>
            <w:vAlign w:val="bottom"/>
            <w:hideMark/>
          </w:tcPr>
          <w:p w14:paraId="3A991DEA" w14:textId="4AC38652"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2012</w:t>
            </w:r>
          </w:p>
        </w:tc>
        <w:tc>
          <w:tcPr>
            <w:tcW w:w="247" w:type="pct"/>
            <w:tcBorders>
              <w:top w:val="single" w:sz="4" w:space="0" w:color="auto"/>
              <w:left w:val="nil"/>
              <w:bottom w:val="single" w:sz="4" w:space="0" w:color="auto"/>
              <w:right w:val="nil"/>
            </w:tcBorders>
            <w:shd w:val="clear" w:color="000000" w:fill="A6A6A6"/>
            <w:noWrap/>
            <w:vAlign w:val="bottom"/>
            <w:hideMark/>
          </w:tcPr>
          <w:p w14:paraId="1F1D66A9" w14:textId="78800DD5"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201</w:t>
            </w:r>
            <w:r w:rsidR="000032D1" w:rsidRPr="009C5581">
              <w:rPr>
                <w:rFonts w:ascii="Times New Roman" w:eastAsia="Times New Roman" w:hAnsi="Times New Roman" w:cs="Times New Roman"/>
                <w:b/>
                <w:bCs/>
                <w:color w:val="FFFFFF"/>
                <w:sz w:val="16"/>
                <w:szCs w:val="16"/>
                <w:lang w:eastAsia="es-419"/>
              </w:rPr>
              <w:t>4</w:t>
            </w:r>
          </w:p>
        </w:tc>
        <w:tc>
          <w:tcPr>
            <w:tcW w:w="247" w:type="pct"/>
            <w:tcBorders>
              <w:top w:val="single" w:sz="4" w:space="0" w:color="auto"/>
              <w:left w:val="nil"/>
              <w:bottom w:val="single" w:sz="4" w:space="0" w:color="auto"/>
              <w:right w:val="nil"/>
            </w:tcBorders>
            <w:shd w:val="clear" w:color="000000" w:fill="A6A6A6"/>
            <w:noWrap/>
            <w:vAlign w:val="bottom"/>
            <w:hideMark/>
          </w:tcPr>
          <w:p w14:paraId="45F83444" w14:textId="18BD8858"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201</w:t>
            </w:r>
            <w:r w:rsidR="000032D1" w:rsidRPr="009C5581">
              <w:rPr>
                <w:rFonts w:ascii="Times New Roman" w:eastAsia="Times New Roman" w:hAnsi="Times New Roman" w:cs="Times New Roman"/>
                <w:b/>
                <w:bCs/>
                <w:color w:val="FFFFFF"/>
                <w:sz w:val="16"/>
                <w:szCs w:val="16"/>
                <w:lang w:eastAsia="es-419"/>
              </w:rPr>
              <w:t>5</w:t>
            </w:r>
          </w:p>
        </w:tc>
        <w:tc>
          <w:tcPr>
            <w:tcW w:w="247" w:type="pct"/>
            <w:tcBorders>
              <w:top w:val="single" w:sz="4" w:space="0" w:color="auto"/>
              <w:left w:val="nil"/>
              <w:bottom w:val="single" w:sz="4" w:space="0" w:color="auto"/>
              <w:right w:val="nil"/>
            </w:tcBorders>
            <w:shd w:val="clear" w:color="000000" w:fill="A6A6A6"/>
            <w:noWrap/>
            <w:vAlign w:val="bottom"/>
            <w:hideMark/>
          </w:tcPr>
          <w:p w14:paraId="5DF9EA7F" w14:textId="7F11370E"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201</w:t>
            </w:r>
            <w:r w:rsidR="000032D1" w:rsidRPr="009C5581">
              <w:rPr>
                <w:rFonts w:ascii="Times New Roman" w:eastAsia="Times New Roman" w:hAnsi="Times New Roman" w:cs="Times New Roman"/>
                <w:b/>
                <w:bCs/>
                <w:color w:val="FFFFFF"/>
                <w:sz w:val="16"/>
                <w:szCs w:val="16"/>
                <w:lang w:eastAsia="es-419"/>
              </w:rPr>
              <w:t>6</w:t>
            </w:r>
          </w:p>
        </w:tc>
        <w:tc>
          <w:tcPr>
            <w:tcW w:w="247" w:type="pct"/>
            <w:tcBorders>
              <w:top w:val="single" w:sz="4" w:space="0" w:color="auto"/>
              <w:left w:val="nil"/>
              <w:bottom w:val="single" w:sz="4" w:space="0" w:color="auto"/>
              <w:right w:val="nil"/>
            </w:tcBorders>
            <w:shd w:val="clear" w:color="000000" w:fill="A6A6A6"/>
            <w:noWrap/>
            <w:vAlign w:val="bottom"/>
            <w:hideMark/>
          </w:tcPr>
          <w:p w14:paraId="57A5E327" w14:textId="2E3E65AA"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201</w:t>
            </w:r>
            <w:r w:rsidR="000032D1" w:rsidRPr="009C5581">
              <w:rPr>
                <w:rFonts w:ascii="Times New Roman" w:eastAsia="Times New Roman" w:hAnsi="Times New Roman" w:cs="Times New Roman"/>
                <w:b/>
                <w:bCs/>
                <w:color w:val="FFFFFF"/>
                <w:sz w:val="16"/>
                <w:szCs w:val="16"/>
                <w:lang w:eastAsia="es-419"/>
              </w:rPr>
              <w:t>7</w:t>
            </w:r>
          </w:p>
        </w:tc>
        <w:tc>
          <w:tcPr>
            <w:tcW w:w="247" w:type="pct"/>
            <w:tcBorders>
              <w:top w:val="single" w:sz="4" w:space="0" w:color="auto"/>
              <w:left w:val="nil"/>
              <w:bottom w:val="single" w:sz="4" w:space="0" w:color="auto"/>
              <w:right w:val="nil"/>
            </w:tcBorders>
            <w:shd w:val="clear" w:color="000000" w:fill="A6A6A6"/>
            <w:noWrap/>
            <w:vAlign w:val="bottom"/>
            <w:hideMark/>
          </w:tcPr>
          <w:p w14:paraId="120820EB" w14:textId="636BCDB1"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201</w:t>
            </w:r>
            <w:r w:rsidR="000032D1" w:rsidRPr="009C5581">
              <w:rPr>
                <w:rFonts w:ascii="Times New Roman" w:eastAsia="Times New Roman" w:hAnsi="Times New Roman" w:cs="Times New Roman"/>
                <w:b/>
                <w:bCs/>
                <w:color w:val="FFFFFF"/>
                <w:sz w:val="16"/>
                <w:szCs w:val="16"/>
                <w:lang w:eastAsia="es-419"/>
              </w:rPr>
              <w:t>8</w:t>
            </w:r>
          </w:p>
        </w:tc>
        <w:tc>
          <w:tcPr>
            <w:tcW w:w="247" w:type="pct"/>
            <w:tcBorders>
              <w:top w:val="single" w:sz="4" w:space="0" w:color="auto"/>
              <w:left w:val="nil"/>
              <w:bottom w:val="single" w:sz="4" w:space="0" w:color="auto"/>
              <w:right w:val="nil"/>
            </w:tcBorders>
            <w:shd w:val="clear" w:color="000000" w:fill="A6A6A6"/>
            <w:noWrap/>
            <w:vAlign w:val="bottom"/>
            <w:hideMark/>
          </w:tcPr>
          <w:p w14:paraId="5CE3915D" w14:textId="6BBC534E"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201</w:t>
            </w:r>
            <w:r w:rsidR="000032D1" w:rsidRPr="009C5581">
              <w:rPr>
                <w:rFonts w:ascii="Times New Roman" w:eastAsia="Times New Roman" w:hAnsi="Times New Roman" w:cs="Times New Roman"/>
                <w:b/>
                <w:bCs/>
                <w:color w:val="FFFFFF"/>
                <w:sz w:val="16"/>
                <w:szCs w:val="16"/>
                <w:lang w:eastAsia="es-419"/>
              </w:rPr>
              <w:t>9</w:t>
            </w:r>
          </w:p>
        </w:tc>
        <w:tc>
          <w:tcPr>
            <w:tcW w:w="247" w:type="pct"/>
            <w:tcBorders>
              <w:top w:val="single" w:sz="4" w:space="0" w:color="auto"/>
              <w:left w:val="nil"/>
              <w:bottom w:val="single" w:sz="4" w:space="0" w:color="auto"/>
              <w:right w:val="single" w:sz="4" w:space="0" w:color="auto"/>
            </w:tcBorders>
            <w:shd w:val="clear" w:color="000000" w:fill="A6A6A6"/>
            <w:noWrap/>
            <w:vAlign w:val="bottom"/>
            <w:hideMark/>
          </w:tcPr>
          <w:p w14:paraId="214C8D41" w14:textId="0505A46F" w:rsidR="00EB00FA" w:rsidRPr="009C5581" w:rsidRDefault="00EB00FA" w:rsidP="00D84C76">
            <w:pPr>
              <w:spacing w:after="0" w:line="240" w:lineRule="auto"/>
              <w:jc w:val="right"/>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20</w:t>
            </w:r>
            <w:r w:rsidR="000032D1" w:rsidRPr="009C5581">
              <w:rPr>
                <w:rFonts w:ascii="Times New Roman" w:eastAsia="Times New Roman" w:hAnsi="Times New Roman" w:cs="Times New Roman"/>
                <w:b/>
                <w:bCs/>
                <w:color w:val="FFFFFF"/>
                <w:sz w:val="16"/>
                <w:szCs w:val="16"/>
                <w:lang w:eastAsia="es-419"/>
              </w:rPr>
              <w:t>20</w:t>
            </w:r>
          </w:p>
        </w:tc>
        <w:tc>
          <w:tcPr>
            <w:tcW w:w="211"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10D3C2BE" w14:textId="77777777" w:rsidR="00EB00FA" w:rsidRPr="009C5581" w:rsidRDefault="00EB00FA" w:rsidP="00D84C76">
            <w:pPr>
              <w:spacing w:after="0" w:line="240" w:lineRule="auto"/>
              <w:jc w:val="center"/>
              <w:rPr>
                <w:rFonts w:ascii="Times New Roman" w:eastAsia="Times New Roman" w:hAnsi="Times New Roman" w:cs="Times New Roman"/>
                <w:b/>
                <w:bCs/>
                <w:color w:val="FFFFFF"/>
                <w:sz w:val="16"/>
                <w:szCs w:val="16"/>
                <w:lang w:eastAsia="es-419"/>
              </w:rPr>
            </w:pPr>
            <w:r w:rsidRPr="009C5581">
              <w:rPr>
                <w:rFonts w:ascii="Times New Roman" w:eastAsia="Times New Roman" w:hAnsi="Times New Roman" w:cs="Times New Roman"/>
                <w:b/>
                <w:bCs/>
                <w:color w:val="FFFFFF"/>
                <w:sz w:val="16"/>
                <w:szCs w:val="16"/>
                <w:lang w:eastAsia="es-419"/>
              </w:rPr>
              <w:t>5y</w:t>
            </w:r>
          </w:p>
        </w:tc>
      </w:tr>
      <w:tr w:rsidR="00B31956" w:rsidRPr="009C5581" w14:paraId="7B3544AA" w14:textId="77777777" w:rsidTr="00B31956">
        <w:trPr>
          <w:trHeight w:val="20"/>
          <w:jc w:val="center"/>
        </w:trPr>
        <w:tc>
          <w:tcPr>
            <w:tcW w:w="2072" w:type="pct"/>
            <w:tcBorders>
              <w:top w:val="single" w:sz="4" w:space="0" w:color="auto"/>
              <w:left w:val="single" w:sz="4" w:space="0" w:color="auto"/>
              <w:right w:val="single" w:sz="4" w:space="0" w:color="auto"/>
            </w:tcBorders>
            <w:shd w:val="clear" w:color="auto" w:fill="auto"/>
            <w:noWrap/>
            <w:vAlign w:val="bottom"/>
            <w:hideMark/>
          </w:tcPr>
          <w:p w14:paraId="633F29F5" w14:textId="1F4C3C82" w:rsidR="00EB00FA" w:rsidRPr="009C5581" w:rsidRDefault="000E05F0" w:rsidP="00D84C76">
            <w:pPr>
              <w:spacing w:after="0" w:line="240" w:lineRule="auto"/>
              <w:jc w:val="both"/>
              <w:rPr>
                <w:rFonts w:ascii="Times New Roman" w:eastAsia="Times New Roman" w:hAnsi="Times New Roman" w:cs="Times New Roman"/>
                <w:b/>
                <w:bCs/>
                <w:color w:val="000000"/>
                <w:sz w:val="16"/>
                <w:szCs w:val="16"/>
                <w:lang w:eastAsia="es-419"/>
              </w:rPr>
            </w:pPr>
            <w:r w:rsidRPr="009C5581">
              <w:rPr>
                <w:rFonts w:ascii="Times New Roman" w:eastAsia="Times New Roman" w:hAnsi="Times New Roman" w:cs="Times New Roman"/>
                <w:b/>
                <w:bCs/>
                <w:color w:val="000000"/>
                <w:sz w:val="16"/>
                <w:szCs w:val="16"/>
                <w:lang w:eastAsia="es-419"/>
              </w:rPr>
              <w:t>Tax revenue (% GDP)</w:t>
            </w:r>
          </w:p>
        </w:tc>
        <w:tc>
          <w:tcPr>
            <w:tcW w:w="247" w:type="pct"/>
            <w:tcBorders>
              <w:top w:val="single" w:sz="4" w:space="0" w:color="auto"/>
              <w:left w:val="nil"/>
              <w:right w:val="nil"/>
            </w:tcBorders>
          </w:tcPr>
          <w:p w14:paraId="5DC05703" w14:textId="4868CA65" w:rsidR="00EB00FA" w:rsidRPr="009C5581" w:rsidRDefault="00C2199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single" w:sz="4" w:space="0" w:color="auto"/>
              <w:left w:val="nil"/>
              <w:right w:val="nil"/>
            </w:tcBorders>
            <w:shd w:val="clear" w:color="auto" w:fill="auto"/>
            <w:noWrap/>
            <w:vAlign w:val="bottom"/>
          </w:tcPr>
          <w:p w14:paraId="093998C3" w14:textId="09DFD04A" w:rsidR="00EB00FA" w:rsidRPr="009C5581" w:rsidRDefault="00C2199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single" w:sz="4" w:space="0" w:color="auto"/>
              <w:left w:val="nil"/>
              <w:right w:val="nil"/>
            </w:tcBorders>
          </w:tcPr>
          <w:p w14:paraId="72F1E8F8" w14:textId="263961CA" w:rsidR="00EB00FA" w:rsidRPr="009C5581" w:rsidRDefault="00C2199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single" w:sz="4" w:space="0" w:color="auto"/>
              <w:left w:val="nil"/>
              <w:right w:val="nil"/>
            </w:tcBorders>
            <w:shd w:val="clear" w:color="auto" w:fill="auto"/>
            <w:noWrap/>
            <w:vAlign w:val="bottom"/>
          </w:tcPr>
          <w:p w14:paraId="01A634E1" w14:textId="1A46BEF5" w:rsidR="00EB00FA" w:rsidRPr="009C5581" w:rsidRDefault="00C2199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single" w:sz="4" w:space="0" w:color="auto"/>
              <w:left w:val="nil"/>
              <w:right w:val="nil"/>
            </w:tcBorders>
            <w:shd w:val="clear" w:color="auto" w:fill="auto"/>
            <w:noWrap/>
            <w:vAlign w:val="bottom"/>
          </w:tcPr>
          <w:p w14:paraId="60474C84" w14:textId="006DFF76" w:rsidR="00EB00FA" w:rsidRPr="009C5581" w:rsidRDefault="003F0EA6"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15.2</w:t>
            </w:r>
          </w:p>
        </w:tc>
        <w:tc>
          <w:tcPr>
            <w:tcW w:w="247" w:type="pct"/>
            <w:tcBorders>
              <w:top w:val="single" w:sz="4" w:space="0" w:color="auto"/>
              <w:left w:val="nil"/>
              <w:right w:val="nil"/>
            </w:tcBorders>
            <w:shd w:val="clear" w:color="auto" w:fill="auto"/>
            <w:noWrap/>
            <w:vAlign w:val="bottom"/>
          </w:tcPr>
          <w:p w14:paraId="2A4F4750" w14:textId="14E41555" w:rsidR="00EB00FA" w:rsidRPr="009C5581" w:rsidRDefault="0020305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14.8</w:t>
            </w:r>
          </w:p>
        </w:tc>
        <w:tc>
          <w:tcPr>
            <w:tcW w:w="247" w:type="pct"/>
            <w:tcBorders>
              <w:top w:val="single" w:sz="4" w:space="0" w:color="auto"/>
              <w:left w:val="nil"/>
              <w:right w:val="nil"/>
            </w:tcBorders>
            <w:shd w:val="clear" w:color="auto" w:fill="auto"/>
            <w:noWrap/>
            <w:vAlign w:val="bottom"/>
          </w:tcPr>
          <w:p w14:paraId="3E6F8175" w14:textId="72D98107" w:rsidR="00EB00FA" w:rsidRPr="009C5581" w:rsidRDefault="0020305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15.0</w:t>
            </w:r>
          </w:p>
        </w:tc>
        <w:tc>
          <w:tcPr>
            <w:tcW w:w="247" w:type="pct"/>
            <w:tcBorders>
              <w:top w:val="single" w:sz="4" w:space="0" w:color="auto"/>
              <w:left w:val="nil"/>
              <w:right w:val="nil"/>
            </w:tcBorders>
            <w:shd w:val="clear" w:color="auto" w:fill="auto"/>
            <w:noWrap/>
            <w:vAlign w:val="bottom"/>
          </w:tcPr>
          <w:p w14:paraId="56C64496" w14:textId="45411344" w:rsidR="00EB00FA" w:rsidRPr="009C5581" w:rsidRDefault="0020305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15.1</w:t>
            </w:r>
          </w:p>
        </w:tc>
        <w:tc>
          <w:tcPr>
            <w:tcW w:w="247" w:type="pct"/>
            <w:tcBorders>
              <w:top w:val="single" w:sz="4" w:space="0" w:color="auto"/>
              <w:left w:val="nil"/>
              <w:right w:val="nil"/>
            </w:tcBorders>
            <w:shd w:val="clear" w:color="auto" w:fill="auto"/>
            <w:noWrap/>
            <w:vAlign w:val="bottom"/>
          </w:tcPr>
          <w:p w14:paraId="0F421B97" w14:textId="0DB2D21A" w:rsidR="00EB00FA" w:rsidRPr="009C5581" w:rsidRDefault="0020305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14.4</w:t>
            </w:r>
          </w:p>
        </w:tc>
        <w:tc>
          <w:tcPr>
            <w:tcW w:w="247" w:type="pct"/>
            <w:tcBorders>
              <w:top w:val="single" w:sz="4" w:space="0" w:color="auto"/>
              <w:left w:val="nil"/>
              <w:right w:val="nil"/>
            </w:tcBorders>
            <w:shd w:val="clear" w:color="auto" w:fill="auto"/>
            <w:noWrap/>
            <w:vAlign w:val="bottom"/>
          </w:tcPr>
          <w:p w14:paraId="76293550" w14:textId="1222DDB2" w:rsidR="00EB00FA" w:rsidRPr="009C5581" w:rsidRDefault="0020305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15.1</w:t>
            </w:r>
          </w:p>
        </w:tc>
        <w:tc>
          <w:tcPr>
            <w:tcW w:w="247" w:type="pct"/>
            <w:tcBorders>
              <w:top w:val="single" w:sz="4" w:space="0" w:color="auto"/>
              <w:left w:val="nil"/>
              <w:right w:val="single" w:sz="4" w:space="0" w:color="auto"/>
            </w:tcBorders>
            <w:shd w:val="clear" w:color="auto" w:fill="auto"/>
            <w:noWrap/>
            <w:vAlign w:val="bottom"/>
          </w:tcPr>
          <w:p w14:paraId="25EF2684" w14:textId="47272483" w:rsidR="00EB00FA" w:rsidRPr="009C5581" w:rsidRDefault="0020305E"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14.3</w:t>
            </w:r>
          </w:p>
        </w:tc>
        <w:tc>
          <w:tcPr>
            <w:tcW w:w="211" w:type="pct"/>
            <w:tcBorders>
              <w:top w:val="single" w:sz="4" w:space="0" w:color="auto"/>
              <w:left w:val="nil"/>
              <w:right w:val="single" w:sz="4" w:space="0" w:color="auto"/>
            </w:tcBorders>
            <w:shd w:val="clear" w:color="auto" w:fill="auto"/>
            <w:noWrap/>
            <w:vAlign w:val="bottom"/>
          </w:tcPr>
          <w:p w14:paraId="62A55185" w14:textId="43B088D6" w:rsidR="00EB00FA" w:rsidRPr="009C5581" w:rsidRDefault="0020305E" w:rsidP="00D84C76">
            <w:pPr>
              <w:spacing w:after="0" w:line="240" w:lineRule="auto"/>
              <w:jc w:val="center"/>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0</w:t>
            </w:r>
          </w:p>
        </w:tc>
      </w:tr>
      <w:tr w:rsidR="00B31956" w:rsidRPr="009C5581" w14:paraId="0F7E754B" w14:textId="77777777" w:rsidTr="00B31956">
        <w:trPr>
          <w:trHeight w:val="20"/>
          <w:jc w:val="center"/>
        </w:trPr>
        <w:tc>
          <w:tcPr>
            <w:tcW w:w="2072" w:type="pct"/>
            <w:tcBorders>
              <w:top w:val="nil"/>
              <w:left w:val="single" w:sz="4" w:space="0" w:color="auto"/>
              <w:right w:val="single" w:sz="4" w:space="0" w:color="auto"/>
            </w:tcBorders>
            <w:shd w:val="clear" w:color="000000" w:fill="F2F2F2"/>
            <w:noWrap/>
            <w:vAlign w:val="bottom"/>
          </w:tcPr>
          <w:p w14:paraId="4598166F" w14:textId="3B648FC0" w:rsidR="000B3A4B" w:rsidRPr="009C5581" w:rsidRDefault="000B3A4B" w:rsidP="000B3A4B">
            <w:pPr>
              <w:spacing w:after="0" w:line="240" w:lineRule="auto"/>
              <w:jc w:val="both"/>
              <w:rPr>
                <w:rFonts w:ascii="Times New Roman" w:eastAsia="Times New Roman" w:hAnsi="Times New Roman" w:cs="Times New Roman"/>
                <w:b/>
                <w:bCs/>
                <w:color w:val="000000"/>
                <w:sz w:val="16"/>
                <w:szCs w:val="16"/>
                <w:lang w:eastAsia="es-419"/>
              </w:rPr>
            </w:pPr>
            <w:r w:rsidRPr="009C5581">
              <w:rPr>
                <w:rFonts w:ascii="Times New Roman" w:eastAsia="Times New Roman" w:hAnsi="Times New Roman" w:cs="Times New Roman"/>
                <w:b/>
                <w:bCs/>
                <w:color w:val="000000"/>
                <w:sz w:val="16"/>
                <w:szCs w:val="16"/>
                <w:lang w:eastAsia="es-419"/>
              </w:rPr>
              <w:t>Taxes on goods and services (% of taxes)</w:t>
            </w:r>
          </w:p>
        </w:tc>
        <w:tc>
          <w:tcPr>
            <w:tcW w:w="247" w:type="pct"/>
            <w:tcBorders>
              <w:top w:val="nil"/>
              <w:left w:val="single" w:sz="4" w:space="0" w:color="auto"/>
            </w:tcBorders>
            <w:shd w:val="clear" w:color="000000" w:fill="F2F2F2"/>
          </w:tcPr>
          <w:p w14:paraId="25F48BB7" w14:textId="5BB5AF5A"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noWrap/>
          </w:tcPr>
          <w:p w14:paraId="76A170B8" w14:textId="3AEDD61B"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tcPr>
          <w:p w14:paraId="34434AB6" w14:textId="0E2C4B6E"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noWrap/>
          </w:tcPr>
          <w:p w14:paraId="2A6E3F3A" w14:textId="027D87C1"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noWrap/>
          </w:tcPr>
          <w:p w14:paraId="627C5BA0" w14:textId="506FB9C1"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39.7</w:t>
            </w:r>
          </w:p>
        </w:tc>
        <w:tc>
          <w:tcPr>
            <w:tcW w:w="247" w:type="pct"/>
            <w:tcBorders>
              <w:top w:val="nil"/>
            </w:tcBorders>
            <w:shd w:val="clear" w:color="000000" w:fill="F2F2F2"/>
            <w:noWrap/>
          </w:tcPr>
          <w:p w14:paraId="57D3F4DF" w14:textId="5AAC28FD"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39.6</w:t>
            </w:r>
          </w:p>
        </w:tc>
        <w:tc>
          <w:tcPr>
            <w:tcW w:w="247" w:type="pct"/>
            <w:tcBorders>
              <w:top w:val="nil"/>
            </w:tcBorders>
            <w:shd w:val="clear" w:color="000000" w:fill="F2F2F2"/>
            <w:noWrap/>
          </w:tcPr>
          <w:p w14:paraId="7965F07E" w14:textId="3C944836"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noWrap/>
          </w:tcPr>
          <w:p w14:paraId="56C7F7AD" w14:textId="2842B64B"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41.6</w:t>
            </w:r>
          </w:p>
        </w:tc>
        <w:tc>
          <w:tcPr>
            <w:tcW w:w="247" w:type="pct"/>
            <w:tcBorders>
              <w:top w:val="nil"/>
            </w:tcBorders>
            <w:shd w:val="clear" w:color="000000" w:fill="F2F2F2"/>
            <w:noWrap/>
          </w:tcPr>
          <w:p w14:paraId="507582E3" w14:textId="2C4A068E"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41.6</w:t>
            </w:r>
          </w:p>
        </w:tc>
        <w:tc>
          <w:tcPr>
            <w:tcW w:w="247" w:type="pct"/>
            <w:tcBorders>
              <w:top w:val="nil"/>
            </w:tcBorders>
            <w:shd w:val="clear" w:color="000000" w:fill="F2F2F2"/>
            <w:noWrap/>
          </w:tcPr>
          <w:p w14:paraId="472B0C8A" w14:textId="6B5258A9"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45.7</w:t>
            </w:r>
          </w:p>
        </w:tc>
        <w:tc>
          <w:tcPr>
            <w:tcW w:w="247" w:type="pct"/>
            <w:tcBorders>
              <w:top w:val="nil"/>
              <w:right w:val="single" w:sz="4" w:space="0" w:color="auto"/>
            </w:tcBorders>
            <w:shd w:val="clear" w:color="000000" w:fill="F2F2F2"/>
            <w:noWrap/>
          </w:tcPr>
          <w:p w14:paraId="598CEE50" w14:textId="51202E26"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44.0</w:t>
            </w:r>
          </w:p>
        </w:tc>
        <w:tc>
          <w:tcPr>
            <w:tcW w:w="211" w:type="pct"/>
            <w:tcBorders>
              <w:top w:val="nil"/>
              <w:left w:val="single" w:sz="4" w:space="0" w:color="auto"/>
              <w:right w:val="single" w:sz="4" w:space="0" w:color="auto"/>
            </w:tcBorders>
            <w:shd w:val="clear" w:color="000000" w:fill="F2F2F2"/>
            <w:noWrap/>
            <w:vAlign w:val="bottom"/>
          </w:tcPr>
          <w:p w14:paraId="0E9F4749" w14:textId="379A70D9" w:rsidR="000B3A4B" w:rsidRPr="009C5581" w:rsidRDefault="00600CD0" w:rsidP="000B3A4B">
            <w:pPr>
              <w:spacing w:after="0" w:line="240" w:lineRule="auto"/>
              <w:jc w:val="center"/>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r>
      <w:tr w:rsidR="000B3A4B" w:rsidRPr="009C5581" w14:paraId="73CDC081" w14:textId="77777777" w:rsidTr="00EC48A0">
        <w:trPr>
          <w:trHeight w:val="20"/>
          <w:jc w:val="center"/>
        </w:trPr>
        <w:tc>
          <w:tcPr>
            <w:tcW w:w="2072" w:type="pct"/>
            <w:tcBorders>
              <w:top w:val="nil"/>
              <w:left w:val="single" w:sz="4" w:space="0" w:color="auto"/>
              <w:right w:val="single" w:sz="4" w:space="0" w:color="auto"/>
            </w:tcBorders>
            <w:shd w:val="clear" w:color="auto" w:fill="auto"/>
            <w:noWrap/>
            <w:vAlign w:val="bottom"/>
          </w:tcPr>
          <w:p w14:paraId="1498F900" w14:textId="2C23EA54" w:rsidR="000B3A4B" w:rsidRPr="009C5581" w:rsidRDefault="000B3A4B" w:rsidP="000B3A4B">
            <w:pPr>
              <w:spacing w:after="0" w:line="240" w:lineRule="auto"/>
              <w:jc w:val="both"/>
              <w:rPr>
                <w:rFonts w:ascii="Times New Roman" w:eastAsia="Times New Roman" w:hAnsi="Times New Roman" w:cs="Times New Roman"/>
                <w:b/>
                <w:bCs/>
                <w:color w:val="000000"/>
                <w:sz w:val="16"/>
                <w:szCs w:val="16"/>
                <w:lang w:eastAsia="es-419"/>
              </w:rPr>
            </w:pPr>
            <w:r w:rsidRPr="009C5581">
              <w:rPr>
                <w:rFonts w:ascii="Times New Roman" w:eastAsia="Times New Roman" w:hAnsi="Times New Roman" w:cs="Times New Roman"/>
                <w:b/>
                <w:bCs/>
                <w:color w:val="000000"/>
                <w:sz w:val="16"/>
                <w:szCs w:val="16"/>
                <w:lang w:eastAsia="es-419"/>
              </w:rPr>
              <w:t>Taxes on income, profits and capital gains (% of taxes)</w:t>
            </w:r>
          </w:p>
        </w:tc>
        <w:tc>
          <w:tcPr>
            <w:tcW w:w="247" w:type="pct"/>
            <w:tcBorders>
              <w:top w:val="nil"/>
              <w:left w:val="single" w:sz="4" w:space="0" w:color="auto"/>
            </w:tcBorders>
            <w:shd w:val="clear" w:color="auto" w:fill="auto"/>
          </w:tcPr>
          <w:p w14:paraId="4B953AC2" w14:textId="6414F320"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auto" w:fill="auto"/>
            <w:noWrap/>
          </w:tcPr>
          <w:p w14:paraId="36FC0270" w14:textId="513B9EB4"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auto" w:fill="auto"/>
          </w:tcPr>
          <w:p w14:paraId="7CF653FB" w14:textId="54567089"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auto" w:fill="auto"/>
            <w:noWrap/>
          </w:tcPr>
          <w:p w14:paraId="1100C776" w14:textId="24CDA978"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auto" w:fill="auto"/>
            <w:noWrap/>
          </w:tcPr>
          <w:p w14:paraId="65F0B655" w14:textId="7A140DB6"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49.9</w:t>
            </w:r>
          </w:p>
        </w:tc>
        <w:tc>
          <w:tcPr>
            <w:tcW w:w="247" w:type="pct"/>
            <w:tcBorders>
              <w:top w:val="nil"/>
            </w:tcBorders>
            <w:shd w:val="clear" w:color="auto" w:fill="auto"/>
            <w:noWrap/>
          </w:tcPr>
          <w:p w14:paraId="5E8FCB1F" w14:textId="4B6A9613"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50.4</w:t>
            </w:r>
          </w:p>
        </w:tc>
        <w:tc>
          <w:tcPr>
            <w:tcW w:w="247" w:type="pct"/>
            <w:tcBorders>
              <w:top w:val="nil"/>
            </w:tcBorders>
            <w:shd w:val="clear" w:color="auto" w:fill="auto"/>
            <w:noWrap/>
          </w:tcPr>
          <w:p w14:paraId="4D7041D9" w14:textId="1FA3255F"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auto" w:fill="auto"/>
            <w:noWrap/>
          </w:tcPr>
          <w:p w14:paraId="669AF6A6" w14:textId="141E8D10"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49.5</w:t>
            </w:r>
          </w:p>
        </w:tc>
        <w:tc>
          <w:tcPr>
            <w:tcW w:w="247" w:type="pct"/>
            <w:tcBorders>
              <w:top w:val="nil"/>
            </w:tcBorders>
            <w:shd w:val="clear" w:color="auto" w:fill="auto"/>
            <w:noWrap/>
          </w:tcPr>
          <w:p w14:paraId="61F52FD2" w14:textId="3BC42285"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49.4</w:t>
            </w:r>
          </w:p>
        </w:tc>
        <w:tc>
          <w:tcPr>
            <w:tcW w:w="247" w:type="pct"/>
            <w:tcBorders>
              <w:top w:val="nil"/>
            </w:tcBorders>
            <w:shd w:val="clear" w:color="auto" w:fill="auto"/>
            <w:noWrap/>
          </w:tcPr>
          <w:p w14:paraId="16386C40" w14:textId="69E13FED"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44.4</w:t>
            </w:r>
          </w:p>
        </w:tc>
        <w:tc>
          <w:tcPr>
            <w:tcW w:w="247" w:type="pct"/>
            <w:tcBorders>
              <w:top w:val="nil"/>
              <w:right w:val="single" w:sz="4" w:space="0" w:color="auto"/>
            </w:tcBorders>
            <w:shd w:val="clear" w:color="auto" w:fill="auto"/>
            <w:noWrap/>
          </w:tcPr>
          <w:p w14:paraId="0D9D8861" w14:textId="015E68CD"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46.2</w:t>
            </w:r>
          </w:p>
        </w:tc>
        <w:tc>
          <w:tcPr>
            <w:tcW w:w="211" w:type="pct"/>
            <w:tcBorders>
              <w:top w:val="nil"/>
              <w:left w:val="single" w:sz="4" w:space="0" w:color="auto"/>
              <w:right w:val="single" w:sz="4" w:space="0" w:color="auto"/>
            </w:tcBorders>
            <w:shd w:val="clear" w:color="auto" w:fill="auto"/>
            <w:noWrap/>
            <w:vAlign w:val="bottom"/>
          </w:tcPr>
          <w:p w14:paraId="6F859C65" w14:textId="3AE7F44C" w:rsidR="000B3A4B" w:rsidRPr="009C5581" w:rsidRDefault="00600CD0" w:rsidP="000B3A4B">
            <w:pPr>
              <w:spacing w:after="0" w:line="240" w:lineRule="auto"/>
              <w:jc w:val="center"/>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0</w:t>
            </w:r>
          </w:p>
        </w:tc>
      </w:tr>
      <w:tr w:rsidR="000B3A4B" w:rsidRPr="009C5581" w14:paraId="0F11E4D2" w14:textId="77777777" w:rsidTr="00B31956">
        <w:trPr>
          <w:trHeight w:val="20"/>
          <w:jc w:val="center"/>
        </w:trPr>
        <w:tc>
          <w:tcPr>
            <w:tcW w:w="2072" w:type="pct"/>
            <w:tcBorders>
              <w:top w:val="nil"/>
              <w:left w:val="single" w:sz="4" w:space="0" w:color="auto"/>
              <w:right w:val="single" w:sz="4" w:space="0" w:color="auto"/>
            </w:tcBorders>
            <w:shd w:val="clear" w:color="000000" w:fill="F2F2F2"/>
            <w:noWrap/>
            <w:vAlign w:val="bottom"/>
          </w:tcPr>
          <w:p w14:paraId="375F11C5" w14:textId="48AC49C7" w:rsidR="000B3A4B" w:rsidRPr="009C5581" w:rsidRDefault="000B3A4B" w:rsidP="000B3A4B">
            <w:pPr>
              <w:spacing w:after="0" w:line="240" w:lineRule="auto"/>
              <w:jc w:val="both"/>
              <w:rPr>
                <w:rFonts w:ascii="Times New Roman" w:eastAsia="Times New Roman" w:hAnsi="Times New Roman" w:cs="Times New Roman"/>
                <w:b/>
                <w:bCs/>
                <w:color w:val="000000"/>
                <w:sz w:val="16"/>
                <w:szCs w:val="16"/>
                <w:lang w:eastAsia="es-419"/>
              </w:rPr>
            </w:pPr>
            <w:r w:rsidRPr="009C5581">
              <w:rPr>
                <w:rFonts w:ascii="Times New Roman" w:eastAsia="Times New Roman" w:hAnsi="Times New Roman" w:cs="Times New Roman"/>
                <w:b/>
                <w:bCs/>
                <w:color w:val="000000"/>
                <w:sz w:val="16"/>
                <w:szCs w:val="16"/>
                <w:lang w:eastAsia="es-419"/>
              </w:rPr>
              <w:t>Taxes on international trade (% of taxes)</w:t>
            </w:r>
          </w:p>
        </w:tc>
        <w:tc>
          <w:tcPr>
            <w:tcW w:w="247" w:type="pct"/>
            <w:tcBorders>
              <w:top w:val="nil"/>
              <w:left w:val="single" w:sz="4" w:space="0" w:color="auto"/>
            </w:tcBorders>
            <w:shd w:val="clear" w:color="000000" w:fill="F2F2F2"/>
          </w:tcPr>
          <w:p w14:paraId="5539849D" w14:textId="12BFEDE4"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noWrap/>
          </w:tcPr>
          <w:p w14:paraId="1AA150E8" w14:textId="77443182"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tcPr>
          <w:p w14:paraId="39A98DE7" w14:textId="13280CBE"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noWrap/>
          </w:tcPr>
          <w:p w14:paraId="38B5A48B" w14:textId="00EB1679"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noWrap/>
          </w:tcPr>
          <w:p w14:paraId="2B76493B" w14:textId="4C2AC725"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10.4</w:t>
            </w:r>
          </w:p>
        </w:tc>
        <w:tc>
          <w:tcPr>
            <w:tcW w:w="247" w:type="pct"/>
            <w:tcBorders>
              <w:top w:val="nil"/>
            </w:tcBorders>
            <w:shd w:val="clear" w:color="000000" w:fill="F2F2F2"/>
            <w:noWrap/>
          </w:tcPr>
          <w:p w14:paraId="73E42303" w14:textId="0860AF0E"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10.0</w:t>
            </w:r>
          </w:p>
        </w:tc>
        <w:tc>
          <w:tcPr>
            <w:tcW w:w="247" w:type="pct"/>
            <w:tcBorders>
              <w:top w:val="nil"/>
            </w:tcBorders>
            <w:shd w:val="clear" w:color="000000" w:fill="F2F2F2"/>
            <w:noWrap/>
          </w:tcPr>
          <w:p w14:paraId="12202E57" w14:textId="50DD7A9D"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top w:val="nil"/>
            </w:tcBorders>
            <w:shd w:val="clear" w:color="000000" w:fill="F2F2F2"/>
            <w:noWrap/>
          </w:tcPr>
          <w:p w14:paraId="779E8A02" w14:textId="29B89409"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8.9</w:t>
            </w:r>
          </w:p>
        </w:tc>
        <w:tc>
          <w:tcPr>
            <w:tcW w:w="247" w:type="pct"/>
            <w:tcBorders>
              <w:top w:val="nil"/>
            </w:tcBorders>
            <w:shd w:val="clear" w:color="000000" w:fill="F2F2F2"/>
            <w:noWrap/>
          </w:tcPr>
          <w:p w14:paraId="182156BB" w14:textId="7B9A68A5"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8.9</w:t>
            </w:r>
          </w:p>
        </w:tc>
        <w:tc>
          <w:tcPr>
            <w:tcW w:w="247" w:type="pct"/>
            <w:tcBorders>
              <w:top w:val="nil"/>
            </w:tcBorders>
            <w:shd w:val="clear" w:color="000000" w:fill="F2F2F2"/>
            <w:noWrap/>
          </w:tcPr>
          <w:p w14:paraId="5208FBE7" w14:textId="324FEF3E"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9.9</w:t>
            </w:r>
          </w:p>
        </w:tc>
        <w:tc>
          <w:tcPr>
            <w:tcW w:w="247" w:type="pct"/>
            <w:tcBorders>
              <w:top w:val="nil"/>
              <w:right w:val="single" w:sz="4" w:space="0" w:color="auto"/>
            </w:tcBorders>
            <w:shd w:val="clear" w:color="000000" w:fill="F2F2F2"/>
            <w:noWrap/>
          </w:tcPr>
          <w:p w14:paraId="3DB4C10F" w14:textId="3F99FD35" w:rsidR="000B3A4B" w:rsidRPr="009C5581" w:rsidRDefault="000B3A4B" w:rsidP="000B3A4B">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hAnsi="Times New Roman" w:cs="Times New Roman"/>
                <w:sz w:val="16"/>
                <w:szCs w:val="16"/>
              </w:rPr>
              <w:t>9.9</w:t>
            </w:r>
          </w:p>
        </w:tc>
        <w:tc>
          <w:tcPr>
            <w:tcW w:w="211" w:type="pct"/>
            <w:tcBorders>
              <w:top w:val="nil"/>
              <w:left w:val="single" w:sz="4" w:space="0" w:color="auto"/>
              <w:right w:val="single" w:sz="4" w:space="0" w:color="auto"/>
            </w:tcBorders>
            <w:shd w:val="clear" w:color="000000" w:fill="F2F2F2"/>
            <w:noWrap/>
            <w:vAlign w:val="bottom"/>
          </w:tcPr>
          <w:p w14:paraId="5A5F24C1" w14:textId="6F93DBAD" w:rsidR="000B3A4B" w:rsidRPr="009C5581" w:rsidRDefault="00600CD0" w:rsidP="000B3A4B">
            <w:pPr>
              <w:spacing w:after="0" w:line="240" w:lineRule="auto"/>
              <w:jc w:val="center"/>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0</w:t>
            </w:r>
          </w:p>
        </w:tc>
      </w:tr>
      <w:tr w:rsidR="00403F58" w:rsidRPr="009C5581" w14:paraId="099019BD" w14:textId="77777777" w:rsidTr="00EC48A0">
        <w:trPr>
          <w:trHeight w:val="20"/>
          <w:jc w:val="center"/>
        </w:trPr>
        <w:tc>
          <w:tcPr>
            <w:tcW w:w="2072" w:type="pct"/>
            <w:tcBorders>
              <w:left w:val="single" w:sz="4" w:space="0" w:color="auto"/>
              <w:bottom w:val="single" w:sz="4" w:space="0" w:color="auto"/>
              <w:right w:val="single" w:sz="4" w:space="0" w:color="auto"/>
            </w:tcBorders>
            <w:shd w:val="clear" w:color="auto" w:fill="auto"/>
            <w:noWrap/>
            <w:vAlign w:val="bottom"/>
            <w:hideMark/>
          </w:tcPr>
          <w:p w14:paraId="01667373" w14:textId="77777777" w:rsidR="00EB00FA" w:rsidRPr="009C5581" w:rsidRDefault="00EB00FA" w:rsidP="00D84C76">
            <w:pPr>
              <w:spacing w:after="0" w:line="240" w:lineRule="auto"/>
              <w:jc w:val="both"/>
              <w:rPr>
                <w:rFonts w:ascii="Times New Roman" w:eastAsia="Times New Roman" w:hAnsi="Times New Roman" w:cs="Times New Roman"/>
                <w:b/>
                <w:bCs/>
                <w:color w:val="000000"/>
                <w:sz w:val="16"/>
                <w:szCs w:val="16"/>
                <w:lang w:eastAsia="es-419"/>
              </w:rPr>
            </w:pPr>
            <w:r w:rsidRPr="009C5581">
              <w:rPr>
                <w:rFonts w:ascii="Times New Roman" w:eastAsia="Times New Roman" w:hAnsi="Times New Roman" w:cs="Times New Roman"/>
                <w:b/>
                <w:bCs/>
                <w:color w:val="000000"/>
                <w:sz w:val="16"/>
                <w:szCs w:val="16"/>
                <w:lang w:eastAsia="es-419"/>
              </w:rPr>
              <w:t>Profit tax (% commercial profits)</w:t>
            </w:r>
          </w:p>
        </w:tc>
        <w:tc>
          <w:tcPr>
            <w:tcW w:w="247" w:type="pct"/>
            <w:tcBorders>
              <w:left w:val="nil"/>
              <w:bottom w:val="single" w:sz="4" w:space="0" w:color="auto"/>
              <w:right w:val="nil"/>
            </w:tcBorders>
            <w:shd w:val="clear" w:color="auto" w:fill="auto"/>
          </w:tcPr>
          <w:p w14:paraId="52E80683" w14:textId="071CB8FE" w:rsidR="00EB00FA" w:rsidRPr="009C5581" w:rsidRDefault="00072EAB"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left w:val="nil"/>
              <w:bottom w:val="single" w:sz="4" w:space="0" w:color="auto"/>
              <w:right w:val="nil"/>
            </w:tcBorders>
            <w:shd w:val="clear" w:color="auto" w:fill="auto"/>
            <w:noWrap/>
            <w:vAlign w:val="bottom"/>
          </w:tcPr>
          <w:p w14:paraId="5267B4E7" w14:textId="14A680CF" w:rsidR="00EB00FA" w:rsidRPr="009C5581" w:rsidRDefault="00072EAB"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w:t>
            </w:r>
          </w:p>
        </w:tc>
        <w:tc>
          <w:tcPr>
            <w:tcW w:w="247" w:type="pct"/>
            <w:tcBorders>
              <w:left w:val="nil"/>
              <w:bottom w:val="single" w:sz="4" w:space="0" w:color="auto"/>
              <w:right w:val="nil"/>
            </w:tcBorders>
            <w:shd w:val="clear" w:color="auto" w:fill="auto"/>
          </w:tcPr>
          <w:p w14:paraId="7E032E1A" w14:textId="44603AE4" w:rsidR="00EB00FA" w:rsidRPr="009C5581" w:rsidRDefault="00E74F0C"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33.2</w:t>
            </w:r>
          </w:p>
        </w:tc>
        <w:tc>
          <w:tcPr>
            <w:tcW w:w="247" w:type="pct"/>
            <w:tcBorders>
              <w:left w:val="nil"/>
              <w:bottom w:val="single" w:sz="4" w:space="0" w:color="auto"/>
              <w:right w:val="nil"/>
            </w:tcBorders>
            <w:shd w:val="clear" w:color="auto" w:fill="auto"/>
            <w:noWrap/>
            <w:vAlign w:val="bottom"/>
          </w:tcPr>
          <w:p w14:paraId="6F93EF9D" w14:textId="622F9F06" w:rsidR="00EB00FA" w:rsidRPr="009C5581" w:rsidRDefault="00E74F0C"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27.4</w:t>
            </w:r>
          </w:p>
        </w:tc>
        <w:tc>
          <w:tcPr>
            <w:tcW w:w="247" w:type="pct"/>
            <w:tcBorders>
              <w:left w:val="nil"/>
              <w:bottom w:val="single" w:sz="4" w:space="0" w:color="auto"/>
              <w:right w:val="nil"/>
            </w:tcBorders>
            <w:shd w:val="clear" w:color="auto" w:fill="auto"/>
            <w:noWrap/>
            <w:vAlign w:val="bottom"/>
          </w:tcPr>
          <w:p w14:paraId="195C3C58" w14:textId="16729668" w:rsidR="00EB00FA" w:rsidRPr="009C5581" w:rsidRDefault="00E74F0C"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29.8</w:t>
            </w:r>
          </w:p>
        </w:tc>
        <w:tc>
          <w:tcPr>
            <w:tcW w:w="247" w:type="pct"/>
            <w:tcBorders>
              <w:left w:val="nil"/>
              <w:bottom w:val="single" w:sz="4" w:space="0" w:color="auto"/>
              <w:right w:val="nil"/>
            </w:tcBorders>
            <w:shd w:val="clear" w:color="auto" w:fill="auto"/>
            <w:noWrap/>
            <w:vAlign w:val="bottom"/>
          </w:tcPr>
          <w:p w14:paraId="0283BB70" w14:textId="198AB736" w:rsidR="00EB00FA" w:rsidRPr="009C5581" w:rsidRDefault="00E74F0C"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29.8</w:t>
            </w:r>
          </w:p>
        </w:tc>
        <w:tc>
          <w:tcPr>
            <w:tcW w:w="247" w:type="pct"/>
            <w:tcBorders>
              <w:left w:val="nil"/>
              <w:bottom w:val="single" w:sz="4" w:space="0" w:color="auto"/>
              <w:right w:val="nil"/>
            </w:tcBorders>
            <w:shd w:val="clear" w:color="auto" w:fill="auto"/>
            <w:noWrap/>
            <w:vAlign w:val="bottom"/>
          </w:tcPr>
          <w:p w14:paraId="12BA6566" w14:textId="307B7C5D" w:rsidR="00EB00FA" w:rsidRPr="009C5581" w:rsidRDefault="00403F58"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30.1</w:t>
            </w:r>
          </w:p>
        </w:tc>
        <w:tc>
          <w:tcPr>
            <w:tcW w:w="247" w:type="pct"/>
            <w:tcBorders>
              <w:left w:val="nil"/>
              <w:bottom w:val="single" w:sz="4" w:space="0" w:color="auto"/>
              <w:right w:val="nil"/>
            </w:tcBorders>
            <w:shd w:val="clear" w:color="auto" w:fill="auto"/>
            <w:noWrap/>
            <w:vAlign w:val="bottom"/>
          </w:tcPr>
          <w:p w14:paraId="13D0A5E5" w14:textId="0C53B4B0" w:rsidR="00EB00FA" w:rsidRPr="009C5581" w:rsidRDefault="00403F58"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30.1</w:t>
            </w:r>
          </w:p>
        </w:tc>
        <w:tc>
          <w:tcPr>
            <w:tcW w:w="247" w:type="pct"/>
            <w:tcBorders>
              <w:left w:val="nil"/>
              <w:bottom w:val="single" w:sz="4" w:space="0" w:color="auto"/>
              <w:right w:val="nil"/>
            </w:tcBorders>
            <w:shd w:val="clear" w:color="auto" w:fill="auto"/>
            <w:noWrap/>
            <w:vAlign w:val="bottom"/>
          </w:tcPr>
          <w:p w14:paraId="4678F046" w14:textId="517C4FFD" w:rsidR="00EB00FA" w:rsidRPr="009C5581" w:rsidRDefault="00403F58"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30.1</w:t>
            </w:r>
          </w:p>
        </w:tc>
        <w:tc>
          <w:tcPr>
            <w:tcW w:w="247" w:type="pct"/>
            <w:tcBorders>
              <w:left w:val="nil"/>
              <w:bottom w:val="single" w:sz="4" w:space="0" w:color="auto"/>
              <w:right w:val="nil"/>
            </w:tcBorders>
            <w:shd w:val="clear" w:color="auto" w:fill="auto"/>
            <w:noWrap/>
            <w:vAlign w:val="bottom"/>
          </w:tcPr>
          <w:p w14:paraId="28A67C1B" w14:textId="38947B84" w:rsidR="00EB00FA" w:rsidRPr="009C5581" w:rsidRDefault="00403F58"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30.1</w:t>
            </w:r>
          </w:p>
        </w:tc>
        <w:tc>
          <w:tcPr>
            <w:tcW w:w="247" w:type="pct"/>
            <w:tcBorders>
              <w:left w:val="nil"/>
              <w:bottom w:val="single" w:sz="4" w:space="0" w:color="auto"/>
              <w:right w:val="single" w:sz="4" w:space="0" w:color="auto"/>
            </w:tcBorders>
            <w:shd w:val="clear" w:color="auto" w:fill="auto"/>
            <w:noWrap/>
            <w:vAlign w:val="bottom"/>
          </w:tcPr>
          <w:p w14:paraId="15F3E703" w14:textId="0BAA0890" w:rsidR="00EB00FA" w:rsidRPr="009C5581" w:rsidRDefault="00403F58" w:rsidP="00D84C76">
            <w:pPr>
              <w:spacing w:after="0" w:line="240" w:lineRule="auto"/>
              <w:jc w:val="right"/>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30.1</w:t>
            </w:r>
          </w:p>
        </w:tc>
        <w:tc>
          <w:tcPr>
            <w:tcW w:w="211" w:type="pct"/>
            <w:tcBorders>
              <w:left w:val="nil"/>
              <w:bottom w:val="single" w:sz="4" w:space="0" w:color="auto"/>
              <w:right w:val="single" w:sz="4" w:space="0" w:color="auto"/>
            </w:tcBorders>
            <w:shd w:val="clear" w:color="auto" w:fill="auto"/>
            <w:noWrap/>
            <w:vAlign w:val="bottom"/>
          </w:tcPr>
          <w:p w14:paraId="48F21157" w14:textId="75C0F095" w:rsidR="00EB00FA" w:rsidRPr="009C5581" w:rsidRDefault="00302166" w:rsidP="00D84C76">
            <w:pPr>
              <w:spacing w:after="0" w:line="240" w:lineRule="auto"/>
              <w:jc w:val="center"/>
              <w:rPr>
                <w:rFonts w:ascii="Times New Roman" w:eastAsia="Times New Roman" w:hAnsi="Times New Roman" w:cs="Times New Roman"/>
                <w:color w:val="000000"/>
                <w:sz w:val="16"/>
                <w:szCs w:val="16"/>
                <w:lang w:eastAsia="es-419"/>
              </w:rPr>
            </w:pPr>
            <w:r w:rsidRPr="009C5581">
              <w:rPr>
                <w:rFonts w:ascii="Times New Roman" w:eastAsia="Times New Roman" w:hAnsi="Times New Roman" w:cs="Times New Roman"/>
                <w:color w:val="000000"/>
                <w:sz w:val="16"/>
                <w:szCs w:val="16"/>
                <w:lang w:eastAsia="es-419"/>
              </w:rPr>
              <w:t>0</w:t>
            </w:r>
          </w:p>
        </w:tc>
      </w:tr>
    </w:tbl>
    <w:p w14:paraId="7838270C" w14:textId="5267648C" w:rsidR="005852F4" w:rsidRPr="009C5581" w:rsidRDefault="005852F4" w:rsidP="0062438A">
      <w:pPr>
        <w:spacing w:after="0" w:line="240" w:lineRule="auto"/>
        <w:jc w:val="both"/>
        <w:rPr>
          <w:rFonts w:ascii="Times New Roman" w:hAnsi="Times New Roman" w:cs="Times New Roman"/>
          <w:sz w:val="16"/>
          <w:szCs w:val="16"/>
        </w:rPr>
      </w:pPr>
      <w:r w:rsidRPr="009C5581">
        <w:rPr>
          <w:rFonts w:ascii="Times New Roman" w:hAnsi="Times New Roman" w:cs="Times New Roman"/>
          <w:sz w:val="16"/>
          <w:szCs w:val="16"/>
        </w:rPr>
        <w:t>Source:</w:t>
      </w:r>
      <w:r w:rsidRPr="009C5581">
        <w:rPr>
          <w:rFonts w:ascii="Times New Roman" w:hAnsi="Times New Roman" w:cs="Times New Roman"/>
          <w:i/>
          <w:iCs/>
          <w:sz w:val="16"/>
          <w:szCs w:val="16"/>
        </w:rPr>
        <w:t xml:space="preserve"> </w:t>
      </w:r>
      <w:r w:rsidRPr="009C5581">
        <w:rPr>
          <w:rFonts w:ascii="Times New Roman" w:hAnsi="Times New Roman" w:cs="Times New Roman"/>
          <w:sz w:val="16"/>
          <w:szCs w:val="16"/>
        </w:rPr>
        <w:t>World Bank, World Development Indicators.</w:t>
      </w:r>
    </w:p>
    <w:p w14:paraId="33A367B9" w14:textId="65394230" w:rsidR="006720DB" w:rsidRPr="009C5581" w:rsidRDefault="006720DB" w:rsidP="005852F4">
      <w:pPr>
        <w:spacing w:after="120" w:line="240" w:lineRule="auto"/>
        <w:jc w:val="both"/>
        <w:rPr>
          <w:rFonts w:ascii="Times New Roman" w:eastAsia="Constantia" w:hAnsi="Times New Roman" w:cs="Times New Roman"/>
          <w:iCs/>
          <w:sz w:val="16"/>
          <w:szCs w:val="16"/>
          <w:lang w:eastAsia="en-GB"/>
        </w:rPr>
      </w:pPr>
      <w:r w:rsidRPr="009C5581">
        <w:rPr>
          <w:rFonts w:ascii="Times New Roman" w:hAnsi="Times New Roman" w:cs="Times New Roman"/>
          <w:i/>
          <w:iCs/>
          <w:sz w:val="16"/>
          <w:szCs w:val="16"/>
        </w:rPr>
        <w:t>Note</w:t>
      </w:r>
      <w:r w:rsidR="000B274B" w:rsidRPr="009C5581">
        <w:rPr>
          <w:rFonts w:ascii="Times New Roman" w:hAnsi="Times New Roman" w:cs="Times New Roman"/>
          <w:i/>
          <w:iCs/>
          <w:sz w:val="16"/>
          <w:szCs w:val="16"/>
        </w:rPr>
        <w:t>s</w:t>
      </w:r>
      <w:r w:rsidRPr="009C5581">
        <w:rPr>
          <w:rFonts w:ascii="Times New Roman" w:hAnsi="Times New Roman" w:cs="Times New Roman"/>
          <w:i/>
          <w:iCs/>
          <w:sz w:val="16"/>
          <w:szCs w:val="16"/>
        </w:rPr>
        <w:t xml:space="preserve">: </w:t>
      </w:r>
      <w:r w:rsidR="00EE70A8" w:rsidRPr="009C5581">
        <w:rPr>
          <w:rFonts w:ascii="Times New Roman" w:hAnsi="Times New Roman" w:cs="Times New Roman"/>
          <w:i/>
          <w:iCs/>
          <w:sz w:val="16"/>
          <w:szCs w:val="16"/>
        </w:rPr>
        <w:t xml:space="preserve">Percentage shares of taxes calculated </w:t>
      </w:r>
      <w:r w:rsidR="0062438A" w:rsidRPr="009C5581">
        <w:rPr>
          <w:rFonts w:ascii="Times New Roman" w:hAnsi="Times New Roman" w:cs="Times New Roman"/>
          <w:i/>
          <w:iCs/>
          <w:sz w:val="16"/>
          <w:szCs w:val="16"/>
        </w:rPr>
        <w:t xml:space="preserve">on the basis of data </w:t>
      </w:r>
      <w:r w:rsidR="00EE70A8" w:rsidRPr="009C5581">
        <w:rPr>
          <w:rFonts w:ascii="Times New Roman" w:hAnsi="Times New Roman" w:cs="Times New Roman"/>
          <w:i/>
          <w:iCs/>
          <w:sz w:val="16"/>
          <w:szCs w:val="16"/>
        </w:rPr>
        <w:t>from</w:t>
      </w:r>
      <w:r w:rsidR="0062438A" w:rsidRPr="009C5581">
        <w:rPr>
          <w:rFonts w:ascii="Times New Roman" w:hAnsi="Times New Roman" w:cs="Times New Roman"/>
          <w:i/>
          <w:iCs/>
          <w:sz w:val="16"/>
          <w:szCs w:val="16"/>
        </w:rPr>
        <w:t xml:space="preserve"> the</w:t>
      </w:r>
      <w:r w:rsidR="00EE70A8" w:rsidRPr="009C5581">
        <w:rPr>
          <w:rFonts w:ascii="Times New Roman" w:hAnsi="Times New Roman" w:cs="Times New Roman"/>
          <w:i/>
          <w:iCs/>
          <w:sz w:val="16"/>
          <w:szCs w:val="16"/>
        </w:rPr>
        <w:t xml:space="preserve"> </w:t>
      </w:r>
      <w:r w:rsidR="0062438A" w:rsidRPr="009C5581">
        <w:rPr>
          <w:rFonts w:ascii="Times New Roman" w:hAnsi="Times New Roman" w:cs="Times New Roman"/>
          <w:i/>
          <w:iCs/>
          <w:sz w:val="16"/>
          <w:szCs w:val="16"/>
        </w:rPr>
        <w:t>World Development Indicators.</w:t>
      </w:r>
      <w:r w:rsidR="000B274B" w:rsidRPr="009C5581">
        <w:rPr>
          <w:rFonts w:ascii="Times New Roman" w:hAnsi="Times New Roman" w:cs="Times New Roman"/>
          <w:i/>
          <w:iCs/>
          <w:sz w:val="16"/>
          <w:szCs w:val="16"/>
        </w:rPr>
        <w:t xml:space="preserve"> </w:t>
      </w:r>
      <w:r w:rsidR="000B274B" w:rsidRPr="009C5581">
        <w:rPr>
          <w:rFonts w:ascii="Times New Roman" w:eastAsia="Constantia" w:hAnsi="Times New Roman" w:cs="Times New Roman"/>
          <w:i/>
          <w:sz w:val="16"/>
          <w:szCs w:val="16"/>
          <w:lang w:eastAsia="en-GB"/>
        </w:rPr>
        <w:t>Cumulative change below 10% over the past five years are indicated as zero to account for margins of error in estimation.</w:t>
      </w:r>
    </w:p>
    <w:p w14:paraId="4639C670" w14:textId="17398DDF" w:rsidR="00954740" w:rsidRPr="00346D1C" w:rsidRDefault="00F601F2" w:rsidP="00954740">
      <w:pPr>
        <w:spacing w:after="120" w:line="240" w:lineRule="auto"/>
        <w:jc w:val="both"/>
        <w:rPr>
          <w:rFonts w:ascii="Georgia" w:hAnsi="Georgia" w:cs="Times New Roman"/>
          <w:sz w:val="24"/>
          <w:szCs w:val="24"/>
        </w:rPr>
      </w:pPr>
      <w:r w:rsidRPr="00346D1C">
        <w:rPr>
          <w:rFonts w:ascii="Georgia" w:hAnsi="Georgia" w:cs="Times New Roman"/>
          <w:sz w:val="24"/>
          <w:szCs w:val="24"/>
        </w:rPr>
        <w:fldChar w:fldCharType="begin"/>
      </w:r>
      <w:r w:rsidRPr="00346D1C">
        <w:rPr>
          <w:rFonts w:ascii="Georgia" w:hAnsi="Georgia" w:cs="Times New Roman"/>
          <w:sz w:val="24"/>
          <w:szCs w:val="24"/>
        </w:rPr>
        <w:instrText xml:space="preserve"> REF _Ref81398921 \h  \* MERGEFORMAT </w:instrText>
      </w:r>
      <w:r w:rsidRPr="00346D1C">
        <w:rPr>
          <w:rFonts w:ascii="Georgia" w:hAnsi="Georgia" w:cs="Times New Roman"/>
          <w:sz w:val="24"/>
          <w:szCs w:val="24"/>
        </w:rPr>
      </w:r>
      <w:r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Table </w:t>
      </w:r>
      <w:r w:rsidR="000F6B8E" w:rsidRPr="00346D1C">
        <w:rPr>
          <w:rFonts w:ascii="Georgia" w:hAnsi="Georgia" w:cs="Times New Roman"/>
          <w:smallCaps/>
          <w:noProof/>
          <w:sz w:val="24"/>
          <w:szCs w:val="24"/>
        </w:rPr>
        <w:t>4</w:t>
      </w:r>
      <w:r w:rsidRPr="00346D1C">
        <w:rPr>
          <w:rFonts w:ascii="Georgia" w:hAnsi="Georgia" w:cs="Times New Roman"/>
          <w:sz w:val="24"/>
          <w:szCs w:val="24"/>
        </w:rPr>
        <w:fldChar w:fldCharType="end"/>
      </w:r>
      <w:r w:rsidRPr="00346D1C">
        <w:rPr>
          <w:rFonts w:ascii="Georgia" w:hAnsi="Georgia" w:cs="Times New Roman"/>
          <w:sz w:val="24"/>
          <w:szCs w:val="24"/>
        </w:rPr>
        <w:t xml:space="preserve"> also </w:t>
      </w:r>
      <w:r w:rsidR="00954740" w:rsidRPr="00346D1C">
        <w:rPr>
          <w:rFonts w:ascii="Georgia" w:hAnsi="Georgia" w:cs="Times New Roman"/>
          <w:sz w:val="24"/>
          <w:szCs w:val="24"/>
        </w:rPr>
        <w:t xml:space="preserve">shows that the profit tax rate is approximately 30% of commercial profits. It furthermore shows that taxes on income, profits and capital gains made up nearly half of total tax revenue in 2014-2018, while the proportion was slightly lower in 2019 and 2020, when taxes on goods and services became more important as a source of revenue. Finally, it can be seen that taxes on international trade made up about 10% of total tax revenue. </w:t>
      </w:r>
    </w:p>
    <w:p w14:paraId="346CCE45" w14:textId="7E349B1F" w:rsidR="00ED54DA" w:rsidRPr="00346D1C" w:rsidRDefault="00D551EC" w:rsidP="00870F78">
      <w:pPr>
        <w:spacing w:before="240" w:after="120" w:line="240" w:lineRule="auto"/>
        <w:jc w:val="both"/>
        <w:rPr>
          <w:rFonts w:ascii="Georgia" w:hAnsi="Georgia" w:cs="Times New Roman"/>
          <w:sz w:val="24"/>
          <w:szCs w:val="24"/>
        </w:rPr>
      </w:pPr>
      <w:r w:rsidRPr="00346D1C">
        <w:rPr>
          <w:rFonts w:ascii="Georgia" w:hAnsi="Georgia" w:cs="Times New Roman"/>
          <w:sz w:val="24"/>
          <w:szCs w:val="24"/>
        </w:rPr>
        <w:t xml:space="preserve">Applying the Commitment to Equity (CEQ) methodology, Manda et al. (2020) found that </w:t>
      </w:r>
      <w:r w:rsidR="00CC36D2" w:rsidRPr="00346D1C">
        <w:rPr>
          <w:rFonts w:ascii="Georgia" w:hAnsi="Georgia" w:cs="Times New Roman"/>
          <w:sz w:val="24"/>
          <w:szCs w:val="24"/>
        </w:rPr>
        <w:t>direct taxes</w:t>
      </w:r>
      <w:r w:rsidR="00210423" w:rsidRPr="00346D1C">
        <w:rPr>
          <w:rFonts w:ascii="Georgia" w:hAnsi="Georgia" w:cs="Times New Roman"/>
          <w:sz w:val="24"/>
          <w:szCs w:val="24"/>
        </w:rPr>
        <w:t>,</w:t>
      </w:r>
      <w:r w:rsidR="00183400" w:rsidRPr="00346D1C">
        <w:rPr>
          <w:rFonts w:ascii="Georgia" w:hAnsi="Georgia" w:cs="Times New Roman"/>
          <w:sz w:val="24"/>
          <w:szCs w:val="24"/>
        </w:rPr>
        <w:t xml:space="preserve"> as well as </w:t>
      </w:r>
      <w:r w:rsidR="009C227E" w:rsidRPr="00346D1C">
        <w:rPr>
          <w:rFonts w:ascii="Georgia" w:hAnsi="Georgia" w:cs="Times New Roman"/>
          <w:sz w:val="24"/>
          <w:szCs w:val="24"/>
        </w:rPr>
        <w:t xml:space="preserve">health insurance and retirement contributions </w:t>
      </w:r>
      <w:r w:rsidR="00CC36D2" w:rsidRPr="00346D1C">
        <w:rPr>
          <w:rFonts w:ascii="Georgia" w:hAnsi="Georgia" w:cs="Times New Roman"/>
          <w:sz w:val="24"/>
          <w:szCs w:val="24"/>
        </w:rPr>
        <w:t>were progressive</w:t>
      </w:r>
      <w:r w:rsidR="005A7889" w:rsidRPr="00346D1C">
        <w:rPr>
          <w:rFonts w:ascii="Georgia" w:hAnsi="Georgia" w:cs="Times New Roman"/>
          <w:sz w:val="24"/>
          <w:szCs w:val="24"/>
        </w:rPr>
        <w:t>, but</w:t>
      </w:r>
      <w:r w:rsidR="005763D1" w:rsidRPr="00346D1C">
        <w:rPr>
          <w:rFonts w:ascii="Georgia" w:hAnsi="Georgia" w:cs="Times New Roman"/>
          <w:sz w:val="24"/>
          <w:szCs w:val="24"/>
        </w:rPr>
        <w:t xml:space="preserve"> poverty</w:t>
      </w:r>
      <w:r w:rsidR="00DB210B" w:rsidRPr="00346D1C">
        <w:rPr>
          <w:rFonts w:ascii="Georgia" w:hAnsi="Georgia" w:cs="Times New Roman"/>
          <w:sz w:val="24"/>
          <w:szCs w:val="24"/>
        </w:rPr>
        <w:t>-</w:t>
      </w:r>
      <w:r w:rsidR="005763D1" w:rsidRPr="00346D1C">
        <w:rPr>
          <w:rFonts w:ascii="Georgia" w:hAnsi="Georgia" w:cs="Times New Roman"/>
          <w:sz w:val="24"/>
          <w:szCs w:val="24"/>
        </w:rPr>
        <w:t>increasing</w:t>
      </w:r>
      <w:r w:rsidR="003555F3" w:rsidRPr="00346D1C">
        <w:rPr>
          <w:rFonts w:ascii="Georgia" w:hAnsi="Georgia" w:cs="Times New Roman"/>
          <w:sz w:val="24"/>
          <w:szCs w:val="24"/>
        </w:rPr>
        <w:t xml:space="preserve"> in 2015/16.</w:t>
      </w:r>
      <w:r w:rsidR="00D42E98" w:rsidRPr="00346D1C">
        <w:rPr>
          <w:rFonts w:ascii="Georgia" w:hAnsi="Georgia" w:cs="Times New Roman"/>
          <w:sz w:val="24"/>
          <w:szCs w:val="24"/>
        </w:rPr>
        <w:t xml:space="preserve"> The Gini coefficient </w:t>
      </w:r>
      <w:r w:rsidR="005C4FCC" w:rsidRPr="00346D1C">
        <w:rPr>
          <w:rFonts w:ascii="Georgia" w:hAnsi="Georgia" w:cs="Times New Roman"/>
          <w:sz w:val="24"/>
          <w:szCs w:val="24"/>
        </w:rPr>
        <w:t xml:space="preserve">of the distribution of </w:t>
      </w:r>
      <w:r w:rsidR="00891255" w:rsidRPr="00346D1C">
        <w:rPr>
          <w:rFonts w:ascii="Georgia" w:hAnsi="Georgia" w:cs="Times New Roman"/>
          <w:sz w:val="24"/>
          <w:szCs w:val="24"/>
        </w:rPr>
        <w:t xml:space="preserve">net market income (that is, </w:t>
      </w:r>
      <w:r w:rsidR="005C4FCC" w:rsidRPr="00346D1C">
        <w:rPr>
          <w:rFonts w:ascii="Georgia" w:hAnsi="Georgia" w:cs="Times New Roman"/>
          <w:sz w:val="24"/>
          <w:szCs w:val="24"/>
        </w:rPr>
        <w:t xml:space="preserve">income after </w:t>
      </w:r>
      <w:r w:rsidR="00891255" w:rsidRPr="00346D1C">
        <w:rPr>
          <w:rFonts w:ascii="Georgia" w:hAnsi="Georgia" w:cs="Times New Roman"/>
          <w:sz w:val="24"/>
          <w:szCs w:val="24"/>
        </w:rPr>
        <w:t xml:space="preserve">direct taxation) </w:t>
      </w:r>
      <w:r w:rsidR="00C40E01" w:rsidRPr="00346D1C">
        <w:rPr>
          <w:rFonts w:ascii="Georgia" w:hAnsi="Georgia" w:cs="Times New Roman"/>
          <w:sz w:val="24"/>
          <w:szCs w:val="24"/>
        </w:rPr>
        <w:t xml:space="preserve">was </w:t>
      </w:r>
      <w:r w:rsidR="00327FF8" w:rsidRPr="00346D1C">
        <w:rPr>
          <w:rFonts w:ascii="Georgia" w:hAnsi="Georgia" w:cs="Times New Roman"/>
          <w:sz w:val="24"/>
          <w:szCs w:val="24"/>
        </w:rPr>
        <w:t xml:space="preserve">41.4, compared to a coefficient of 45.0 </w:t>
      </w:r>
      <w:r w:rsidR="009D1B1F" w:rsidRPr="00346D1C">
        <w:rPr>
          <w:rFonts w:ascii="Georgia" w:hAnsi="Georgia" w:cs="Times New Roman"/>
          <w:sz w:val="24"/>
          <w:szCs w:val="24"/>
        </w:rPr>
        <w:t xml:space="preserve">for market income plus pensions (see </w:t>
      </w:r>
      <w:r w:rsidR="001D1CE7" w:rsidRPr="00346D1C">
        <w:rPr>
          <w:rFonts w:ascii="Georgia" w:hAnsi="Georgia" w:cs="Times New Roman"/>
          <w:sz w:val="24"/>
          <w:szCs w:val="24"/>
        </w:rPr>
        <w:t>Box 2</w:t>
      </w:r>
      <w:r w:rsidR="009D1B1F" w:rsidRPr="00346D1C">
        <w:rPr>
          <w:rFonts w:ascii="Georgia" w:hAnsi="Georgia" w:cs="Times New Roman"/>
          <w:sz w:val="24"/>
          <w:szCs w:val="24"/>
        </w:rPr>
        <w:t xml:space="preserve"> for the income concepts</w:t>
      </w:r>
      <w:r w:rsidR="00AB0CB6" w:rsidRPr="00346D1C">
        <w:rPr>
          <w:rFonts w:ascii="Georgia" w:hAnsi="Georgia" w:cs="Times New Roman"/>
          <w:sz w:val="24"/>
          <w:szCs w:val="24"/>
        </w:rPr>
        <w:t xml:space="preserve"> of the fiscal incidence analysis</w:t>
      </w:r>
      <w:r w:rsidR="009D1B1F" w:rsidRPr="00346D1C">
        <w:rPr>
          <w:rFonts w:ascii="Georgia" w:hAnsi="Georgia" w:cs="Times New Roman"/>
          <w:sz w:val="24"/>
          <w:szCs w:val="24"/>
        </w:rPr>
        <w:t>).</w:t>
      </w:r>
      <w:r w:rsidR="00A32F00" w:rsidRPr="00346D1C">
        <w:rPr>
          <w:rFonts w:ascii="Georgia" w:hAnsi="Georgia" w:cs="Times New Roman"/>
          <w:sz w:val="24"/>
          <w:szCs w:val="24"/>
        </w:rPr>
        <w:t xml:space="preserve"> </w:t>
      </w:r>
      <w:r w:rsidR="003555F3" w:rsidRPr="00346D1C">
        <w:rPr>
          <w:rFonts w:ascii="Georgia" w:hAnsi="Georgia" w:cs="Times New Roman"/>
          <w:sz w:val="24"/>
          <w:szCs w:val="24"/>
        </w:rPr>
        <w:t xml:space="preserve">The household income tax on </w:t>
      </w:r>
      <w:r w:rsidR="007644BB" w:rsidRPr="00346D1C">
        <w:rPr>
          <w:rFonts w:ascii="Georgia" w:hAnsi="Georgia" w:cs="Times New Roman"/>
          <w:sz w:val="24"/>
          <w:szCs w:val="24"/>
        </w:rPr>
        <w:t>formal wages had the largest marginal effect</w:t>
      </w:r>
      <w:r w:rsidR="007D094E" w:rsidRPr="00346D1C">
        <w:rPr>
          <w:rFonts w:ascii="Georgia" w:hAnsi="Georgia" w:cs="Times New Roman"/>
          <w:sz w:val="24"/>
          <w:szCs w:val="24"/>
        </w:rPr>
        <w:t xml:space="preserve"> </w:t>
      </w:r>
      <w:r w:rsidR="007644BB" w:rsidRPr="00346D1C">
        <w:rPr>
          <w:rFonts w:ascii="Georgia" w:hAnsi="Georgia" w:cs="Times New Roman"/>
          <w:sz w:val="24"/>
          <w:szCs w:val="24"/>
        </w:rPr>
        <w:t>on the Gini coefficient</w:t>
      </w:r>
      <w:r w:rsidR="00CC36D2" w:rsidRPr="00346D1C">
        <w:rPr>
          <w:rFonts w:ascii="Georgia" w:hAnsi="Georgia" w:cs="Times New Roman"/>
          <w:sz w:val="24"/>
          <w:szCs w:val="24"/>
        </w:rPr>
        <w:t xml:space="preserve"> </w:t>
      </w:r>
      <w:r w:rsidR="003609D2" w:rsidRPr="00346D1C">
        <w:rPr>
          <w:rFonts w:ascii="Georgia" w:hAnsi="Georgia" w:cs="Times New Roman"/>
          <w:sz w:val="24"/>
          <w:szCs w:val="24"/>
        </w:rPr>
        <w:t>of income.</w:t>
      </w:r>
      <w:r w:rsidR="008E431F" w:rsidRPr="00346D1C">
        <w:rPr>
          <w:rFonts w:ascii="Georgia" w:hAnsi="Georgia" w:cs="Times New Roman"/>
          <w:sz w:val="24"/>
          <w:szCs w:val="24"/>
        </w:rPr>
        <w:t xml:space="preserve"> Surprisingly, indirect taxes </w:t>
      </w:r>
      <w:r w:rsidR="008B171A" w:rsidRPr="00346D1C">
        <w:rPr>
          <w:rFonts w:ascii="Georgia" w:hAnsi="Georgia" w:cs="Times New Roman"/>
          <w:sz w:val="24"/>
          <w:szCs w:val="24"/>
        </w:rPr>
        <w:t xml:space="preserve">(including the Value Added Tax, VAT) </w:t>
      </w:r>
      <w:r w:rsidR="008E431F" w:rsidRPr="00346D1C">
        <w:rPr>
          <w:rFonts w:ascii="Georgia" w:hAnsi="Georgia" w:cs="Times New Roman"/>
          <w:sz w:val="24"/>
          <w:szCs w:val="24"/>
        </w:rPr>
        <w:t xml:space="preserve">were also </w:t>
      </w:r>
      <w:r w:rsidR="00DC42F2" w:rsidRPr="00346D1C">
        <w:rPr>
          <w:rFonts w:ascii="Georgia" w:hAnsi="Georgia" w:cs="Times New Roman"/>
          <w:sz w:val="24"/>
          <w:szCs w:val="24"/>
        </w:rPr>
        <w:t xml:space="preserve">progressive – unlike what is </w:t>
      </w:r>
      <w:r w:rsidR="00893243" w:rsidRPr="00346D1C">
        <w:rPr>
          <w:rFonts w:ascii="Georgia" w:hAnsi="Georgia" w:cs="Times New Roman"/>
          <w:sz w:val="24"/>
          <w:szCs w:val="24"/>
        </w:rPr>
        <w:t>usually found – and po</w:t>
      </w:r>
      <w:r w:rsidR="00186A13" w:rsidRPr="00346D1C">
        <w:rPr>
          <w:rFonts w:ascii="Georgia" w:hAnsi="Georgia" w:cs="Times New Roman"/>
          <w:sz w:val="24"/>
          <w:szCs w:val="24"/>
        </w:rPr>
        <w:t>verty</w:t>
      </w:r>
      <w:r w:rsidR="006810CF" w:rsidRPr="00346D1C">
        <w:rPr>
          <w:rFonts w:ascii="Georgia" w:hAnsi="Georgia" w:cs="Times New Roman"/>
          <w:sz w:val="24"/>
          <w:szCs w:val="24"/>
        </w:rPr>
        <w:t>-</w:t>
      </w:r>
      <w:r w:rsidR="00186A13" w:rsidRPr="00346D1C">
        <w:rPr>
          <w:rFonts w:ascii="Georgia" w:hAnsi="Georgia" w:cs="Times New Roman"/>
          <w:sz w:val="24"/>
          <w:szCs w:val="24"/>
        </w:rPr>
        <w:t>increasing.</w:t>
      </w:r>
      <w:r w:rsidR="008B171A" w:rsidRPr="00346D1C">
        <w:rPr>
          <w:rStyle w:val="FootnoteReference"/>
          <w:rFonts w:ascii="Georgia" w:hAnsi="Georgia" w:cs="Times New Roman"/>
          <w:sz w:val="24"/>
          <w:szCs w:val="24"/>
        </w:rPr>
        <w:footnoteReference w:id="22"/>
      </w:r>
      <w:r w:rsidR="00186A13" w:rsidRPr="00346D1C">
        <w:rPr>
          <w:rFonts w:ascii="Georgia" w:hAnsi="Georgia" w:cs="Times New Roman"/>
          <w:sz w:val="24"/>
          <w:szCs w:val="24"/>
        </w:rPr>
        <w:t xml:space="preserve"> They were however much less progressive than direct taxes </w:t>
      </w:r>
      <w:r w:rsidR="00964659" w:rsidRPr="00346D1C">
        <w:rPr>
          <w:rFonts w:ascii="Georgia" w:hAnsi="Georgia" w:cs="Times New Roman"/>
          <w:sz w:val="24"/>
          <w:szCs w:val="24"/>
        </w:rPr>
        <w:t xml:space="preserve">and </w:t>
      </w:r>
      <w:r w:rsidR="006810CF" w:rsidRPr="00346D1C">
        <w:rPr>
          <w:rFonts w:ascii="Georgia" w:hAnsi="Georgia" w:cs="Times New Roman"/>
          <w:sz w:val="24"/>
          <w:szCs w:val="24"/>
        </w:rPr>
        <w:t xml:space="preserve">social </w:t>
      </w:r>
      <w:r w:rsidR="00964659" w:rsidRPr="00346D1C">
        <w:rPr>
          <w:rFonts w:ascii="Georgia" w:hAnsi="Georgia" w:cs="Times New Roman"/>
          <w:sz w:val="24"/>
          <w:szCs w:val="24"/>
        </w:rPr>
        <w:t>contributions</w:t>
      </w:r>
      <w:r w:rsidR="008819CA" w:rsidRPr="00346D1C">
        <w:rPr>
          <w:rFonts w:ascii="Georgia" w:hAnsi="Georgia" w:cs="Times New Roman"/>
          <w:sz w:val="24"/>
          <w:szCs w:val="24"/>
        </w:rPr>
        <w:t xml:space="preserve"> </w:t>
      </w:r>
      <w:r w:rsidR="00A252BF" w:rsidRPr="00346D1C">
        <w:rPr>
          <w:rFonts w:ascii="Georgia" w:hAnsi="Georgia" w:cs="Times New Roman"/>
          <w:sz w:val="24"/>
          <w:szCs w:val="24"/>
        </w:rPr>
        <w:t xml:space="preserve">and reduced </w:t>
      </w:r>
      <w:r w:rsidR="004A42D7" w:rsidRPr="00346D1C">
        <w:rPr>
          <w:rFonts w:ascii="Georgia" w:hAnsi="Georgia" w:cs="Times New Roman"/>
          <w:sz w:val="24"/>
          <w:szCs w:val="24"/>
        </w:rPr>
        <w:t>the Gini coefficient by less than one (percentage) point</w:t>
      </w:r>
      <w:r w:rsidR="00964659" w:rsidRPr="00346D1C">
        <w:rPr>
          <w:rFonts w:ascii="Georgia" w:hAnsi="Georgia" w:cs="Times New Roman"/>
          <w:sz w:val="24"/>
          <w:szCs w:val="24"/>
        </w:rPr>
        <w:t xml:space="preserve">, </w:t>
      </w:r>
      <w:r w:rsidR="008C1798" w:rsidRPr="00346D1C">
        <w:rPr>
          <w:rFonts w:ascii="Georgia" w:hAnsi="Georgia" w:cs="Times New Roman"/>
          <w:sz w:val="24"/>
          <w:szCs w:val="24"/>
        </w:rPr>
        <w:t xml:space="preserve">but </w:t>
      </w:r>
      <w:r w:rsidR="00A136BD" w:rsidRPr="00346D1C">
        <w:rPr>
          <w:rFonts w:ascii="Georgia" w:hAnsi="Georgia" w:cs="Times New Roman"/>
          <w:sz w:val="24"/>
          <w:szCs w:val="24"/>
        </w:rPr>
        <w:t xml:space="preserve">at the same time </w:t>
      </w:r>
      <w:r w:rsidR="004939A7" w:rsidRPr="00346D1C">
        <w:rPr>
          <w:rFonts w:ascii="Georgia" w:hAnsi="Georgia" w:cs="Times New Roman"/>
          <w:sz w:val="24"/>
          <w:szCs w:val="24"/>
        </w:rPr>
        <w:t>had a much larger poverty-increasing effect</w:t>
      </w:r>
      <w:r w:rsidR="00F20D79" w:rsidRPr="00346D1C">
        <w:rPr>
          <w:rFonts w:ascii="Georgia" w:hAnsi="Georgia" w:cs="Times New Roman"/>
          <w:sz w:val="24"/>
          <w:szCs w:val="24"/>
        </w:rPr>
        <w:t xml:space="preserve"> than the</w:t>
      </w:r>
      <w:r w:rsidR="00A136BD" w:rsidRPr="00346D1C">
        <w:rPr>
          <w:rFonts w:ascii="Georgia" w:hAnsi="Georgia" w:cs="Times New Roman"/>
          <w:sz w:val="24"/>
          <w:szCs w:val="24"/>
        </w:rPr>
        <w:t>se other sources of government revenues.</w:t>
      </w:r>
      <w:r w:rsidR="00EF5658" w:rsidRPr="00346D1C">
        <w:rPr>
          <w:rFonts w:ascii="Georgia" w:hAnsi="Georgia" w:cs="Times New Roman"/>
          <w:sz w:val="24"/>
          <w:szCs w:val="24"/>
        </w:rPr>
        <w:t xml:space="preserve"> </w:t>
      </w:r>
      <w:r w:rsidR="00C32544" w:rsidRPr="00346D1C">
        <w:rPr>
          <w:rFonts w:ascii="Georgia" w:hAnsi="Georgia" w:cs="Times New Roman"/>
          <w:sz w:val="24"/>
          <w:szCs w:val="24"/>
        </w:rPr>
        <w:t>Within indirect taxes, o</w:t>
      </w:r>
      <w:r w:rsidR="007B7E02" w:rsidRPr="00346D1C">
        <w:rPr>
          <w:rFonts w:ascii="Georgia" w:hAnsi="Georgia" w:cs="Times New Roman"/>
          <w:sz w:val="24"/>
          <w:szCs w:val="24"/>
        </w:rPr>
        <w:t xml:space="preserve">nly import duties </w:t>
      </w:r>
      <w:r w:rsidR="00235F76" w:rsidRPr="00346D1C">
        <w:rPr>
          <w:rFonts w:ascii="Georgia" w:hAnsi="Georgia" w:cs="Times New Roman"/>
          <w:sz w:val="24"/>
          <w:szCs w:val="24"/>
        </w:rPr>
        <w:t>h</w:t>
      </w:r>
      <w:r w:rsidR="007B7E02" w:rsidRPr="00346D1C">
        <w:rPr>
          <w:rFonts w:ascii="Georgia" w:hAnsi="Georgia" w:cs="Times New Roman"/>
          <w:sz w:val="24"/>
          <w:szCs w:val="24"/>
        </w:rPr>
        <w:t>a</w:t>
      </w:r>
      <w:r w:rsidR="00235F76" w:rsidRPr="00346D1C">
        <w:rPr>
          <w:rFonts w:ascii="Georgia" w:hAnsi="Georgia" w:cs="Times New Roman"/>
          <w:sz w:val="24"/>
          <w:szCs w:val="24"/>
        </w:rPr>
        <w:t>d a</w:t>
      </w:r>
      <w:r w:rsidR="007B7E02" w:rsidRPr="00346D1C">
        <w:rPr>
          <w:rFonts w:ascii="Georgia" w:hAnsi="Georgia" w:cs="Times New Roman"/>
          <w:sz w:val="24"/>
          <w:szCs w:val="24"/>
        </w:rPr>
        <w:t xml:space="preserve"> regressive</w:t>
      </w:r>
      <w:r w:rsidR="00964659" w:rsidRPr="00346D1C">
        <w:rPr>
          <w:rFonts w:ascii="Georgia" w:hAnsi="Georgia" w:cs="Times New Roman"/>
          <w:sz w:val="24"/>
          <w:szCs w:val="24"/>
        </w:rPr>
        <w:t xml:space="preserve"> </w:t>
      </w:r>
      <w:r w:rsidR="00235F76" w:rsidRPr="00346D1C">
        <w:rPr>
          <w:rFonts w:ascii="Georgia" w:hAnsi="Georgia" w:cs="Times New Roman"/>
          <w:sz w:val="24"/>
          <w:szCs w:val="24"/>
        </w:rPr>
        <w:t>direct effect on the income distribution.</w:t>
      </w:r>
      <w:r w:rsidR="007B1CA5" w:rsidRPr="00346D1C">
        <w:rPr>
          <w:rFonts w:ascii="Georgia" w:hAnsi="Georgia" w:cs="Times New Roman"/>
          <w:sz w:val="24"/>
          <w:szCs w:val="24"/>
        </w:rPr>
        <w:t xml:space="preserve"> </w:t>
      </w:r>
      <w:r w:rsidR="00215EBD" w:rsidRPr="00346D1C">
        <w:rPr>
          <w:rFonts w:ascii="Georgia" w:hAnsi="Georgia" w:cs="Times New Roman"/>
          <w:sz w:val="24"/>
          <w:szCs w:val="24"/>
        </w:rPr>
        <w:t>All excises, with the exception of those on cigarettes and kerosene</w:t>
      </w:r>
      <w:r w:rsidR="000F4C08" w:rsidRPr="00346D1C">
        <w:rPr>
          <w:rFonts w:ascii="Georgia" w:hAnsi="Georgia" w:cs="Times New Roman"/>
          <w:sz w:val="24"/>
          <w:szCs w:val="24"/>
        </w:rPr>
        <w:t>,</w:t>
      </w:r>
      <w:r w:rsidR="00215EBD" w:rsidRPr="00346D1C">
        <w:rPr>
          <w:rFonts w:ascii="Georgia" w:hAnsi="Georgia" w:cs="Times New Roman"/>
          <w:sz w:val="24"/>
          <w:szCs w:val="24"/>
        </w:rPr>
        <w:t xml:space="preserve"> were progressive</w:t>
      </w:r>
      <w:r w:rsidR="00F43D09" w:rsidRPr="00346D1C">
        <w:rPr>
          <w:rFonts w:ascii="Georgia" w:hAnsi="Georgia" w:cs="Times New Roman"/>
          <w:sz w:val="24"/>
          <w:szCs w:val="24"/>
        </w:rPr>
        <w:t xml:space="preserve">, </w:t>
      </w:r>
      <w:r w:rsidR="00445DBE" w:rsidRPr="00346D1C">
        <w:rPr>
          <w:rFonts w:ascii="Georgia" w:hAnsi="Georgia" w:cs="Times New Roman"/>
          <w:sz w:val="24"/>
          <w:szCs w:val="24"/>
        </w:rPr>
        <w:t xml:space="preserve">albeit with </w:t>
      </w:r>
      <w:r w:rsidR="00F43D09" w:rsidRPr="00346D1C">
        <w:rPr>
          <w:rFonts w:ascii="Georgia" w:hAnsi="Georgia" w:cs="Times New Roman"/>
          <w:sz w:val="24"/>
          <w:szCs w:val="24"/>
        </w:rPr>
        <w:t>relatively small inequality</w:t>
      </w:r>
      <w:r w:rsidR="0088493E" w:rsidRPr="00346D1C">
        <w:rPr>
          <w:rFonts w:ascii="Georgia" w:hAnsi="Georgia" w:cs="Times New Roman"/>
          <w:sz w:val="24"/>
          <w:szCs w:val="24"/>
        </w:rPr>
        <w:t>-</w:t>
      </w:r>
      <w:r w:rsidR="00F43D09" w:rsidRPr="00346D1C">
        <w:rPr>
          <w:rFonts w:ascii="Georgia" w:hAnsi="Georgia" w:cs="Times New Roman"/>
          <w:sz w:val="24"/>
          <w:szCs w:val="24"/>
        </w:rPr>
        <w:t>reducing eff</w:t>
      </w:r>
      <w:r w:rsidR="0088493E" w:rsidRPr="00346D1C">
        <w:rPr>
          <w:rFonts w:ascii="Georgia" w:hAnsi="Georgia" w:cs="Times New Roman"/>
          <w:sz w:val="24"/>
          <w:szCs w:val="24"/>
        </w:rPr>
        <w:t>ects.</w:t>
      </w:r>
      <w:r w:rsidR="00F606C1" w:rsidRPr="00346D1C">
        <w:rPr>
          <w:rStyle w:val="FootnoteReference"/>
          <w:rFonts w:ascii="Georgia" w:hAnsi="Georgia" w:cs="Times New Roman"/>
          <w:sz w:val="24"/>
          <w:szCs w:val="24"/>
        </w:rPr>
        <w:footnoteReference w:id="23"/>
      </w:r>
      <w:r w:rsidR="00B66C58" w:rsidRPr="00346D1C">
        <w:rPr>
          <w:rFonts w:ascii="Georgia" w:hAnsi="Georgia" w:cs="Times New Roman"/>
          <w:sz w:val="24"/>
          <w:szCs w:val="24"/>
        </w:rPr>
        <w:t xml:space="preserve"> </w:t>
      </w:r>
      <w:r w:rsidR="00236D35" w:rsidRPr="00346D1C">
        <w:rPr>
          <w:rFonts w:ascii="Georgia" w:hAnsi="Georgia" w:cs="Times New Roman"/>
          <w:sz w:val="24"/>
          <w:szCs w:val="24"/>
        </w:rPr>
        <w:t>Manda et al. (20</w:t>
      </w:r>
      <w:r w:rsidR="00B11EE9" w:rsidRPr="00346D1C">
        <w:rPr>
          <w:rFonts w:ascii="Georgia" w:hAnsi="Georgia" w:cs="Times New Roman"/>
          <w:sz w:val="24"/>
          <w:szCs w:val="24"/>
        </w:rPr>
        <w:t xml:space="preserve">20) explain that </w:t>
      </w:r>
      <w:r w:rsidR="007D35D5" w:rsidRPr="00346D1C">
        <w:rPr>
          <w:rFonts w:ascii="Georgia" w:hAnsi="Georgia" w:cs="Times New Roman"/>
          <w:sz w:val="24"/>
          <w:szCs w:val="24"/>
        </w:rPr>
        <w:t>‘</w:t>
      </w:r>
      <w:r w:rsidR="00B11EE9" w:rsidRPr="00346D1C">
        <w:rPr>
          <w:rFonts w:ascii="Georgia" w:hAnsi="Georgia" w:cs="Times New Roman"/>
          <w:sz w:val="24"/>
          <w:szCs w:val="24"/>
        </w:rPr>
        <w:t xml:space="preserve">subsidies are </w:t>
      </w:r>
      <w:r w:rsidR="007D35D5" w:rsidRPr="00346D1C">
        <w:rPr>
          <w:rFonts w:ascii="Georgia" w:hAnsi="Georgia" w:cs="Times New Roman"/>
          <w:sz w:val="24"/>
          <w:szCs w:val="24"/>
        </w:rPr>
        <w:t xml:space="preserve">generally non-existent’ in Kenya. Consequently, the </w:t>
      </w:r>
      <w:r w:rsidR="004F718A" w:rsidRPr="00346D1C">
        <w:rPr>
          <w:rFonts w:ascii="Georgia" w:hAnsi="Georgia" w:cs="Times New Roman"/>
          <w:sz w:val="24"/>
          <w:szCs w:val="24"/>
        </w:rPr>
        <w:t>overall effect of taxation on inequality amount</w:t>
      </w:r>
      <w:r w:rsidR="00A05EAE" w:rsidRPr="00346D1C">
        <w:rPr>
          <w:rFonts w:ascii="Georgia" w:hAnsi="Georgia" w:cs="Times New Roman"/>
          <w:sz w:val="24"/>
          <w:szCs w:val="24"/>
        </w:rPr>
        <w:t>ed</w:t>
      </w:r>
      <w:r w:rsidR="004F718A" w:rsidRPr="00346D1C">
        <w:rPr>
          <w:rFonts w:ascii="Georgia" w:hAnsi="Georgia" w:cs="Times New Roman"/>
          <w:sz w:val="24"/>
          <w:szCs w:val="24"/>
        </w:rPr>
        <w:t xml:space="preserve"> to </w:t>
      </w:r>
      <w:r w:rsidR="00B83D9F" w:rsidRPr="00346D1C">
        <w:rPr>
          <w:rFonts w:ascii="Georgia" w:hAnsi="Georgia" w:cs="Times New Roman"/>
          <w:sz w:val="24"/>
          <w:szCs w:val="24"/>
        </w:rPr>
        <w:t>nearly 5 points of the Gini coefficient.</w:t>
      </w:r>
      <w:r w:rsidR="007D35D5" w:rsidRPr="00346D1C">
        <w:rPr>
          <w:rFonts w:ascii="Georgia" w:hAnsi="Georgia" w:cs="Times New Roman"/>
          <w:sz w:val="24"/>
          <w:szCs w:val="24"/>
        </w:rPr>
        <w:t xml:space="preserve"> </w:t>
      </w:r>
    </w:p>
    <w:p w14:paraId="5E5F2BC4" w14:textId="01BD29ED" w:rsidR="00870F78" w:rsidRPr="00346D1C" w:rsidRDefault="00870F78" w:rsidP="00C76C44">
      <w:pPr>
        <w:spacing w:before="240"/>
        <w:rPr>
          <w:rFonts w:ascii="Georgia" w:hAnsi="Georgia" w:cs="Times New Roman"/>
          <w:b/>
          <w:bCs/>
          <w:i/>
          <w:iCs/>
          <w:sz w:val="24"/>
          <w:szCs w:val="24"/>
        </w:rPr>
      </w:pPr>
      <w:r w:rsidRPr="00346D1C">
        <w:rPr>
          <w:rFonts w:ascii="Georgia" w:hAnsi="Georgia" w:cs="Times New Roman"/>
          <w:b/>
          <w:bCs/>
          <w:i/>
          <w:iCs/>
          <w:sz w:val="24"/>
          <w:szCs w:val="24"/>
        </w:rPr>
        <w:t>Public social expenditure</w:t>
      </w:r>
      <w:r w:rsidR="00EC4D7C" w:rsidRPr="00346D1C">
        <w:rPr>
          <w:rStyle w:val="FootnoteReference"/>
          <w:rFonts w:ascii="Georgia" w:hAnsi="Georgia" w:cs="Times New Roman"/>
          <w:b/>
          <w:bCs/>
          <w:i/>
          <w:iCs/>
          <w:sz w:val="24"/>
          <w:szCs w:val="24"/>
        </w:rPr>
        <w:footnoteReference w:id="24"/>
      </w:r>
    </w:p>
    <w:p w14:paraId="38527F4C" w14:textId="7F12FDD3" w:rsidR="009F7DD3" w:rsidRPr="00346D1C" w:rsidRDefault="00063DCA" w:rsidP="00152575">
      <w:pPr>
        <w:autoSpaceDE w:val="0"/>
        <w:autoSpaceDN w:val="0"/>
        <w:adjustRightInd w:val="0"/>
        <w:spacing w:after="120" w:line="240" w:lineRule="auto"/>
        <w:jc w:val="both"/>
        <w:rPr>
          <w:rFonts w:ascii="Georgia" w:hAnsi="Georgia" w:cs="Times New Roman"/>
          <w:sz w:val="24"/>
          <w:szCs w:val="24"/>
        </w:rPr>
      </w:pPr>
      <w:r w:rsidRPr="00346D1C">
        <w:rPr>
          <w:rFonts w:ascii="Georgia" w:hAnsi="Georgia" w:cs="Times New Roman"/>
          <w:sz w:val="24"/>
          <w:szCs w:val="24"/>
        </w:rPr>
        <w:t>T</w:t>
      </w:r>
      <w:r w:rsidR="00870F78" w:rsidRPr="00346D1C">
        <w:rPr>
          <w:rFonts w:ascii="Georgia" w:hAnsi="Georgia" w:cs="Times New Roman"/>
          <w:sz w:val="24"/>
          <w:szCs w:val="24"/>
        </w:rPr>
        <w:t xml:space="preserve">he Government of </w:t>
      </w:r>
      <w:r w:rsidRPr="00346D1C">
        <w:rPr>
          <w:rFonts w:ascii="Georgia" w:hAnsi="Georgia" w:cs="Times New Roman"/>
          <w:sz w:val="24"/>
          <w:szCs w:val="24"/>
        </w:rPr>
        <w:t>Kenya</w:t>
      </w:r>
      <w:r w:rsidR="00870F78" w:rsidRPr="00346D1C">
        <w:rPr>
          <w:rFonts w:ascii="Georgia" w:hAnsi="Georgia" w:cs="Times New Roman"/>
          <w:sz w:val="24"/>
          <w:szCs w:val="24"/>
        </w:rPr>
        <w:t xml:space="preserve">’s </w:t>
      </w:r>
      <w:r w:rsidR="00870F78" w:rsidRPr="00346D1C">
        <w:rPr>
          <w:rFonts w:ascii="Georgia" w:hAnsi="Georgia" w:cs="Times New Roman"/>
          <w:b/>
          <w:bCs/>
          <w:sz w:val="24"/>
          <w:szCs w:val="24"/>
        </w:rPr>
        <w:t>expenditure on education</w:t>
      </w:r>
      <w:r w:rsidR="00870F78" w:rsidRPr="00346D1C">
        <w:rPr>
          <w:rFonts w:ascii="Georgia" w:hAnsi="Georgia" w:cs="Times New Roman"/>
          <w:sz w:val="24"/>
          <w:szCs w:val="24"/>
        </w:rPr>
        <w:t xml:space="preserve"> </w:t>
      </w:r>
      <w:r w:rsidRPr="00346D1C">
        <w:rPr>
          <w:rFonts w:ascii="Georgia" w:hAnsi="Georgia" w:cs="Times New Roman"/>
          <w:sz w:val="24"/>
          <w:szCs w:val="24"/>
        </w:rPr>
        <w:t>fluctuated around 5</w:t>
      </w:r>
      <w:r w:rsidR="00870F78" w:rsidRPr="00346D1C">
        <w:rPr>
          <w:rFonts w:ascii="Georgia" w:hAnsi="Georgia" w:cs="Times New Roman"/>
          <w:sz w:val="24"/>
          <w:szCs w:val="24"/>
        </w:rPr>
        <w:t>% of GDP in</w:t>
      </w:r>
      <w:r w:rsidRPr="00346D1C">
        <w:rPr>
          <w:rFonts w:ascii="Georgia" w:hAnsi="Georgia" w:cs="Times New Roman"/>
          <w:sz w:val="24"/>
          <w:szCs w:val="24"/>
        </w:rPr>
        <w:t xml:space="preserve"> the past two decades</w:t>
      </w:r>
      <w:r w:rsidR="006A3E52" w:rsidRPr="00346D1C">
        <w:rPr>
          <w:rFonts w:ascii="Georgia" w:hAnsi="Georgia" w:cs="Times New Roman"/>
          <w:sz w:val="24"/>
          <w:szCs w:val="24"/>
        </w:rPr>
        <w:t xml:space="preserve">, except in </w:t>
      </w:r>
      <w:r w:rsidR="00870F78" w:rsidRPr="00346D1C">
        <w:rPr>
          <w:rFonts w:ascii="Georgia" w:hAnsi="Georgia" w:cs="Times New Roman"/>
          <w:sz w:val="24"/>
          <w:szCs w:val="24"/>
        </w:rPr>
        <w:t>2000</w:t>
      </w:r>
      <w:r w:rsidR="00B73315" w:rsidRPr="00346D1C">
        <w:rPr>
          <w:rFonts w:ascii="Georgia" w:hAnsi="Georgia" w:cs="Times New Roman"/>
          <w:sz w:val="24"/>
          <w:szCs w:val="24"/>
        </w:rPr>
        <w:t>-2006, when it was 6-7%</w:t>
      </w:r>
      <w:r w:rsidR="00D7455A" w:rsidRPr="00346D1C">
        <w:rPr>
          <w:rFonts w:ascii="Georgia" w:hAnsi="Georgia" w:cs="Times New Roman"/>
          <w:sz w:val="24"/>
          <w:szCs w:val="24"/>
        </w:rPr>
        <w:t xml:space="preserve"> (</w:t>
      </w:r>
      <w:r w:rsidR="00870F78" w:rsidRPr="00346D1C">
        <w:rPr>
          <w:rFonts w:ascii="Georgia" w:hAnsi="Georgia" w:cs="Times New Roman"/>
          <w:sz w:val="24"/>
          <w:szCs w:val="24"/>
        </w:rPr>
        <w:t>World Development Indicators</w:t>
      </w:r>
      <w:r w:rsidR="00D7455A" w:rsidRPr="00346D1C">
        <w:rPr>
          <w:rFonts w:ascii="Georgia" w:hAnsi="Georgia" w:cs="Times New Roman"/>
          <w:sz w:val="24"/>
          <w:szCs w:val="24"/>
        </w:rPr>
        <w:t>)</w:t>
      </w:r>
      <w:r w:rsidR="00870F78" w:rsidRPr="00346D1C">
        <w:rPr>
          <w:rFonts w:ascii="Georgia" w:hAnsi="Georgia" w:cs="Times New Roman"/>
          <w:sz w:val="24"/>
          <w:szCs w:val="24"/>
        </w:rPr>
        <w:t>.</w:t>
      </w:r>
      <w:r w:rsidR="00303A9A" w:rsidRPr="00346D1C">
        <w:rPr>
          <w:rStyle w:val="FootnoteReference"/>
          <w:rFonts w:ascii="Georgia" w:hAnsi="Georgia" w:cs="Times New Roman"/>
          <w:sz w:val="24"/>
          <w:szCs w:val="24"/>
        </w:rPr>
        <w:footnoteReference w:id="25"/>
      </w:r>
      <w:r w:rsidR="00870F78" w:rsidRPr="00346D1C">
        <w:rPr>
          <w:rFonts w:ascii="Georgia" w:hAnsi="Georgia" w:cs="Times New Roman"/>
          <w:sz w:val="24"/>
          <w:szCs w:val="24"/>
        </w:rPr>
        <w:t xml:space="preserve"> </w:t>
      </w:r>
      <w:r w:rsidR="00152575" w:rsidRPr="00346D1C">
        <w:rPr>
          <w:rFonts w:ascii="Georgia" w:hAnsi="Georgia" w:cs="Times New Roman"/>
          <w:sz w:val="24"/>
          <w:szCs w:val="24"/>
        </w:rPr>
        <w:t xml:space="preserve">Oxfam, however, observes that </w:t>
      </w:r>
      <w:r w:rsidR="009F7DD3" w:rsidRPr="00346D1C">
        <w:rPr>
          <w:rFonts w:ascii="Georgia" w:hAnsi="Georgia" w:cs="Times New Roman"/>
          <w:sz w:val="24"/>
          <w:szCs w:val="24"/>
        </w:rPr>
        <w:t>Kenya's level of spending for education has gradually fallen each year since the early 2000s.</w:t>
      </w:r>
      <w:r w:rsidR="00152575" w:rsidRPr="00346D1C">
        <w:rPr>
          <w:rStyle w:val="FootnoteReference"/>
          <w:rFonts w:ascii="Georgia" w:hAnsi="Georgia" w:cs="Times New Roman"/>
          <w:sz w:val="24"/>
          <w:szCs w:val="24"/>
        </w:rPr>
        <w:footnoteReference w:id="26"/>
      </w:r>
    </w:p>
    <w:p w14:paraId="255A8629" w14:textId="24D891CE" w:rsidR="00940578" w:rsidRPr="00346D1C" w:rsidRDefault="00CC414D" w:rsidP="00A51D75">
      <w:pPr>
        <w:autoSpaceDE w:val="0"/>
        <w:autoSpaceDN w:val="0"/>
        <w:adjustRightInd w:val="0"/>
        <w:spacing w:after="120" w:line="240" w:lineRule="auto"/>
        <w:jc w:val="both"/>
        <w:rPr>
          <w:rFonts w:ascii="Georgia" w:hAnsi="Georgia" w:cs="Times New Roman"/>
          <w:sz w:val="24"/>
          <w:szCs w:val="24"/>
        </w:rPr>
      </w:pPr>
      <w:r w:rsidRPr="00346D1C">
        <w:rPr>
          <w:rFonts w:ascii="Georgia" w:hAnsi="Georgia" w:cs="Times New Roman"/>
          <w:sz w:val="24"/>
          <w:szCs w:val="24"/>
        </w:rPr>
        <w:t>As a percentage of GDP per capita, the spending on primary education indeed declined</w:t>
      </w:r>
      <w:r w:rsidR="00A5667C" w:rsidRPr="00346D1C">
        <w:rPr>
          <w:rFonts w:ascii="Georgia" w:hAnsi="Georgia" w:cs="Times New Roman"/>
          <w:sz w:val="24"/>
          <w:szCs w:val="24"/>
        </w:rPr>
        <w:t xml:space="preserve"> over time</w:t>
      </w:r>
      <w:r w:rsidRPr="00346D1C">
        <w:rPr>
          <w:rFonts w:ascii="Georgia" w:hAnsi="Georgia" w:cs="Times New Roman"/>
          <w:sz w:val="24"/>
          <w:szCs w:val="24"/>
        </w:rPr>
        <w:t xml:space="preserve">, but this is not true for spending on secondary education. </w:t>
      </w:r>
      <w:r w:rsidR="00870F78" w:rsidRPr="00346D1C">
        <w:rPr>
          <w:rFonts w:ascii="Georgia" w:hAnsi="Georgia" w:cs="Times New Roman"/>
          <w:sz w:val="24"/>
          <w:szCs w:val="24"/>
        </w:rPr>
        <w:t xml:space="preserve">The composition of the government spending on education </w:t>
      </w:r>
      <w:r w:rsidR="00A51D75" w:rsidRPr="00346D1C">
        <w:rPr>
          <w:rFonts w:ascii="Georgia" w:hAnsi="Georgia" w:cs="Times New Roman"/>
          <w:sz w:val="24"/>
          <w:szCs w:val="24"/>
        </w:rPr>
        <w:t xml:space="preserve">clearly </w:t>
      </w:r>
      <w:r w:rsidR="00870F78" w:rsidRPr="00346D1C">
        <w:rPr>
          <w:rFonts w:ascii="Georgia" w:hAnsi="Georgia" w:cs="Times New Roman"/>
          <w:sz w:val="24"/>
          <w:szCs w:val="24"/>
        </w:rPr>
        <w:t xml:space="preserve">shifted from primary to </w:t>
      </w:r>
      <w:r w:rsidR="00A51D75" w:rsidRPr="00346D1C">
        <w:rPr>
          <w:rFonts w:ascii="Georgia" w:hAnsi="Georgia" w:cs="Times New Roman"/>
          <w:sz w:val="24"/>
          <w:szCs w:val="24"/>
        </w:rPr>
        <w:t xml:space="preserve">secondary </w:t>
      </w:r>
      <w:r w:rsidR="00870F78" w:rsidRPr="00346D1C">
        <w:rPr>
          <w:rFonts w:ascii="Georgia" w:hAnsi="Georgia" w:cs="Times New Roman"/>
          <w:sz w:val="24"/>
          <w:szCs w:val="24"/>
        </w:rPr>
        <w:t xml:space="preserve">education in </w:t>
      </w:r>
      <w:r w:rsidR="00A51D75" w:rsidRPr="00346D1C">
        <w:rPr>
          <w:rFonts w:ascii="Georgia" w:hAnsi="Georgia" w:cs="Times New Roman"/>
          <w:sz w:val="24"/>
          <w:szCs w:val="24"/>
        </w:rPr>
        <w:t>2000-2015</w:t>
      </w:r>
      <w:r w:rsidR="00EB176A" w:rsidRPr="00346D1C">
        <w:rPr>
          <w:rFonts w:ascii="Georgia" w:hAnsi="Georgia" w:cs="Times New Roman"/>
          <w:sz w:val="24"/>
          <w:szCs w:val="24"/>
        </w:rPr>
        <w:t>,</w:t>
      </w:r>
      <w:r w:rsidR="00A51D75" w:rsidRPr="00346D1C">
        <w:rPr>
          <w:rFonts w:ascii="Georgia" w:hAnsi="Georgia" w:cs="Times New Roman"/>
          <w:sz w:val="24"/>
          <w:szCs w:val="24"/>
        </w:rPr>
        <w:t xml:space="preserve"> </w:t>
      </w:r>
      <w:r w:rsidR="00057BD8" w:rsidRPr="00346D1C">
        <w:rPr>
          <w:rFonts w:ascii="Georgia" w:hAnsi="Georgia" w:cs="Times New Roman"/>
          <w:sz w:val="24"/>
          <w:szCs w:val="24"/>
        </w:rPr>
        <w:t xml:space="preserve">the period </w:t>
      </w:r>
      <w:r w:rsidR="00940578" w:rsidRPr="00346D1C">
        <w:rPr>
          <w:rFonts w:ascii="Georgia" w:hAnsi="Georgia" w:cs="Times New Roman"/>
          <w:sz w:val="24"/>
          <w:szCs w:val="24"/>
        </w:rPr>
        <w:t xml:space="preserve">for which </w:t>
      </w:r>
      <w:r w:rsidR="00A5667C" w:rsidRPr="00346D1C">
        <w:rPr>
          <w:rFonts w:ascii="Georgia" w:hAnsi="Georgia" w:cs="Times New Roman"/>
          <w:sz w:val="24"/>
          <w:szCs w:val="24"/>
        </w:rPr>
        <w:t xml:space="preserve">the World Development Indicators </w:t>
      </w:r>
      <w:r w:rsidR="001E3688" w:rsidRPr="00346D1C">
        <w:rPr>
          <w:rFonts w:ascii="Georgia" w:hAnsi="Georgia" w:cs="Times New Roman"/>
          <w:sz w:val="24"/>
          <w:szCs w:val="24"/>
        </w:rPr>
        <w:t xml:space="preserve">present </w:t>
      </w:r>
      <w:r w:rsidR="00940578" w:rsidRPr="00346D1C">
        <w:rPr>
          <w:rFonts w:ascii="Georgia" w:hAnsi="Georgia" w:cs="Times New Roman"/>
          <w:sz w:val="24"/>
          <w:szCs w:val="24"/>
        </w:rPr>
        <w:t>data.</w:t>
      </w:r>
    </w:p>
    <w:p w14:paraId="213F3479" w14:textId="7764B0AB" w:rsidR="00B110B2" w:rsidRPr="00346D1C" w:rsidRDefault="00E71670" w:rsidP="005A586D">
      <w:pPr>
        <w:spacing w:after="120" w:line="240" w:lineRule="auto"/>
        <w:jc w:val="both"/>
        <w:rPr>
          <w:rFonts w:ascii="Georgia" w:hAnsi="Georgia" w:cs="Times New Roman"/>
          <w:sz w:val="24"/>
          <w:szCs w:val="24"/>
          <w:shd w:val="clear" w:color="auto" w:fill="FFFFFF"/>
        </w:rPr>
      </w:pPr>
      <w:r w:rsidRPr="00346D1C">
        <w:rPr>
          <w:rFonts w:ascii="Georgia" w:hAnsi="Georgia" w:cs="Times New Roman"/>
          <w:sz w:val="24"/>
          <w:szCs w:val="24"/>
          <w:shd w:val="clear" w:color="auto" w:fill="FFFFFF"/>
        </w:rPr>
        <w:t>According to the World Development Indicators, the c</w:t>
      </w:r>
      <w:r w:rsidR="004B063A" w:rsidRPr="00346D1C">
        <w:rPr>
          <w:rFonts w:ascii="Georgia" w:hAnsi="Georgia" w:cs="Times New Roman"/>
          <w:sz w:val="24"/>
          <w:szCs w:val="24"/>
          <w:shd w:val="clear" w:color="auto" w:fill="FFFFFF"/>
        </w:rPr>
        <w:t>urrent</w:t>
      </w:r>
      <w:r w:rsidRPr="00346D1C">
        <w:rPr>
          <w:rFonts w:ascii="Georgia" w:hAnsi="Georgia" w:cs="Times New Roman"/>
          <w:sz w:val="24"/>
          <w:szCs w:val="24"/>
          <w:shd w:val="clear" w:color="auto" w:fill="FFFFFF"/>
        </w:rPr>
        <w:t xml:space="preserve"> public and private</w:t>
      </w:r>
      <w:r w:rsidR="004B063A" w:rsidRPr="00346D1C">
        <w:rPr>
          <w:rFonts w:ascii="Georgia" w:hAnsi="Georgia" w:cs="Times New Roman"/>
          <w:sz w:val="24"/>
          <w:szCs w:val="24"/>
          <w:shd w:val="clear" w:color="auto" w:fill="FFFFFF"/>
        </w:rPr>
        <w:t xml:space="preserve"> </w:t>
      </w:r>
      <w:r w:rsidR="00870F78" w:rsidRPr="00346D1C">
        <w:rPr>
          <w:rFonts w:ascii="Georgia" w:hAnsi="Georgia" w:cs="Times New Roman"/>
          <w:b/>
          <w:bCs/>
          <w:sz w:val="24"/>
          <w:szCs w:val="24"/>
          <w:shd w:val="clear" w:color="auto" w:fill="FFFFFF"/>
        </w:rPr>
        <w:t>health expenditure</w:t>
      </w:r>
      <w:r w:rsidR="00870F78" w:rsidRPr="00346D1C">
        <w:rPr>
          <w:rFonts w:ascii="Georgia" w:hAnsi="Georgia" w:cs="Times New Roman"/>
          <w:sz w:val="24"/>
          <w:szCs w:val="24"/>
          <w:shd w:val="clear" w:color="auto" w:fill="FFFFFF"/>
        </w:rPr>
        <w:t xml:space="preserve"> </w:t>
      </w:r>
      <w:r w:rsidR="004B063A" w:rsidRPr="00346D1C">
        <w:rPr>
          <w:rFonts w:ascii="Georgia" w:hAnsi="Georgia" w:cs="Times New Roman"/>
          <w:sz w:val="24"/>
          <w:szCs w:val="24"/>
          <w:shd w:val="clear" w:color="auto" w:fill="FFFFFF"/>
        </w:rPr>
        <w:t xml:space="preserve">was </w:t>
      </w:r>
      <w:r w:rsidR="001A5338" w:rsidRPr="00346D1C">
        <w:rPr>
          <w:rFonts w:ascii="Georgia" w:hAnsi="Georgia" w:cs="Times New Roman"/>
          <w:sz w:val="24"/>
          <w:szCs w:val="24"/>
          <w:shd w:val="clear" w:color="auto" w:fill="FFFFFF"/>
        </w:rPr>
        <w:t>about 5% of GDP between 2000 and 2005</w:t>
      </w:r>
      <w:r w:rsidR="000A2ABB" w:rsidRPr="00346D1C">
        <w:rPr>
          <w:rFonts w:ascii="Georgia" w:hAnsi="Georgia" w:cs="Times New Roman"/>
          <w:sz w:val="24"/>
          <w:szCs w:val="24"/>
          <w:shd w:val="clear" w:color="auto" w:fill="FFFFFF"/>
        </w:rPr>
        <w:t xml:space="preserve">, about 6% in the </w:t>
      </w:r>
      <w:r w:rsidR="002542D4" w:rsidRPr="00346D1C">
        <w:rPr>
          <w:rFonts w:ascii="Georgia" w:hAnsi="Georgia" w:cs="Times New Roman"/>
          <w:sz w:val="24"/>
          <w:szCs w:val="24"/>
          <w:shd w:val="clear" w:color="auto" w:fill="FFFFFF"/>
        </w:rPr>
        <w:t>subsequent</w:t>
      </w:r>
      <w:r w:rsidR="000A2ABB" w:rsidRPr="00346D1C">
        <w:rPr>
          <w:rFonts w:ascii="Georgia" w:hAnsi="Georgia" w:cs="Times New Roman"/>
          <w:sz w:val="24"/>
          <w:szCs w:val="24"/>
          <w:shd w:val="clear" w:color="auto" w:fill="FFFFFF"/>
        </w:rPr>
        <w:t xml:space="preserve"> five years, </w:t>
      </w:r>
      <w:r w:rsidR="00522482" w:rsidRPr="00346D1C">
        <w:rPr>
          <w:rFonts w:ascii="Georgia" w:hAnsi="Georgia" w:cs="Times New Roman"/>
          <w:sz w:val="24"/>
          <w:szCs w:val="24"/>
          <w:shd w:val="clear" w:color="auto" w:fill="FFFFFF"/>
        </w:rPr>
        <w:t>after which it dropped again</w:t>
      </w:r>
      <w:r w:rsidR="00663CFD" w:rsidRPr="00346D1C">
        <w:rPr>
          <w:rFonts w:ascii="Georgia" w:hAnsi="Georgia" w:cs="Times New Roman"/>
          <w:sz w:val="24"/>
          <w:szCs w:val="24"/>
          <w:shd w:val="clear" w:color="auto" w:fill="FFFFFF"/>
        </w:rPr>
        <w:t xml:space="preserve">, </w:t>
      </w:r>
      <w:r w:rsidR="00522482" w:rsidRPr="00346D1C">
        <w:rPr>
          <w:rFonts w:ascii="Georgia" w:hAnsi="Georgia" w:cs="Times New Roman"/>
          <w:sz w:val="24"/>
          <w:szCs w:val="24"/>
          <w:shd w:val="clear" w:color="auto" w:fill="FFFFFF"/>
        </w:rPr>
        <w:t xml:space="preserve">to </w:t>
      </w:r>
      <w:r w:rsidR="00663CFD" w:rsidRPr="00346D1C">
        <w:rPr>
          <w:rFonts w:ascii="Georgia" w:hAnsi="Georgia" w:cs="Times New Roman"/>
          <w:sz w:val="24"/>
          <w:szCs w:val="24"/>
          <w:shd w:val="clear" w:color="auto" w:fill="FFFFFF"/>
        </w:rPr>
        <w:t>less</w:t>
      </w:r>
      <w:r w:rsidR="00663CFD" w:rsidRPr="009C5581">
        <w:rPr>
          <w:rFonts w:ascii="Times New Roman" w:hAnsi="Times New Roman" w:cs="Times New Roman"/>
          <w:shd w:val="clear" w:color="auto" w:fill="FFFFFF"/>
        </w:rPr>
        <w:t xml:space="preserve"> than 5% in recent years. </w:t>
      </w:r>
      <w:r w:rsidR="00ED0F17" w:rsidRPr="009C5581">
        <w:rPr>
          <w:rFonts w:ascii="Times New Roman" w:hAnsi="Times New Roman" w:cs="Times New Roman"/>
          <w:shd w:val="clear" w:color="auto" w:fill="FFFFFF"/>
        </w:rPr>
        <w:t xml:space="preserve">Domestic general government health </w:t>
      </w:r>
      <w:r w:rsidR="00A4493C" w:rsidRPr="00346D1C">
        <w:rPr>
          <w:rFonts w:ascii="Georgia" w:hAnsi="Georgia" w:cs="Times New Roman"/>
          <w:noProof/>
          <w:sz w:val="24"/>
          <w:szCs w:val="24"/>
          <w:lang w:val="en-US"/>
        </w:rPr>
        <mc:AlternateContent>
          <mc:Choice Requires="wps">
            <w:drawing>
              <wp:anchor distT="45720" distB="45720" distL="114300" distR="114300" simplePos="0" relativeHeight="251658250" behindDoc="0" locked="0" layoutInCell="1" allowOverlap="1" wp14:anchorId="696ECBC3" wp14:editId="6FC9D480">
                <wp:simplePos x="0" y="0"/>
                <wp:positionH relativeFrom="margin">
                  <wp:posOffset>-1905</wp:posOffset>
                </wp:positionH>
                <wp:positionV relativeFrom="paragraph">
                  <wp:posOffset>0</wp:posOffset>
                </wp:positionV>
                <wp:extent cx="6096000" cy="1404620"/>
                <wp:effectExtent l="0" t="0" r="19050"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16A079C5" w14:textId="73F196DF" w:rsidR="003646EB" w:rsidRPr="00A4493C" w:rsidRDefault="003646EB" w:rsidP="00A4493C">
                            <w:pPr>
                              <w:pStyle w:val="Caption"/>
                              <w:keepNext/>
                              <w:spacing w:after="120"/>
                              <w:jc w:val="both"/>
                              <w:rPr>
                                <w:rFonts w:ascii="Georgia" w:hAnsi="Georgia" w:cs="Times New Roman"/>
                                <w:smallCaps w:val="0"/>
                                <w:color w:val="auto"/>
                              </w:rPr>
                            </w:pPr>
                            <w:bookmarkStart w:id="55" w:name="_Toc107401211"/>
                            <w:bookmarkStart w:id="56" w:name="_Toc144414484"/>
                            <w:r w:rsidRPr="00A4493C">
                              <w:rPr>
                                <w:rFonts w:ascii="Georgia" w:hAnsi="Georgia" w:cs="Times New Roman"/>
                                <w:smallCaps w:val="0"/>
                                <w:color w:val="auto"/>
                              </w:rPr>
                              <w:t xml:space="preserve">Box </w:t>
                            </w:r>
                            <w:r w:rsidRPr="00A4493C">
                              <w:rPr>
                                <w:rFonts w:ascii="Georgia" w:hAnsi="Georgia" w:cs="Times New Roman"/>
                                <w:smallCaps w:val="0"/>
                                <w:color w:val="auto"/>
                              </w:rPr>
                              <w:fldChar w:fldCharType="begin"/>
                            </w:r>
                            <w:r w:rsidRPr="00A4493C">
                              <w:rPr>
                                <w:rFonts w:ascii="Georgia" w:hAnsi="Georgia" w:cs="Times New Roman"/>
                                <w:smallCaps w:val="0"/>
                                <w:color w:val="auto"/>
                              </w:rPr>
                              <w:instrText xml:space="preserve"> SEQ Box \* ARABIC </w:instrText>
                            </w:r>
                            <w:r w:rsidRPr="00A4493C">
                              <w:rPr>
                                <w:rFonts w:ascii="Georgia" w:hAnsi="Georgia" w:cs="Times New Roman"/>
                                <w:smallCaps w:val="0"/>
                                <w:color w:val="auto"/>
                              </w:rPr>
                              <w:fldChar w:fldCharType="separate"/>
                            </w:r>
                            <w:r w:rsidRPr="00A4493C">
                              <w:rPr>
                                <w:rFonts w:ascii="Georgia" w:hAnsi="Georgia" w:cs="Times New Roman"/>
                                <w:smallCaps w:val="0"/>
                                <w:noProof/>
                                <w:color w:val="auto"/>
                              </w:rPr>
                              <w:t>2</w:t>
                            </w:r>
                            <w:r w:rsidRPr="00A4493C">
                              <w:rPr>
                                <w:rFonts w:ascii="Georgia" w:hAnsi="Georgia" w:cs="Times New Roman"/>
                                <w:smallCaps w:val="0"/>
                                <w:color w:val="auto"/>
                              </w:rPr>
                              <w:fldChar w:fldCharType="end"/>
                            </w:r>
                            <w:r w:rsidRPr="00A4493C">
                              <w:rPr>
                                <w:rFonts w:ascii="Georgia" w:hAnsi="Georgia" w:cs="Times New Roman"/>
                                <w:b w:val="0"/>
                                <w:bCs w:val="0"/>
                                <w:smallCaps w:val="0"/>
                                <w:color w:val="auto"/>
                              </w:rPr>
                              <w:t>: Income concepts in the fiscal incidence analysis</w:t>
                            </w:r>
                            <w:bookmarkEnd w:id="55"/>
                            <w:r w:rsidRPr="00A4493C">
                              <w:rPr>
                                <w:rFonts w:ascii="Georgia" w:hAnsi="Georgia" w:cs="Times New Roman"/>
                                <w:b w:val="0"/>
                                <w:bCs w:val="0"/>
                                <w:smallCaps w:val="0"/>
                                <w:color w:val="auto"/>
                              </w:rPr>
                              <w:t xml:space="preserve"> and estimated Gini coefficients in 2015/16</w:t>
                            </w:r>
                            <w:bookmarkEnd w:id="56"/>
                          </w:p>
                          <w:p w14:paraId="256C469F" w14:textId="77777777" w:rsidR="003646EB" w:rsidRPr="00A4493C" w:rsidRDefault="003646EB" w:rsidP="00A4493C">
                            <w:pPr>
                              <w:spacing w:after="0" w:line="240" w:lineRule="auto"/>
                              <w:jc w:val="both"/>
                              <w:rPr>
                                <w:rFonts w:ascii="Georgia" w:hAnsi="Georgia" w:cs="Times New Roman"/>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20"/>
                            </w:tblGrid>
                            <w:tr w:rsidR="003646EB" w:rsidRPr="00A4493C" w14:paraId="461A7C53" w14:textId="77777777" w:rsidTr="00A177BE">
                              <w:tc>
                                <w:tcPr>
                                  <w:tcW w:w="7508" w:type="dxa"/>
                                </w:tcPr>
                                <w:p w14:paraId="45DE0340" w14:textId="77777777" w:rsidR="003646EB" w:rsidRPr="00A4493C" w:rsidRDefault="003646EB" w:rsidP="00A4493C">
                                  <w:pPr>
                                    <w:jc w:val="both"/>
                                    <w:rPr>
                                      <w:rFonts w:ascii="Georgia" w:hAnsi="Georgia" w:cs="Times New Roman"/>
                                      <w:b/>
                                      <w:bCs/>
                                      <w:lang w:val="en-US"/>
                                    </w:rPr>
                                  </w:pPr>
                                </w:p>
                              </w:tc>
                              <w:tc>
                                <w:tcPr>
                                  <w:tcW w:w="1520" w:type="dxa"/>
                                </w:tcPr>
                                <w:p w14:paraId="712F7EA5"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Gini coefficient 2015/16</w:t>
                                  </w:r>
                                </w:p>
                              </w:tc>
                            </w:tr>
                            <w:tr w:rsidR="003646EB" w:rsidRPr="00A4493C" w14:paraId="429AF38D" w14:textId="77777777" w:rsidTr="00A177BE">
                              <w:tc>
                                <w:tcPr>
                                  <w:tcW w:w="7508" w:type="dxa"/>
                                </w:tcPr>
                                <w:p w14:paraId="012043B7"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Market income</w:t>
                                  </w:r>
                                </w:p>
                                <w:p w14:paraId="4DD26280"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Contributory pensions =</w:t>
                                  </w:r>
                                </w:p>
                              </w:tc>
                              <w:tc>
                                <w:tcPr>
                                  <w:tcW w:w="1520" w:type="dxa"/>
                                </w:tcPr>
                                <w:p w14:paraId="1B19A9FC"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w:t>
                                  </w:r>
                                </w:p>
                              </w:tc>
                            </w:tr>
                            <w:tr w:rsidR="003646EB" w:rsidRPr="00A4493C" w14:paraId="0450839D" w14:textId="77777777" w:rsidTr="00A4493C">
                              <w:trPr>
                                <w:trHeight w:val="585"/>
                              </w:trPr>
                              <w:tc>
                                <w:tcPr>
                                  <w:tcW w:w="7508" w:type="dxa"/>
                                </w:tcPr>
                                <w:p w14:paraId="4D7E3B3E"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Market income plus pensions</w:t>
                                  </w:r>
                                </w:p>
                                <w:p w14:paraId="7EB39D40"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Direct taxes and Social Insurance Contributions =</w:t>
                                  </w:r>
                                </w:p>
                              </w:tc>
                              <w:tc>
                                <w:tcPr>
                                  <w:tcW w:w="1520" w:type="dxa"/>
                                </w:tcPr>
                                <w:p w14:paraId="4BA49763"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45.0</w:t>
                                  </w:r>
                                </w:p>
                              </w:tc>
                            </w:tr>
                            <w:tr w:rsidR="003646EB" w:rsidRPr="00A4493C" w14:paraId="225DBF75" w14:textId="77777777" w:rsidTr="00A177BE">
                              <w:tc>
                                <w:tcPr>
                                  <w:tcW w:w="7508" w:type="dxa"/>
                                </w:tcPr>
                                <w:p w14:paraId="1FD5DEED"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Net market income</w:t>
                                  </w:r>
                                </w:p>
                                <w:p w14:paraId="6AD5E91C"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Direct transfers =</w:t>
                                  </w:r>
                                </w:p>
                              </w:tc>
                              <w:tc>
                                <w:tcPr>
                                  <w:tcW w:w="1520" w:type="dxa"/>
                                </w:tcPr>
                                <w:p w14:paraId="2B5CCE29"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41.4</w:t>
                                  </w:r>
                                </w:p>
                              </w:tc>
                            </w:tr>
                            <w:tr w:rsidR="003646EB" w:rsidRPr="00A4493C" w14:paraId="1A82F9D0" w14:textId="77777777" w:rsidTr="00A177BE">
                              <w:tc>
                                <w:tcPr>
                                  <w:tcW w:w="7508" w:type="dxa"/>
                                </w:tcPr>
                                <w:p w14:paraId="0186A6B4" w14:textId="77777777" w:rsidR="003646EB" w:rsidRPr="00A4493C" w:rsidRDefault="003646EB" w:rsidP="00A4493C">
                                  <w:pPr>
                                    <w:jc w:val="both"/>
                                    <w:rPr>
                                      <w:rFonts w:ascii="Georgia" w:hAnsi="Georgia" w:cs="Times New Roman"/>
                                      <w:lang w:val="en-US"/>
                                    </w:rPr>
                                  </w:pPr>
                                  <w:r w:rsidRPr="00A4493C">
                                    <w:rPr>
                                      <w:rFonts w:ascii="Georgia" w:hAnsi="Georgia" w:cs="Times New Roman"/>
                                      <w:b/>
                                      <w:bCs/>
                                      <w:lang w:val="en-US"/>
                                    </w:rPr>
                                    <w:t xml:space="preserve">Disposable income </w:t>
                                  </w:r>
                                  <w:r w:rsidRPr="00A4493C">
                                    <w:rPr>
                                      <w:rFonts w:ascii="Georgia" w:hAnsi="Georgia" w:cs="Times New Roman"/>
                                      <w:lang w:val="en-US"/>
                                    </w:rPr>
                                    <w:t>(proxied by household expenditure)</w:t>
                                  </w:r>
                                </w:p>
                                <w:p w14:paraId="25B5E789" w14:textId="77777777" w:rsidR="003646EB" w:rsidRPr="00A4493C" w:rsidRDefault="003646EB" w:rsidP="00A4493C">
                                  <w:pPr>
                                    <w:ind w:left="284"/>
                                    <w:jc w:val="both"/>
                                    <w:rPr>
                                      <w:rFonts w:ascii="Georgia" w:hAnsi="Georgia" w:cs="Times New Roman"/>
                                      <w:i/>
                                      <w:iCs/>
                                      <w:lang w:val="en-US"/>
                                    </w:rPr>
                                  </w:pPr>
                                  <w:r w:rsidRPr="00A4493C">
                                    <w:rPr>
                                      <w:rFonts w:ascii="Georgia" w:hAnsi="Georgia" w:cs="Times New Roman"/>
                                      <w:i/>
                                      <w:iCs/>
                                      <w:lang w:val="en-US"/>
                                    </w:rPr>
                                    <w:t>+ Indirect subsidies</w:t>
                                  </w:r>
                                </w:p>
                                <w:p w14:paraId="4E8049B0"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Indirect taxes =</w:t>
                                  </w:r>
                                </w:p>
                              </w:tc>
                              <w:tc>
                                <w:tcPr>
                                  <w:tcW w:w="1520" w:type="dxa"/>
                                </w:tcPr>
                                <w:p w14:paraId="2A97BEE4"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41.0</w:t>
                                  </w:r>
                                </w:p>
                              </w:tc>
                            </w:tr>
                            <w:tr w:rsidR="003646EB" w:rsidRPr="00A4493C" w14:paraId="2DDB9B5E" w14:textId="77777777" w:rsidTr="00A177BE">
                              <w:tc>
                                <w:tcPr>
                                  <w:tcW w:w="7508" w:type="dxa"/>
                                </w:tcPr>
                                <w:p w14:paraId="2DB650E5"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Consumable income</w:t>
                                  </w:r>
                                </w:p>
                                <w:p w14:paraId="464A1ABC" w14:textId="77777777" w:rsidR="003646EB" w:rsidRPr="00A4493C" w:rsidRDefault="003646EB" w:rsidP="00A4493C">
                                  <w:pPr>
                                    <w:ind w:left="284"/>
                                    <w:jc w:val="both"/>
                                    <w:rPr>
                                      <w:rFonts w:ascii="Georgia" w:hAnsi="Georgia" w:cs="Times New Roman"/>
                                      <w:i/>
                                      <w:iCs/>
                                      <w:lang w:val="en-US"/>
                                    </w:rPr>
                                  </w:pPr>
                                  <w:r w:rsidRPr="00A4493C">
                                    <w:rPr>
                                      <w:rFonts w:ascii="Georgia" w:hAnsi="Georgia" w:cs="Times New Roman"/>
                                      <w:i/>
                                      <w:iCs/>
                                      <w:lang w:val="en-US"/>
                                    </w:rPr>
                                    <w:t>+  In-kind transfers</w:t>
                                  </w:r>
                                </w:p>
                                <w:p w14:paraId="23F08B52"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Copayments and user fees for education and health services =</w:t>
                                  </w:r>
                                </w:p>
                              </w:tc>
                              <w:tc>
                                <w:tcPr>
                                  <w:tcW w:w="1520" w:type="dxa"/>
                                </w:tcPr>
                                <w:p w14:paraId="5E1D8747"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40.2</w:t>
                                  </w:r>
                                </w:p>
                              </w:tc>
                            </w:tr>
                            <w:tr w:rsidR="003646EB" w:rsidRPr="00A4493C" w14:paraId="2C41C975" w14:textId="77777777" w:rsidTr="00A4493C">
                              <w:trPr>
                                <w:trHeight w:val="423"/>
                              </w:trPr>
                              <w:tc>
                                <w:tcPr>
                                  <w:tcW w:w="7508" w:type="dxa"/>
                                </w:tcPr>
                                <w:p w14:paraId="5CE42031"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pt-BR"/>
                                    </w:rPr>
                                    <w:t>Final income</w:t>
                                  </w:r>
                                </w:p>
                              </w:tc>
                              <w:tc>
                                <w:tcPr>
                                  <w:tcW w:w="1520" w:type="dxa"/>
                                </w:tcPr>
                                <w:p w14:paraId="36B3D6BC"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35.7</w:t>
                                  </w:r>
                                </w:p>
                              </w:tc>
                            </w:tr>
                          </w:tbl>
                          <w:p w14:paraId="72DA5B34" w14:textId="77777777" w:rsidR="003646EB" w:rsidRDefault="003646EB" w:rsidP="00A4493C">
                            <w:pPr>
                              <w:spacing w:after="0" w:line="240" w:lineRule="auto"/>
                              <w:jc w:val="both"/>
                              <w:rPr>
                                <w:rFonts w:ascii="Times New Roman" w:hAnsi="Times New Roman" w:cs="Times New Roman"/>
                                <w:b/>
                                <w:bCs/>
                                <w:sz w:val="18"/>
                                <w:szCs w:val="18"/>
                                <w:lang w:val="en-US"/>
                              </w:rPr>
                            </w:pPr>
                          </w:p>
                          <w:p w14:paraId="3DE9C198" w14:textId="77777777" w:rsidR="003646EB" w:rsidRDefault="003646EB" w:rsidP="00A4493C">
                            <w:pPr>
                              <w:spacing w:after="0" w:line="240" w:lineRule="auto"/>
                              <w:jc w:val="both"/>
                              <w:rPr>
                                <w:rFonts w:ascii="Times New Roman" w:hAnsi="Times New Roman" w:cs="Times New Roman"/>
                                <w:sz w:val="16"/>
                                <w:szCs w:val="16"/>
                                <w:lang w:val="pt-BR"/>
                              </w:rPr>
                            </w:pPr>
                            <w:r w:rsidRPr="00313BDD">
                              <w:rPr>
                                <w:rFonts w:ascii="Times New Roman" w:hAnsi="Times New Roman" w:cs="Times New Roman"/>
                                <w:sz w:val="16"/>
                                <w:szCs w:val="16"/>
                                <w:lang w:val="pt-BR"/>
                              </w:rPr>
                              <w:t xml:space="preserve">Source: </w:t>
                            </w:r>
                            <w:r>
                              <w:rPr>
                                <w:rFonts w:ascii="Times New Roman" w:hAnsi="Times New Roman" w:cs="Times New Roman"/>
                                <w:sz w:val="16"/>
                                <w:szCs w:val="16"/>
                                <w:lang w:val="pt-BR"/>
                              </w:rPr>
                              <w:t>Manda et al.</w:t>
                            </w:r>
                            <w:r w:rsidRPr="00313BDD">
                              <w:rPr>
                                <w:rFonts w:ascii="Times New Roman" w:hAnsi="Times New Roman" w:cs="Times New Roman"/>
                                <w:sz w:val="16"/>
                                <w:szCs w:val="16"/>
                                <w:lang w:val="pt-BR"/>
                              </w:rPr>
                              <w:t xml:space="preserve"> (20</w:t>
                            </w:r>
                            <w:r>
                              <w:rPr>
                                <w:rFonts w:ascii="Times New Roman" w:hAnsi="Times New Roman" w:cs="Times New Roman"/>
                                <w:sz w:val="16"/>
                                <w:szCs w:val="16"/>
                                <w:lang w:val="pt-BR"/>
                              </w:rPr>
                              <w:t>20</w:t>
                            </w:r>
                            <w:r w:rsidRPr="00313BDD">
                              <w:rPr>
                                <w:rFonts w:ascii="Times New Roman" w:hAnsi="Times New Roman" w:cs="Times New Roman"/>
                                <w:sz w:val="16"/>
                                <w:szCs w:val="16"/>
                                <w:lang w:val="pt-BR"/>
                              </w:rPr>
                              <w:t>)</w:t>
                            </w:r>
                          </w:p>
                          <w:p w14:paraId="4BB4A6AE" w14:textId="10741D34" w:rsidR="003646EB" w:rsidRPr="00C403EB" w:rsidRDefault="003646EB" w:rsidP="00A4493C">
                            <w:pPr>
                              <w:spacing w:after="0" w:line="240" w:lineRule="auto"/>
                              <w:jc w:val="both"/>
                              <w:rPr>
                                <w:rFonts w:ascii="Times New Roman" w:hAnsi="Times New Roman" w:cs="Times New Roman"/>
                                <w:sz w:val="16"/>
                                <w:szCs w:val="16"/>
                              </w:rPr>
                            </w:pPr>
                            <w:r w:rsidRPr="00C403EB">
                              <w:rPr>
                                <w:rFonts w:ascii="Times New Roman" w:hAnsi="Times New Roman" w:cs="Times New Roman"/>
                                <w:sz w:val="16"/>
                                <w:szCs w:val="16"/>
                              </w:rPr>
                              <w:t>Note: The study assumed that disposable income is equal to household expenditure and used disposable income as a starting point for the estimation of the other income concepts. The estimate of the Gini index differs somewhat from the one presented in Table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6ECBC3" id="_x0000_t202" coordsize="21600,21600" o:spt="202" path="m,l,21600r21600,l21600,xe">
                <v:stroke joinstyle="miter"/>
                <v:path gradientshapeok="t" o:connecttype="rect"/>
              </v:shapetype>
              <v:shape id="Text Box 2" o:spid="_x0000_s1026" type="#_x0000_t202" style="position:absolute;left:0;text-align:left;margin-left:-.15pt;margin-top:0;width:480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">
                <v:textbox style="mso-fit-shape-to-text:t">
                  <w:txbxContent>
                    <w:p w14:paraId="16A079C5" w14:textId="73F196DF" w:rsidR="003646EB" w:rsidRPr="00A4493C" w:rsidRDefault="003646EB" w:rsidP="00A4493C">
                      <w:pPr>
                        <w:pStyle w:val="Caption"/>
                        <w:keepNext/>
                        <w:spacing w:after="120"/>
                        <w:jc w:val="both"/>
                        <w:rPr>
                          <w:rFonts w:ascii="Georgia" w:hAnsi="Georgia" w:cs="Times New Roman"/>
                          <w:smallCaps w:val="0"/>
                          <w:color w:val="auto"/>
                        </w:rPr>
                      </w:pPr>
                      <w:bookmarkStart w:id="57" w:name="_Toc107401211"/>
                      <w:bookmarkStart w:id="58" w:name="_Toc144414484"/>
                      <w:r w:rsidRPr="00A4493C">
                        <w:rPr>
                          <w:rFonts w:ascii="Georgia" w:hAnsi="Georgia" w:cs="Times New Roman"/>
                          <w:smallCaps w:val="0"/>
                          <w:color w:val="auto"/>
                        </w:rPr>
                        <w:t xml:space="preserve">Box </w:t>
                      </w:r>
                      <w:r w:rsidRPr="00A4493C">
                        <w:rPr>
                          <w:rFonts w:ascii="Georgia" w:hAnsi="Georgia" w:cs="Times New Roman"/>
                          <w:smallCaps w:val="0"/>
                          <w:color w:val="auto"/>
                        </w:rPr>
                        <w:fldChar w:fldCharType="begin"/>
                      </w:r>
                      <w:r w:rsidRPr="00A4493C">
                        <w:rPr>
                          <w:rFonts w:ascii="Georgia" w:hAnsi="Georgia" w:cs="Times New Roman"/>
                          <w:smallCaps w:val="0"/>
                          <w:color w:val="auto"/>
                        </w:rPr>
                        <w:instrText xml:space="preserve"> SEQ Box \* ARABIC </w:instrText>
                      </w:r>
                      <w:r w:rsidRPr="00A4493C">
                        <w:rPr>
                          <w:rFonts w:ascii="Georgia" w:hAnsi="Georgia" w:cs="Times New Roman"/>
                          <w:smallCaps w:val="0"/>
                          <w:color w:val="auto"/>
                        </w:rPr>
                        <w:fldChar w:fldCharType="separate"/>
                      </w:r>
                      <w:r w:rsidRPr="00A4493C">
                        <w:rPr>
                          <w:rFonts w:ascii="Georgia" w:hAnsi="Georgia" w:cs="Times New Roman"/>
                          <w:smallCaps w:val="0"/>
                          <w:noProof/>
                          <w:color w:val="auto"/>
                        </w:rPr>
                        <w:t>2</w:t>
                      </w:r>
                      <w:r w:rsidRPr="00A4493C">
                        <w:rPr>
                          <w:rFonts w:ascii="Georgia" w:hAnsi="Georgia" w:cs="Times New Roman"/>
                          <w:smallCaps w:val="0"/>
                          <w:color w:val="auto"/>
                        </w:rPr>
                        <w:fldChar w:fldCharType="end"/>
                      </w:r>
                      <w:r w:rsidRPr="00A4493C">
                        <w:rPr>
                          <w:rFonts w:ascii="Georgia" w:hAnsi="Georgia" w:cs="Times New Roman"/>
                          <w:b w:val="0"/>
                          <w:bCs w:val="0"/>
                          <w:smallCaps w:val="0"/>
                          <w:color w:val="auto"/>
                        </w:rPr>
                        <w:t>: Income concepts in the fiscal incidence analysis</w:t>
                      </w:r>
                      <w:bookmarkEnd w:id="57"/>
                      <w:r w:rsidRPr="00A4493C">
                        <w:rPr>
                          <w:rFonts w:ascii="Georgia" w:hAnsi="Georgia" w:cs="Times New Roman"/>
                          <w:b w:val="0"/>
                          <w:bCs w:val="0"/>
                          <w:smallCaps w:val="0"/>
                          <w:color w:val="auto"/>
                        </w:rPr>
                        <w:t xml:space="preserve"> and estimated Gini coefficients in 2015/16</w:t>
                      </w:r>
                      <w:bookmarkEnd w:id="58"/>
                    </w:p>
                    <w:p w14:paraId="256C469F" w14:textId="77777777" w:rsidR="003646EB" w:rsidRPr="00A4493C" w:rsidRDefault="003646EB" w:rsidP="00A4493C">
                      <w:pPr>
                        <w:spacing w:after="0" w:line="240" w:lineRule="auto"/>
                        <w:jc w:val="both"/>
                        <w:rPr>
                          <w:rFonts w:ascii="Georgia" w:hAnsi="Georgia" w:cs="Times New Roman"/>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20"/>
                      </w:tblGrid>
                      <w:tr w:rsidR="003646EB" w:rsidRPr="00A4493C" w14:paraId="461A7C53" w14:textId="77777777" w:rsidTr="00A177BE">
                        <w:tc>
                          <w:tcPr>
                            <w:tcW w:w="7508" w:type="dxa"/>
                          </w:tcPr>
                          <w:p w14:paraId="45DE0340" w14:textId="77777777" w:rsidR="003646EB" w:rsidRPr="00A4493C" w:rsidRDefault="003646EB" w:rsidP="00A4493C">
                            <w:pPr>
                              <w:jc w:val="both"/>
                              <w:rPr>
                                <w:rFonts w:ascii="Georgia" w:hAnsi="Georgia" w:cs="Times New Roman"/>
                                <w:b/>
                                <w:bCs/>
                                <w:lang w:val="en-US"/>
                              </w:rPr>
                            </w:pPr>
                          </w:p>
                        </w:tc>
                        <w:tc>
                          <w:tcPr>
                            <w:tcW w:w="1520" w:type="dxa"/>
                          </w:tcPr>
                          <w:p w14:paraId="712F7EA5"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Gini coefficient 2015/16</w:t>
                            </w:r>
                          </w:p>
                        </w:tc>
                      </w:tr>
                      <w:tr w:rsidR="003646EB" w:rsidRPr="00A4493C" w14:paraId="429AF38D" w14:textId="77777777" w:rsidTr="00A177BE">
                        <w:tc>
                          <w:tcPr>
                            <w:tcW w:w="7508" w:type="dxa"/>
                          </w:tcPr>
                          <w:p w14:paraId="012043B7"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Market income</w:t>
                            </w:r>
                          </w:p>
                          <w:p w14:paraId="4DD26280"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Contributory pensions =</w:t>
                            </w:r>
                          </w:p>
                        </w:tc>
                        <w:tc>
                          <w:tcPr>
                            <w:tcW w:w="1520" w:type="dxa"/>
                          </w:tcPr>
                          <w:p w14:paraId="1B19A9FC"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w:t>
                            </w:r>
                          </w:p>
                        </w:tc>
                      </w:tr>
                      <w:tr w:rsidR="003646EB" w:rsidRPr="00A4493C" w14:paraId="0450839D" w14:textId="77777777" w:rsidTr="00A4493C">
                        <w:trPr>
                          <w:trHeight w:val="585"/>
                        </w:trPr>
                        <w:tc>
                          <w:tcPr>
                            <w:tcW w:w="7508" w:type="dxa"/>
                          </w:tcPr>
                          <w:p w14:paraId="4D7E3B3E"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Market income plus pensions</w:t>
                            </w:r>
                          </w:p>
                          <w:p w14:paraId="7EB39D40"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Direct taxes and Social Insurance Contributions =</w:t>
                            </w:r>
                          </w:p>
                        </w:tc>
                        <w:tc>
                          <w:tcPr>
                            <w:tcW w:w="1520" w:type="dxa"/>
                          </w:tcPr>
                          <w:p w14:paraId="4BA49763"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45.0</w:t>
                            </w:r>
                          </w:p>
                        </w:tc>
                      </w:tr>
                      <w:tr w:rsidR="003646EB" w:rsidRPr="00A4493C" w14:paraId="225DBF75" w14:textId="77777777" w:rsidTr="00A177BE">
                        <w:tc>
                          <w:tcPr>
                            <w:tcW w:w="7508" w:type="dxa"/>
                          </w:tcPr>
                          <w:p w14:paraId="1FD5DEED"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Net market income</w:t>
                            </w:r>
                          </w:p>
                          <w:p w14:paraId="6AD5E91C"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Direct transfers =</w:t>
                            </w:r>
                          </w:p>
                        </w:tc>
                        <w:tc>
                          <w:tcPr>
                            <w:tcW w:w="1520" w:type="dxa"/>
                          </w:tcPr>
                          <w:p w14:paraId="2B5CCE29"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41.4</w:t>
                            </w:r>
                          </w:p>
                        </w:tc>
                      </w:tr>
                      <w:tr w:rsidR="003646EB" w:rsidRPr="00A4493C" w14:paraId="1A82F9D0" w14:textId="77777777" w:rsidTr="00A177BE">
                        <w:tc>
                          <w:tcPr>
                            <w:tcW w:w="7508" w:type="dxa"/>
                          </w:tcPr>
                          <w:p w14:paraId="0186A6B4" w14:textId="77777777" w:rsidR="003646EB" w:rsidRPr="00A4493C" w:rsidRDefault="003646EB" w:rsidP="00A4493C">
                            <w:pPr>
                              <w:jc w:val="both"/>
                              <w:rPr>
                                <w:rFonts w:ascii="Georgia" w:hAnsi="Georgia" w:cs="Times New Roman"/>
                                <w:lang w:val="en-US"/>
                              </w:rPr>
                            </w:pPr>
                            <w:r w:rsidRPr="00A4493C">
                              <w:rPr>
                                <w:rFonts w:ascii="Georgia" w:hAnsi="Georgia" w:cs="Times New Roman"/>
                                <w:b/>
                                <w:bCs/>
                                <w:lang w:val="en-US"/>
                              </w:rPr>
                              <w:t xml:space="preserve">Disposable income </w:t>
                            </w:r>
                            <w:r w:rsidRPr="00A4493C">
                              <w:rPr>
                                <w:rFonts w:ascii="Georgia" w:hAnsi="Georgia" w:cs="Times New Roman"/>
                                <w:lang w:val="en-US"/>
                              </w:rPr>
                              <w:t>(proxied by household expenditure)</w:t>
                            </w:r>
                          </w:p>
                          <w:p w14:paraId="25B5E789" w14:textId="77777777" w:rsidR="003646EB" w:rsidRPr="00A4493C" w:rsidRDefault="003646EB" w:rsidP="00A4493C">
                            <w:pPr>
                              <w:ind w:left="284"/>
                              <w:jc w:val="both"/>
                              <w:rPr>
                                <w:rFonts w:ascii="Georgia" w:hAnsi="Georgia" w:cs="Times New Roman"/>
                                <w:i/>
                                <w:iCs/>
                                <w:lang w:val="en-US"/>
                              </w:rPr>
                            </w:pPr>
                            <w:r w:rsidRPr="00A4493C">
                              <w:rPr>
                                <w:rFonts w:ascii="Georgia" w:hAnsi="Georgia" w:cs="Times New Roman"/>
                                <w:i/>
                                <w:iCs/>
                                <w:lang w:val="en-US"/>
                              </w:rPr>
                              <w:t>+ Indirect subsidies</w:t>
                            </w:r>
                          </w:p>
                          <w:p w14:paraId="4E8049B0"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Indirect taxes =</w:t>
                            </w:r>
                          </w:p>
                        </w:tc>
                        <w:tc>
                          <w:tcPr>
                            <w:tcW w:w="1520" w:type="dxa"/>
                          </w:tcPr>
                          <w:p w14:paraId="2A97BEE4"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41.0</w:t>
                            </w:r>
                          </w:p>
                        </w:tc>
                      </w:tr>
                      <w:tr w:rsidR="003646EB" w:rsidRPr="00A4493C" w14:paraId="2DDB9B5E" w14:textId="77777777" w:rsidTr="00A177BE">
                        <w:tc>
                          <w:tcPr>
                            <w:tcW w:w="7508" w:type="dxa"/>
                          </w:tcPr>
                          <w:p w14:paraId="2DB650E5"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Consumable income</w:t>
                            </w:r>
                          </w:p>
                          <w:p w14:paraId="464A1ABC" w14:textId="77777777" w:rsidR="003646EB" w:rsidRPr="00A4493C" w:rsidRDefault="003646EB" w:rsidP="00A4493C">
                            <w:pPr>
                              <w:ind w:left="284"/>
                              <w:jc w:val="both"/>
                              <w:rPr>
                                <w:rFonts w:ascii="Georgia" w:hAnsi="Georgia" w:cs="Times New Roman"/>
                                <w:i/>
                                <w:iCs/>
                                <w:lang w:val="en-US"/>
                              </w:rPr>
                            </w:pPr>
                            <w:r w:rsidRPr="00A4493C">
                              <w:rPr>
                                <w:rFonts w:ascii="Georgia" w:hAnsi="Georgia" w:cs="Times New Roman"/>
                                <w:i/>
                                <w:iCs/>
                                <w:lang w:val="en-US"/>
                              </w:rPr>
                              <w:t>+  In-kind transfers</w:t>
                            </w:r>
                          </w:p>
                          <w:p w14:paraId="23F08B52" w14:textId="77777777" w:rsidR="003646EB" w:rsidRPr="00A4493C" w:rsidRDefault="003646EB" w:rsidP="00A4493C">
                            <w:pPr>
                              <w:ind w:left="284"/>
                              <w:jc w:val="both"/>
                              <w:rPr>
                                <w:rFonts w:ascii="Georgia" w:hAnsi="Georgia" w:cs="Times New Roman"/>
                                <w:b/>
                                <w:bCs/>
                                <w:lang w:val="en-US"/>
                              </w:rPr>
                            </w:pPr>
                            <w:r w:rsidRPr="00A4493C">
                              <w:rPr>
                                <w:rFonts w:ascii="Georgia" w:hAnsi="Georgia" w:cs="Times New Roman"/>
                                <w:i/>
                                <w:iCs/>
                                <w:lang w:val="en-US"/>
                              </w:rPr>
                              <w:t>-/- Copayments and user fees for education and health services =</w:t>
                            </w:r>
                          </w:p>
                        </w:tc>
                        <w:tc>
                          <w:tcPr>
                            <w:tcW w:w="1520" w:type="dxa"/>
                          </w:tcPr>
                          <w:p w14:paraId="5E1D8747"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40.2</w:t>
                            </w:r>
                          </w:p>
                        </w:tc>
                      </w:tr>
                      <w:tr w:rsidR="003646EB" w:rsidRPr="00A4493C" w14:paraId="2C41C975" w14:textId="77777777" w:rsidTr="00A4493C">
                        <w:trPr>
                          <w:trHeight w:val="423"/>
                        </w:trPr>
                        <w:tc>
                          <w:tcPr>
                            <w:tcW w:w="7508" w:type="dxa"/>
                          </w:tcPr>
                          <w:p w14:paraId="5CE42031"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pt-BR"/>
                              </w:rPr>
                              <w:t>Final income</w:t>
                            </w:r>
                          </w:p>
                        </w:tc>
                        <w:tc>
                          <w:tcPr>
                            <w:tcW w:w="1520" w:type="dxa"/>
                          </w:tcPr>
                          <w:p w14:paraId="36B3D6BC" w14:textId="77777777" w:rsidR="003646EB" w:rsidRPr="00A4493C" w:rsidRDefault="003646EB" w:rsidP="00A4493C">
                            <w:pPr>
                              <w:jc w:val="both"/>
                              <w:rPr>
                                <w:rFonts w:ascii="Georgia" w:hAnsi="Georgia" w:cs="Times New Roman"/>
                                <w:b/>
                                <w:bCs/>
                                <w:lang w:val="en-US"/>
                              </w:rPr>
                            </w:pPr>
                            <w:r w:rsidRPr="00A4493C">
                              <w:rPr>
                                <w:rFonts w:ascii="Georgia" w:hAnsi="Georgia" w:cs="Times New Roman"/>
                                <w:b/>
                                <w:bCs/>
                                <w:lang w:val="en-US"/>
                              </w:rPr>
                              <w:t>35.7</w:t>
                            </w:r>
                          </w:p>
                        </w:tc>
                      </w:tr>
                    </w:tbl>
                    <w:p w14:paraId="72DA5B34" w14:textId="77777777" w:rsidR="003646EB" w:rsidRDefault="003646EB" w:rsidP="00A4493C">
                      <w:pPr>
                        <w:spacing w:after="0" w:line="240" w:lineRule="auto"/>
                        <w:jc w:val="both"/>
                        <w:rPr>
                          <w:rFonts w:ascii="Times New Roman" w:hAnsi="Times New Roman" w:cs="Times New Roman"/>
                          <w:b/>
                          <w:bCs/>
                          <w:sz w:val="18"/>
                          <w:szCs w:val="18"/>
                          <w:lang w:val="en-US"/>
                        </w:rPr>
                      </w:pPr>
                    </w:p>
                    <w:p w14:paraId="3DE9C198" w14:textId="77777777" w:rsidR="003646EB" w:rsidRDefault="003646EB" w:rsidP="00A4493C">
                      <w:pPr>
                        <w:spacing w:after="0" w:line="240" w:lineRule="auto"/>
                        <w:jc w:val="both"/>
                        <w:rPr>
                          <w:rFonts w:ascii="Times New Roman" w:hAnsi="Times New Roman" w:cs="Times New Roman"/>
                          <w:sz w:val="16"/>
                          <w:szCs w:val="16"/>
                          <w:lang w:val="pt-BR"/>
                        </w:rPr>
                      </w:pPr>
                      <w:r w:rsidRPr="00313BDD">
                        <w:rPr>
                          <w:rFonts w:ascii="Times New Roman" w:hAnsi="Times New Roman" w:cs="Times New Roman"/>
                          <w:sz w:val="16"/>
                          <w:szCs w:val="16"/>
                          <w:lang w:val="pt-BR"/>
                        </w:rPr>
                        <w:t xml:space="preserve">Source: </w:t>
                      </w:r>
                      <w:r>
                        <w:rPr>
                          <w:rFonts w:ascii="Times New Roman" w:hAnsi="Times New Roman" w:cs="Times New Roman"/>
                          <w:sz w:val="16"/>
                          <w:szCs w:val="16"/>
                          <w:lang w:val="pt-BR"/>
                        </w:rPr>
                        <w:t>Manda et al.</w:t>
                      </w:r>
                      <w:r w:rsidRPr="00313BDD">
                        <w:rPr>
                          <w:rFonts w:ascii="Times New Roman" w:hAnsi="Times New Roman" w:cs="Times New Roman"/>
                          <w:sz w:val="16"/>
                          <w:szCs w:val="16"/>
                          <w:lang w:val="pt-BR"/>
                        </w:rPr>
                        <w:t xml:space="preserve"> (20</w:t>
                      </w:r>
                      <w:r>
                        <w:rPr>
                          <w:rFonts w:ascii="Times New Roman" w:hAnsi="Times New Roman" w:cs="Times New Roman"/>
                          <w:sz w:val="16"/>
                          <w:szCs w:val="16"/>
                          <w:lang w:val="pt-BR"/>
                        </w:rPr>
                        <w:t>20</w:t>
                      </w:r>
                      <w:r w:rsidRPr="00313BDD">
                        <w:rPr>
                          <w:rFonts w:ascii="Times New Roman" w:hAnsi="Times New Roman" w:cs="Times New Roman"/>
                          <w:sz w:val="16"/>
                          <w:szCs w:val="16"/>
                          <w:lang w:val="pt-BR"/>
                        </w:rPr>
                        <w:t>)</w:t>
                      </w:r>
                    </w:p>
                    <w:p w14:paraId="4BB4A6AE" w14:textId="10741D34" w:rsidR="003646EB" w:rsidRPr="00C403EB" w:rsidRDefault="003646EB" w:rsidP="00A4493C">
                      <w:pPr>
                        <w:spacing w:after="0" w:line="240" w:lineRule="auto"/>
                        <w:jc w:val="both"/>
                        <w:rPr>
                          <w:rFonts w:ascii="Times New Roman" w:hAnsi="Times New Roman" w:cs="Times New Roman"/>
                          <w:sz w:val="16"/>
                          <w:szCs w:val="16"/>
                        </w:rPr>
                      </w:pPr>
                      <w:r w:rsidRPr="00C403EB">
                        <w:rPr>
                          <w:rFonts w:ascii="Times New Roman" w:hAnsi="Times New Roman" w:cs="Times New Roman"/>
                          <w:sz w:val="16"/>
                          <w:szCs w:val="16"/>
                        </w:rPr>
                        <w:t>Note: The study assumed that disposable income is equal to household expenditure and used disposable income as a starting point for the estimation of the other income concepts. The estimate of the Gini index differs somewhat from the one presented in Table 1.</w:t>
                      </w:r>
                    </w:p>
                  </w:txbxContent>
                </v:textbox>
                <w10:wrap type="square" anchorx="margin"/>
              </v:shape>
            </w:pict>
          </mc:Fallback>
        </mc:AlternateContent>
      </w:r>
      <w:r w:rsidR="00ED0F17" w:rsidRPr="00346D1C">
        <w:rPr>
          <w:rFonts w:ascii="Georgia" w:hAnsi="Georgia" w:cs="Times New Roman"/>
          <w:sz w:val="24"/>
          <w:szCs w:val="24"/>
          <w:shd w:val="clear" w:color="auto" w:fill="FFFFFF"/>
        </w:rPr>
        <w:t xml:space="preserve">expenditure </w:t>
      </w:r>
      <w:r w:rsidR="002935EC" w:rsidRPr="00346D1C">
        <w:rPr>
          <w:rFonts w:ascii="Georgia" w:hAnsi="Georgia" w:cs="Times New Roman"/>
          <w:sz w:val="24"/>
          <w:szCs w:val="24"/>
          <w:shd w:val="clear" w:color="auto" w:fill="FFFFFF"/>
        </w:rPr>
        <w:t xml:space="preserve">as a share of GDP </w:t>
      </w:r>
      <w:r w:rsidR="001B68BD" w:rsidRPr="00346D1C">
        <w:rPr>
          <w:rFonts w:ascii="Georgia" w:hAnsi="Georgia" w:cs="Times New Roman"/>
          <w:sz w:val="24"/>
          <w:szCs w:val="24"/>
          <w:shd w:val="clear" w:color="auto" w:fill="FFFFFF"/>
        </w:rPr>
        <w:t>rose however from 1.3% in 2000 to about 2% in recent years</w:t>
      </w:r>
      <w:r w:rsidR="006B578D" w:rsidRPr="00346D1C">
        <w:rPr>
          <w:rFonts w:ascii="Georgia" w:hAnsi="Georgia" w:cs="Times New Roman"/>
          <w:sz w:val="24"/>
          <w:szCs w:val="24"/>
          <w:shd w:val="clear" w:color="auto" w:fill="FFFFFF"/>
        </w:rPr>
        <w:t>.</w:t>
      </w:r>
      <w:r w:rsidRPr="00346D1C">
        <w:rPr>
          <w:rStyle w:val="FootnoteReference"/>
          <w:rFonts w:ascii="Georgia" w:hAnsi="Georgia" w:cs="Times New Roman"/>
          <w:sz w:val="24"/>
          <w:szCs w:val="24"/>
          <w:shd w:val="clear" w:color="auto" w:fill="FFFFFF"/>
        </w:rPr>
        <w:footnoteReference w:id="27"/>
      </w:r>
      <w:r w:rsidR="006B578D" w:rsidRPr="00346D1C">
        <w:rPr>
          <w:rFonts w:ascii="Georgia" w:hAnsi="Georgia" w:cs="Times New Roman"/>
          <w:sz w:val="24"/>
          <w:szCs w:val="24"/>
          <w:shd w:val="clear" w:color="auto" w:fill="FFFFFF"/>
        </w:rPr>
        <w:t xml:space="preserve"> It comprised about 6-8% of </w:t>
      </w:r>
      <w:r w:rsidR="009F46EB" w:rsidRPr="00346D1C">
        <w:rPr>
          <w:rFonts w:ascii="Georgia" w:hAnsi="Georgia" w:cs="Times New Roman"/>
          <w:sz w:val="24"/>
          <w:szCs w:val="24"/>
          <w:shd w:val="clear" w:color="auto" w:fill="FFFFFF"/>
        </w:rPr>
        <w:t>general government expenditure.</w:t>
      </w:r>
      <w:r w:rsidR="001377AE" w:rsidRPr="00346D1C">
        <w:rPr>
          <w:rFonts w:ascii="Georgia" w:hAnsi="Georgia" w:cs="Times New Roman"/>
          <w:sz w:val="24"/>
          <w:szCs w:val="24"/>
          <w:shd w:val="clear" w:color="auto" w:fill="FFFFFF"/>
        </w:rPr>
        <w:t xml:space="preserve"> In 2019, it</w:t>
      </w:r>
      <w:r w:rsidR="0004591D" w:rsidRPr="00346D1C">
        <w:rPr>
          <w:rFonts w:ascii="Georgia" w:hAnsi="Georgia" w:cs="Times New Roman"/>
          <w:sz w:val="24"/>
          <w:szCs w:val="24"/>
          <w:shd w:val="clear" w:color="auto" w:fill="FFFFFF"/>
        </w:rPr>
        <w:t xml:space="preserve"> represented nearly half of the current health expenditure, compared to less than 30% in 2000. </w:t>
      </w:r>
    </w:p>
    <w:p w14:paraId="52AA32BE" w14:textId="595586DB" w:rsidR="00C33F89" w:rsidRPr="00346D1C" w:rsidRDefault="005A586D" w:rsidP="00870F78">
      <w:pPr>
        <w:spacing w:after="120" w:line="240" w:lineRule="auto"/>
        <w:jc w:val="both"/>
        <w:rPr>
          <w:rFonts w:ascii="Georgia" w:hAnsi="Georgia" w:cs="Times New Roman"/>
          <w:sz w:val="24"/>
          <w:szCs w:val="24"/>
          <w:shd w:val="clear" w:color="auto" w:fill="FFFFFF"/>
        </w:rPr>
      </w:pPr>
      <w:r w:rsidRPr="00346D1C">
        <w:rPr>
          <w:rFonts w:ascii="Georgia" w:hAnsi="Georgia" w:cs="Times New Roman"/>
          <w:sz w:val="24"/>
          <w:szCs w:val="24"/>
          <w:shd w:val="clear" w:color="auto" w:fill="FFFFFF"/>
        </w:rPr>
        <w:t xml:space="preserve">In Kenya, there is a </w:t>
      </w:r>
      <w:r w:rsidR="00C92D0A" w:rsidRPr="00346D1C">
        <w:rPr>
          <w:rFonts w:ascii="Georgia" w:hAnsi="Georgia" w:cs="Times New Roman"/>
          <w:sz w:val="24"/>
          <w:szCs w:val="24"/>
          <w:shd w:val="clear" w:color="auto" w:fill="FFFFFF"/>
        </w:rPr>
        <w:t xml:space="preserve">public </w:t>
      </w:r>
      <w:r w:rsidRPr="00346D1C">
        <w:rPr>
          <w:rFonts w:ascii="Georgia" w:hAnsi="Georgia" w:cs="Times New Roman"/>
          <w:sz w:val="24"/>
          <w:szCs w:val="24"/>
          <w:shd w:val="clear" w:color="auto" w:fill="FFFFFF"/>
        </w:rPr>
        <w:t>National Hospital Insurance Fund (NHIF)</w:t>
      </w:r>
      <w:r w:rsidR="005228B0" w:rsidRPr="00346D1C">
        <w:rPr>
          <w:rFonts w:ascii="Georgia" w:hAnsi="Georgia" w:cs="Times New Roman"/>
          <w:sz w:val="24"/>
          <w:szCs w:val="24"/>
          <w:shd w:val="clear" w:color="auto" w:fill="FFFFFF"/>
        </w:rPr>
        <w:t>, which is ‘</w:t>
      </w:r>
      <w:r w:rsidRPr="00346D1C">
        <w:rPr>
          <w:rFonts w:ascii="Georgia" w:hAnsi="Georgia" w:cs="Times New Roman"/>
          <w:sz w:val="24"/>
          <w:szCs w:val="24"/>
          <w:shd w:val="clear" w:color="auto" w:fill="FFFFFF"/>
        </w:rPr>
        <w:t>a national contributory scheme</w:t>
      </w:r>
      <w:r w:rsidR="00B110B2" w:rsidRPr="00346D1C">
        <w:rPr>
          <w:rFonts w:ascii="Georgia" w:hAnsi="Georgia" w:cs="Times New Roman"/>
          <w:sz w:val="24"/>
          <w:szCs w:val="24"/>
          <w:shd w:val="clear" w:color="auto" w:fill="FFFFFF"/>
        </w:rPr>
        <w:t xml:space="preserve"> </w:t>
      </w:r>
      <w:r w:rsidRPr="00346D1C">
        <w:rPr>
          <w:rFonts w:ascii="Georgia" w:hAnsi="Georgia" w:cs="Times New Roman"/>
          <w:sz w:val="24"/>
          <w:szCs w:val="24"/>
          <w:shd w:val="clear" w:color="auto" w:fill="FFFFFF"/>
        </w:rPr>
        <w:t>that provides health insurance for Kenyans</w:t>
      </w:r>
      <w:r w:rsidR="005228B0" w:rsidRPr="00346D1C">
        <w:rPr>
          <w:rFonts w:ascii="Georgia" w:hAnsi="Georgia" w:cs="Times New Roman"/>
          <w:sz w:val="24"/>
          <w:szCs w:val="24"/>
          <w:shd w:val="clear" w:color="auto" w:fill="FFFFFF"/>
        </w:rPr>
        <w:t xml:space="preserve"> </w:t>
      </w:r>
      <w:r w:rsidRPr="00346D1C">
        <w:rPr>
          <w:rFonts w:ascii="Georgia" w:hAnsi="Georgia" w:cs="Times New Roman"/>
          <w:sz w:val="24"/>
          <w:szCs w:val="24"/>
          <w:shd w:val="clear" w:color="auto" w:fill="FFFFFF"/>
        </w:rPr>
        <w:t>including insurance subsidies for the poor and</w:t>
      </w:r>
      <w:r w:rsidR="005228B0" w:rsidRPr="00346D1C">
        <w:rPr>
          <w:rFonts w:ascii="Georgia" w:hAnsi="Georgia" w:cs="Times New Roman"/>
          <w:sz w:val="24"/>
          <w:szCs w:val="24"/>
          <w:shd w:val="clear" w:color="auto" w:fill="FFFFFF"/>
        </w:rPr>
        <w:t xml:space="preserve"> </w:t>
      </w:r>
      <w:r w:rsidRPr="00346D1C">
        <w:rPr>
          <w:rFonts w:ascii="Georgia" w:hAnsi="Georgia" w:cs="Times New Roman"/>
          <w:sz w:val="24"/>
          <w:szCs w:val="24"/>
          <w:shd w:val="clear" w:color="auto" w:fill="FFFFFF"/>
        </w:rPr>
        <w:t>vulnerable</w:t>
      </w:r>
      <w:r w:rsidR="005228B0" w:rsidRPr="00346D1C">
        <w:rPr>
          <w:rFonts w:ascii="Georgia" w:hAnsi="Georgia" w:cs="Times New Roman"/>
          <w:sz w:val="24"/>
          <w:szCs w:val="24"/>
          <w:shd w:val="clear" w:color="auto" w:fill="FFFFFF"/>
        </w:rPr>
        <w:t>’ (</w:t>
      </w:r>
      <w:r w:rsidR="00544050" w:rsidRPr="00346D1C">
        <w:rPr>
          <w:rFonts w:ascii="Georgia" w:hAnsi="Georgia" w:cs="Times New Roman"/>
          <w:sz w:val="24"/>
          <w:szCs w:val="24"/>
          <w:shd w:val="clear" w:color="auto" w:fill="FFFFFF"/>
        </w:rPr>
        <w:t>M</w:t>
      </w:r>
      <w:r w:rsidR="00077D20" w:rsidRPr="00346D1C">
        <w:rPr>
          <w:rFonts w:ascii="Georgia" w:hAnsi="Georgia" w:cs="Times New Roman"/>
          <w:sz w:val="24"/>
          <w:szCs w:val="24"/>
          <w:shd w:val="clear" w:color="auto" w:fill="FFFFFF"/>
        </w:rPr>
        <w:t>o</w:t>
      </w:r>
      <w:r w:rsidR="00544050" w:rsidRPr="00346D1C">
        <w:rPr>
          <w:rFonts w:ascii="Georgia" w:hAnsi="Georgia" w:cs="Times New Roman"/>
          <w:sz w:val="24"/>
          <w:szCs w:val="24"/>
          <w:shd w:val="clear" w:color="auto" w:fill="FFFFFF"/>
        </w:rPr>
        <w:t>L&amp;SP</w:t>
      </w:r>
      <w:r w:rsidR="00B110B2" w:rsidRPr="00346D1C">
        <w:rPr>
          <w:rFonts w:ascii="Georgia" w:hAnsi="Georgia" w:cs="Times New Roman"/>
          <w:sz w:val="24"/>
          <w:szCs w:val="24"/>
          <w:shd w:val="clear" w:color="auto" w:fill="FFFFFF"/>
        </w:rPr>
        <w:t>, 2020: 6).</w:t>
      </w:r>
      <w:r w:rsidR="009B4B62" w:rsidRPr="00346D1C">
        <w:rPr>
          <w:rStyle w:val="FootnoteReference"/>
          <w:rFonts w:ascii="Georgia" w:hAnsi="Georgia" w:cs="Times New Roman"/>
          <w:sz w:val="24"/>
          <w:szCs w:val="24"/>
          <w:shd w:val="clear" w:color="auto" w:fill="FFFFFF"/>
        </w:rPr>
        <w:footnoteReference w:id="28"/>
      </w:r>
      <w:r w:rsidR="00796E3C" w:rsidRPr="00346D1C">
        <w:rPr>
          <w:rFonts w:ascii="Georgia" w:hAnsi="Georgia" w:cs="Times New Roman"/>
          <w:sz w:val="24"/>
          <w:szCs w:val="24"/>
          <w:shd w:val="clear" w:color="auto" w:fill="FFFFFF"/>
        </w:rPr>
        <w:t xml:space="preserve"> The NHIF accounted for nearly 5% of </w:t>
      </w:r>
      <w:r w:rsidR="00811DFB" w:rsidRPr="00346D1C">
        <w:rPr>
          <w:rFonts w:ascii="Georgia" w:hAnsi="Georgia" w:cs="Times New Roman"/>
          <w:sz w:val="24"/>
          <w:szCs w:val="24"/>
          <w:shd w:val="clear" w:color="auto" w:fill="FFFFFF"/>
        </w:rPr>
        <w:t>current</w:t>
      </w:r>
      <w:r w:rsidR="00796E3C" w:rsidRPr="00346D1C">
        <w:rPr>
          <w:rFonts w:ascii="Georgia" w:hAnsi="Georgia" w:cs="Times New Roman"/>
          <w:sz w:val="24"/>
          <w:szCs w:val="24"/>
          <w:shd w:val="clear" w:color="auto" w:fill="FFFFFF"/>
        </w:rPr>
        <w:t xml:space="preserve"> health expenditure in 2015/16, while the national and subnational governments’ share was </w:t>
      </w:r>
      <w:r w:rsidR="00811DFB" w:rsidRPr="00346D1C">
        <w:rPr>
          <w:rFonts w:ascii="Georgia" w:hAnsi="Georgia" w:cs="Times New Roman"/>
          <w:sz w:val="24"/>
          <w:szCs w:val="24"/>
          <w:shd w:val="clear" w:color="auto" w:fill="FFFFFF"/>
        </w:rPr>
        <w:t>little over</w:t>
      </w:r>
      <w:r w:rsidR="00796E3C" w:rsidRPr="00346D1C">
        <w:rPr>
          <w:rFonts w:ascii="Georgia" w:hAnsi="Georgia" w:cs="Times New Roman"/>
          <w:sz w:val="24"/>
          <w:szCs w:val="24"/>
          <w:shd w:val="clear" w:color="auto" w:fill="FFFFFF"/>
        </w:rPr>
        <w:t xml:space="preserve"> 40% of the total (MoH, 2020: 19). </w:t>
      </w:r>
      <w:r w:rsidR="00AC1376" w:rsidRPr="00346D1C">
        <w:rPr>
          <w:rFonts w:ascii="Georgia" w:hAnsi="Georgia" w:cs="Times New Roman"/>
          <w:sz w:val="24"/>
          <w:szCs w:val="24"/>
          <w:shd w:val="clear" w:color="auto" w:fill="FFFFFF"/>
        </w:rPr>
        <w:t xml:space="preserve">Kabia et al. </w:t>
      </w:r>
      <w:r w:rsidR="008F67FC" w:rsidRPr="00346D1C">
        <w:rPr>
          <w:rFonts w:ascii="Georgia" w:hAnsi="Georgia" w:cs="Times New Roman"/>
          <w:sz w:val="24"/>
          <w:szCs w:val="24"/>
          <w:shd w:val="clear" w:color="auto" w:fill="FFFFFF"/>
        </w:rPr>
        <w:t>(</w:t>
      </w:r>
      <w:r w:rsidR="00AC1376" w:rsidRPr="00346D1C">
        <w:rPr>
          <w:rFonts w:ascii="Georgia" w:hAnsi="Georgia" w:cs="Times New Roman"/>
          <w:sz w:val="24"/>
          <w:szCs w:val="24"/>
          <w:shd w:val="clear" w:color="auto" w:fill="FFFFFF"/>
        </w:rPr>
        <w:t xml:space="preserve">2022) explain that </w:t>
      </w:r>
      <w:r w:rsidR="00F93F8C" w:rsidRPr="00346D1C">
        <w:rPr>
          <w:rFonts w:ascii="Georgia" w:hAnsi="Georgia" w:cs="Times New Roman"/>
          <w:sz w:val="24"/>
          <w:szCs w:val="24"/>
          <w:shd w:val="clear" w:color="auto" w:fill="FFFFFF"/>
        </w:rPr>
        <w:t xml:space="preserve">the Kenyan </w:t>
      </w:r>
      <w:r w:rsidR="00C56829" w:rsidRPr="00346D1C">
        <w:rPr>
          <w:rFonts w:ascii="Georgia" w:hAnsi="Georgia" w:cs="Times New Roman"/>
          <w:sz w:val="24"/>
          <w:szCs w:val="24"/>
          <w:shd w:val="clear" w:color="auto" w:fill="FFFFFF"/>
        </w:rPr>
        <w:t xml:space="preserve">health system </w:t>
      </w:r>
      <w:r w:rsidR="00F93F8C" w:rsidRPr="00346D1C">
        <w:rPr>
          <w:rFonts w:ascii="Georgia" w:hAnsi="Georgia" w:cs="Times New Roman"/>
          <w:sz w:val="24"/>
          <w:szCs w:val="24"/>
          <w:shd w:val="clear" w:color="auto" w:fill="FFFFFF"/>
        </w:rPr>
        <w:t>‘</w:t>
      </w:r>
      <w:r w:rsidR="00C56829" w:rsidRPr="00346D1C">
        <w:rPr>
          <w:rFonts w:ascii="Georgia" w:hAnsi="Georgia" w:cs="Times New Roman"/>
          <w:sz w:val="24"/>
          <w:szCs w:val="24"/>
          <w:shd w:val="clear" w:color="auto" w:fill="FFFFFF"/>
        </w:rPr>
        <w:t>is financed by revenues collected by</w:t>
      </w:r>
      <w:r w:rsidR="00F93F8C" w:rsidRPr="00346D1C">
        <w:rPr>
          <w:rFonts w:ascii="Georgia" w:hAnsi="Georgia" w:cs="Times New Roman"/>
          <w:sz w:val="24"/>
          <w:szCs w:val="24"/>
          <w:shd w:val="clear" w:color="auto" w:fill="FFFFFF"/>
        </w:rPr>
        <w:t xml:space="preserve"> </w:t>
      </w:r>
      <w:r w:rsidR="00C56829" w:rsidRPr="00346D1C">
        <w:rPr>
          <w:rFonts w:ascii="Georgia" w:hAnsi="Georgia" w:cs="Times New Roman"/>
          <w:sz w:val="24"/>
          <w:szCs w:val="24"/>
          <w:shd w:val="clear" w:color="auto" w:fill="FFFFFF"/>
        </w:rPr>
        <w:t>the government (national and county) through taxes</w:t>
      </w:r>
      <w:r w:rsidR="00F93F8C" w:rsidRPr="00346D1C">
        <w:rPr>
          <w:rFonts w:ascii="Georgia" w:hAnsi="Georgia" w:cs="Times New Roman"/>
          <w:sz w:val="24"/>
          <w:szCs w:val="24"/>
          <w:shd w:val="clear" w:color="auto" w:fill="FFFFFF"/>
        </w:rPr>
        <w:t xml:space="preserve"> </w:t>
      </w:r>
      <w:r w:rsidR="00C56829" w:rsidRPr="00346D1C">
        <w:rPr>
          <w:rFonts w:ascii="Georgia" w:hAnsi="Georgia" w:cs="Times New Roman"/>
          <w:sz w:val="24"/>
          <w:szCs w:val="24"/>
          <w:shd w:val="clear" w:color="auto" w:fill="FFFFFF"/>
        </w:rPr>
        <w:t>and donor funding, NHIF and private health insurance</w:t>
      </w:r>
      <w:r w:rsidR="00916C06" w:rsidRPr="00346D1C">
        <w:rPr>
          <w:rFonts w:ascii="Georgia" w:hAnsi="Georgia" w:cs="Times New Roman"/>
          <w:sz w:val="24"/>
          <w:szCs w:val="24"/>
          <w:shd w:val="clear" w:color="auto" w:fill="FFFFFF"/>
        </w:rPr>
        <w:t xml:space="preserve"> </w:t>
      </w:r>
      <w:r w:rsidR="00C56829" w:rsidRPr="00346D1C">
        <w:rPr>
          <w:rFonts w:ascii="Georgia" w:hAnsi="Georgia" w:cs="Times New Roman"/>
          <w:sz w:val="24"/>
          <w:szCs w:val="24"/>
          <w:shd w:val="clear" w:color="auto" w:fill="FFFFFF"/>
        </w:rPr>
        <w:t xml:space="preserve">companies (through member contributions), and out-of-pocket </w:t>
      </w:r>
      <w:r w:rsidR="00291F44" w:rsidRPr="00346D1C">
        <w:rPr>
          <w:rFonts w:ascii="Georgia" w:hAnsi="Georgia" w:cs="Times New Roman"/>
          <w:sz w:val="24"/>
          <w:szCs w:val="24"/>
          <w:shd w:val="clear" w:color="auto" w:fill="FFFFFF"/>
        </w:rPr>
        <w:t xml:space="preserve">(OOP) </w:t>
      </w:r>
      <w:r w:rsidR="00C56829" w:rsidRPr="00346D1C">
        <w:rPr>
          <w:rFonts w:ascii="Georgia" w:hAnsi="Georgia" w:cs="Times New Roman"/>
          <w:sz w:val="24"/>
          <w:szCs w:val="24"/>
          <w:shd w:val="clear" w:color="auto" w:fill="FFFFFF"/>
        </w:rPr>
        <w:t>payments paid by citizens at the point of care.</w:t>
      </w:r>
      <w:r w:rsidR="00F93F8C" w:rsidRPr="00346D1C">
        <w:rPr>
          <w:rFonts w:ascii="Georgia" w:hAnsi="Georgia" w:cs="Times New Roman"/>
          <w:sz w:val="24"/>
          <w:szCs w:val="24"/>
          <w:shd w:val="clear" w:color="auto" w:fill="FFFFFF"/>
        </w:rPr>
        <w:t>’</w:t>
      </w:r>
      <w:r w:rsidR="004570CF" w:rsidRPr="00346D1C">
        <w:rPr>
          <w:rFonts w:ascii="Georgia" w:hAnsi="Georgia" w:cs="Times New Roman"/>
          <w:sz w:val="24"/>
          <w:szCs w:val="24"/>
          <w:shd w:val="clear" w:color="auto" w:fill="FFFFFF"/>
        </w:rPr>
        <w:t xml:space="preserve"> </w:t>
      </w:r>
      <w:r w:rsidR="00816D98" w:rsidRPr="00346D1C">
        <w:rPr>
          <w:rFonts w:ascii="Georgia" w:hAnsi="Georgia" w:cs="Times New Roman"/>
          <w:sz w:val="24"/>
          <w:szCs w:val="24"/>
          <w:shd w:val="clear" w:color="auto" w:fill="FFFFFF"/>
        </w:rPr>
        <w:t>Private health expenditure – principally being out-of-pocket expenditure – still made up over half of current health expenditure in 2000, but this proportion gradually declined to 35% in recent years</w:t>
      </w:r>
      <w:r w:rsidR="00811DFB" w:rsidRPr="00346D1C">
        <w:rPr>
          <w:rFonts w:ascii="Georgia" w:hAnsi="Georgia" w:cs="Times New Roman"/>
          <w:sz w:val="24"/>
          <w:szCs w:val="24"/>
          <w:shd w:val="clear" w:color="auto" w:fill="FFFFFF"/>
        </w:rPr>
        <w:t xml:space="preserve"> (World Development Indicators). This decline</w:t>
      </w:r>
      <w:r w:rsidR="000B4555" w:rsidRPr="00346D1C">
        <w:rPr>
          <w:rFonts w:ascii="Georgia" w:hAnsi="Georgia" w:cs="Times New Roman"/>
          <w:sz w:val="24"/>
          <w:szCs w:val="24"/>
          <w:shd w:val="clear" w:color="auto" w:fill="FFFFFF"/>
        </w:rPr>
        <w:t xml:space="preserve"> is likely to be associated with the removal of user fees for primary health care and maternal health care </w:t>
      </w:r>
      <w:r w:rsidR="002A4920" w:rsidRPr="00346D1C">
        <w:rPr>
          <w:rFonts w:ascii="Georgia" w:hAnsi="Georgia" w:cs="Times New Roman"/>
          <w:sz w:val="24"/>
          <w:szCs w:val="24"/>
          <w:shd w:val="clear" w:color="auto" w:fill="FFFFFF"/>
        </w:rPr>
        <w:t>in 2013</w:t>
      </w:r>
      <w:r w:rsidR="00811DFB" w:rsidRPr="00346D1C">
        <w:rPr>
          <w:rFonts w:ascii="Georgia" w:hAnsi="Georgia" w:cs="Times New Roman"/>
          <w:sz w:val="24"/>
          <w:szCs w:val="24"/>
          <w:shd w:val="clear" w:color="auto" w:fill="FFFFFF"/>
        </w:rPr>
        <w:t xml:space="preserve"> and the increase in public spending following the creation of the county governments in 2012</w:t>
      </w:r>
      <w:r w:rsidR="002A4920" w:rsidRPr="00346D1C">
        <w:rPr>
          <w:rFonts w:ascii="Georgia" w:hAnsi="Georgia" w:cs="Times New Roman"/>
          <w:sz w:val="24"/>
          <w:szCs w:val="24"/>
          <w:shd w:val="clear" w:color="auto" w:fill="FFFFFF"/>
        </w:rPr>
        <w:t xml:space="preserve"> </w:t>
      </w:r>
      <w:r w:rsidR="000B4555" w:rsidRPr="00346D1C">
        <w:rPr>
          <w:rFonts w:ascii="Georgia" w:hAnsi="Georgia" w:cs="Times New Roman"/>
          <w:sz w:val="24"/>
          <w:szCs w:val="24"/>
          <w:shd w:val="clear" w:color="auto" w:fill="FFFFFF"/>
        </w:rPr>
        <w:t>(see, e.g., Pape and Lange, 2018</w:t>
      </w:r>
      <w:r w:rsidR="00811DFB" w:rsidRPr="00346D1C">
        <w:rPr>
          <w:rFonts w:ascii="Georgia" w:hAnsi="Georgia" w:cs="Times New Roman"/>
          <w:sz w:val="24"/>
          <w:szCs w:val="24"/>
          <w:shd w:val="clear" w:color="auto" w:fill="FFFFFF"/>
        </w:rPr>
        <w:t>; MoH, 2020: 18)</w:t>
      </w:r>
      <w:r w:rsidR="00816D98" w:rsidRPr="00346D1C">
        <w:rPr>
          <w:rFonts w:ascii="Georgia" w:hAnsi="Georgia" w:cs="Times New Roman"/>
          <w:sz w:val="24"/>
          <w:szCs w:val="24"/>
          <w:shd w:val="clear" w:color="auto" w:fill="FFFFFF"/>
        </w:rPr>
        <w:t xml:space="preserve">. </w:t>
      </w:r>
      <w:r w:rsidR="004570CF" w:rsidRPr="00346D1C">
        <w:rPr>
          <w:rFonts w:ascii="Georgia" w:hAnsi="Georgia" w:cs="Times New Roman"/>
          <w:sz w:val="24"/>
          <w:szCs w:val="24"/>
          <w:shd w:val="clear" w:color="auto" w:fill="FFFFFF"/>
        </w:rPr>
        <w:t xml:space="preserve">According to estimations presented in the World Development Indicators database, the </w:t>
      </w:r>
      <w:r w:rsidR="00816D98" w:rsidRPr="00346D1C">
        <w:rPr>
          <w:rFonts w:ascii="Georgia" w:hAnsi="Georgia" w:cs="Times New Roman"/>
          <w:sz w:val="24"/>
          <w:szCs w:val="24"/>
          <w:shd w:val="clear" w:color="auto" w:fill="FFFFFF"/>
        </w:rPr>
        <w:t>OOP expenditure declined also as a proportion of private health expenditure – from 4/5</w:t>
      </w:r>
      <w:r w:rsidR="00816D98" w:rsidRPr="00346D1C">
        <w:rPr>
          <w:rFonts w:ascii="Georgia" w:hAnsi="Georgia" w:cs="Times New Roman"/>
          <w:sz w:val="24"/>
          <w:szCs w:val="24"/>
          <w:shd w:val="clear" w:color="auto" w:fill="FFFFFF"/>
          <w:vertAlign w:val="superscript"/>
        </w:rPr>
        <w:t>th</w:t>
      </w:r>
      <w:r w:rsidR="00816D98" w:rsidRPr="00346D1C">
        <w:rPr>
          <w:rFonts w:ascii="Georgia" w:hAnsi="Georgia" w:cs="Times New Roman"/>
          <w:sz w:val="24"/>
          <w:szCs w:val="24"/>
          <w:shd w:val="clear" w:color="auto" w:fill="FFFFFF"/>
        </w:rPr>
        <w:t xml:space="preserve"> in 2000 to 2/3</w:t>
      </w:r>
      <w:r w:rsidR="00816D98" w:rsidRPr="00346D1C">
        <w:rPr>
          <w:rFonts w:ascii="Georgia" w:hAnsi="Georgia" w:cs="Times New Roman"/>
          <w:sz w:val="24"/>
          <w:szCs w:val="24"/>
          <w:shd w:val="clear" w:color="auto" w:fill="FFFFFF"/>
          <w:vertAlign w:val="superscript"/>
        </w:rPr>
        <w:t>rd</w:t>
      </w:r>
      <w:r w:rsidR="00816D98" w:rsidRPr="00346D1C">
        <w:rPr>
          <w:rFonts w:ascii="Georgia" w:hAnsi="Georgia" w:cs="Times New Roman"/>
          <w:sz w:val="24"/>
          <w:szCs w:val="24"/>
          <w:shd w:val="clear" w:color="auto" w:fill="FFFFFF"/>
        </w:rPr>
        <w:t xml:space="preserve"> in 2019.</w:t>
      </w:r>
      <w:r w:rsidR="004570CF" w:rsidRPr="00346D1C">
        <w:rPr>
          <w:rFonts w:ascii="Georgia" w:hAnsi="Georgia" w:cs="Times New Roman"/>
          <w:sz w:val="24"/>
          <w:szCs w:val="24"/>
          <w:shd w:val="clear" w:color="auto" w:fill="FFFFFF"/>
        </w:rPr>
        <w:t xml:space="preserve"> </w:t>
      </w:r>
      <w:r w:rsidR="00EE4D32" w:rsidRPr="00346D1C">
        <w:rPr>
          <w:rFonts w:ascii="Georgia" w:hAnsi="Georgia" w:cs="Times New Roman"/>
          <w:sz w:val="24"/>
          <w:szCs w:val="24"/>
          <w:shd w:val="clear" w:color="auto" w:fill="FFFFFF"/>
        </w:rPr>
        <w:t xml:space="preserve">This decrease appears to reflect the above-mentioned removal of user fees. It is also likely a result of an increased importance of private health insurance (see MoH, 2020: 19). </w:t>
      </w:r>
      <w:r w:rsidR="004570CF" w:rsidRPr="00346D1C">
        <w:rPr>
          <w:rFonts w:ascii="Georgia" w:hAnsi="Georgia" w:cs="Times New Roman"/>
          <w:sz w:val="24"/>
          <w:szCs w:val="24"/>
          <w:shd w:val="clear" w:color="auto" w:fill="FFFFFF"/>
        </w:rPr>
        <w:t>Th</w:t>
      </w:r>
      <w:r w:rsidR="00EE4D32" w:rsidRPr="00346D1C">
        <w:rPr>
          <w:rFonts w:ascii="Georgia" w:hAnsi="Georgia" w:cs="Times New Roman"/>
          <w:sz w:val="24"/>
          <w:szCs w:val="24"/>
          <w:shd w:val="clear" w:color="auto" w:fill="FFFFFF"/>
        </w:rPr>
        <w:t>e</w:t>
      </w:r>
      <w:r w:rsidR="004570CF" w:rsidRPr="00346D1C">
        <w:rPr>
          <w:rFonts w:ascii="Georgia" w:hAnsi="Georgia" w:cs="Times New Roman"/>
          <w:sz w:val="24"/>
          <w:szCs w:val="24"/>
          <w:shd w:val="clear" w:color="auto" w:fill="FFFFFF"/>
        </w:rPr>
        <w:t xml:space="preserve"> </w:t>
      </w:r>
      <w:r w:rsidR="00EE4D32" w:rsidRPr="00346D1C">
        <w:rPr>
          <w:rFonts w:ascii="Georgia" w:hAnsi="Georgia" w:cs="Times New Roman"/>
          <w:sz w:val="24"/>
          <w:szCs w:val="24"/>
          <w:shd w:val="clear" w:color="auto" w:fill="FFFFFF"/>
        </w:rPr>
        <w:t xml:space="preserve">WDI </w:t>
      </w:r>
      <w:r w:rsidR="004570CF" w:rsidRPr="00346D1C">
        <w:rPr>
          <w:rFonts w:ascii="Georgia" w:hAnsi="Georgia" w:cs="Times New Roman"/>
          <w:sz w:val="24"/>
          <w:szCs w:val="24"/>
          <w:shd w:val="clear" w:color="auto" w:fill="FFFFFF"/>
        </w:rPr>
        <w:t>data</w:t>
      </w:r>
      <w:r w:rsidR="00EE4D32" w:rsidRPr="00346D1C">
        <w:rPr>
          <w:rFonts w:ascii="Georgia" w:hAnsi="Georgia" w:cs="Times New Roman"/>
          <w:sz w:val="24"/>
          <w:szCs w:val="24"/>
          <w:shd w:val="clear" w:color="auto" w:fill="FFFFFF"/>
        </w:rPr>
        <w:t xml:space="preserve">base </w:t>
      </w:r>
      <w:r w:rsidR="004570CF" w:rsidRPr="00346D1C">
        <w:rPr>
          <w:rFonts w:ascii="Georgia" w:hAnsi="Georgia" w:cs="Times New Roman"/>
          <w:sz w:val="24"/>
          <w:szCs w:val="24"/>
          <w:shd w:val="clear" w:color="auto" w:fill="FFFFFF"/>
        </w:rPr>
        <w:t>furthermore shows that an estimated 1</w:t>
      </w:r>
      <w:r w:rsidR="00EF53A7" w:rsidRPr="00346D1C">
        <w:rPr>
          <w:rFonts w:ascii="Georgia" w:hAnsi="Georgia" w:cs="Times New Roman"/>
          <w:sz w:val="24"/>
          <w:szCs w:val="24"/>
          <w:shd w:val="clear" w:color="auto" w:fill="FFFFFF"/>
        </w:rPr>
        <w:t>.6% of the population became poor</w:t>
      </w:r>
      <w:r w:rsidR="00C33F89" w:rsidRPr="00346D1C">
        <w:rPr>
          <w:rFonts w:ascii="Georgia" w:hAnsi="Georgia" w:cs="Times New Roman"/>
          <w:sz w:val="24"/>
          <w:szCs w:val="24"/>
          <w:shd w:val="clear" w:color="auto" w:fill="FFFFFF"/>
        </w:rPr>
        <w:t xml:space="preserve"> in 2005</w:t>
      </w:r>
      <w:r w:rsidR="00EF53A7" w:rsidRPr="00346D1C">
        <w:rPr>
          <w:rFonts w:ascii="Georgia" w:hAnsi="Georgia" w:cs="Times New Roman"/>
          <w:sz w:val="24"/>
          <w:szCs w:val="24"/>
          <w:shd w:val="clear" w:color="auto" w:fill="FFFFFF"/>
        </w:rPr>
        <w:t xml:space="preserve"> as a result of OOP expenditure in health</w:t>
      </w:r>
      <w:r w:rsidR="004570CF" w:rsidRPr="00346D1C">
        <w:rPr>
          <w:rFonts w:ascii="Georgia" w:hAnsi="Georgia" w:cs="Times New Roman"/>
          <w:sz w:val="24"/>
          <w:szCs w:val="24"/>
          <w:shd w:val="clear" w:color="auto" w:fill="FFFFFF"/>
        </w:rPr>
        <w:t xml:space="preserve"> and that the </w:t>
      </w:r>
      <w:r w:rsidR="00504BD3" w:rsidRPr="00346D1C">
        <w:rPr>
          <w:rFonts w:ascii="Georgia" w:hAnsi="Georgia" w:cs="Times New Roman"/>
          <w:sz w:val="24"/>
          <w:szCs w:val="24"/>
          <w:shd w:val="clear" w:color="auto" w:fill="FFFFFF"/>
        </w:rPr>
        <w:t xml:space="preserve">percentage was marginally lower (1.3%) </w:t>
      </w:r>
      <w:r w:rsidR="00B50EA7" w:rsidRPr="00346D1C">
        <w:rPr>
          <w:rFonts w:ascii="Georgia" w:hAnsi="Georgia" w:cs="Times New Roman"/>
          <w:sz w:val="24"/>
          <w:szCs w:val="24"/>
          <w:shd w:val="clear" w:color="auto" w:fill="FFFFFF"/>
        </w:rPr>
        <w:t xml:space="preserve">in </w:t>
      </w:r>
      <w:r w:rsidR="00C33F89" w:rsidRPr="00346D1C">
        <w:rPr>
          <w:rFonts w:ascii="Georgia" w:hAnsi="Georgia" w:cs="Times New Roman"/>
          <w:sz w:val="24"/>
          <w:szCs w:val="24"/>
          <w:shd w:val="clear" w:color="auto" w:fill="FFFFFF"/>
        </w:rPr>
        <w:t>2015</w:t>
      </w:r>
      <w:r w:rsidR="004570CF" w:rsidRPr="00346D1C">
        <w:rPr>
          <w:rFonts w:ascii="Georgia" w:hAnsi="Georgia" w:cs="Times New Roman"/>
          <w:sz w:val="24"/>
          <w:szCs w:val="24"/>
          <w:shd w:val="clear" w:color="auto" w:fill="FFFFFF"/>
        </w:rPr>
        <w:t xml:space="preserve">. </w:t>
      </w:r>
    </w:p>
    <w:p w14:paraId="76269DD5" w14:textId="233051E7" w:rsidR="008A4204" w:rsidRPr="00346D1C" w:rsidRDefault="00CC0EF7" w:rsidP="004C592F">
      <w:pPr>
        <w:autoSpaceDE w:val="0"/>
        <w:autoSpaceDN w:val="0"/>
        <w:adjustRightInd w:val="0"/>
        <w:spacing w:after="120" w:line="240" w:lineRule="auto"/>
        <w:jc w:val="both"/>
        <w:rPr>
          <w:rFonts w:ascii="Georgia" w:hAnsi="Georgia" w:cs="Times New Roman"/>
          <w:sz w:val="24"/>
          <w:szCs w:val="24"/>
        </w:rPr>
      </w:pPr>
      <w:r w:rsidRPr="00346D1C">
        <w:rPr>
          <w:rFonts w:ascii="Georgia" w:hAnsi="Georgia" w:cs="Times New Roman"/>
          <w:sz w:val="24"/>
          <w:szCs w:val="24"/>
        </w:rPr>
        <w:t xml:space="preserve">The Kenyan Government’s spending on </w:t>
      </w:r>
      <w:r w:rsidRPr="00346D1C">
        <w:rPr>
          <w:rFonts w:ascii="Georgia" w:hAnsi="Georgia" w:cs="Times New Roman"/>
          <w:b/>
          <w:bCs/>
          <w:sz w:val="24"/>
          <w:szCs w:val="24"/>
        </w:rPr>
        <w:t>social protection</w:t>
      </w:r>
      <w:r w:rsidRPr="00346D1C">
        <w:rPr>
          <w:rFonts w:ascii="Georgia" w:hAnsi="Georgia" w:cs="Times New Roman"/>
          <w:sz w:val="24"/>
          <w:szCs w:val="24"/>
        </w:rPr>
        <w:t xml:space="preserve"> amounted to </w:t>
      </w:r>
      <w:r w:rsidR="00D21998" w:rsidRPr="00346D1C">
        <w:rPr>
          <w:rFonts w:ascii="Georgia" w:hAnsi="Georgia" w:cs="Times New Roman"/>
          <w:sz w:val="24"/>
          <w:szCs w:val="24"/>
        </w:rPr>
        <w:t>0.3</w:t>
      </w:r>
      <w:r w:rsidR="001F7355" w:rsidRPr="00346D1C">
        <w:rPr>
          <w:rFonts w:ascii="Georgia" w:hAnsi="Georgia" w:cs="Times New Roman"/>
          <w:sz w:val="24"/>
          <w:szCs w:val="24"/>
        </w:rPr>
        <w:t>5</w:t>
      </w:r>
      <w:r w:rsidR="00155BFF" w:rsidRPr="00346D1C">
        <w:rPr>
          <w:rFonts w:ascii="Georgia" w:hAnsi="Georgia" w:cs="Times New Roman"/>
          <w:sz w:val="24"/>
          <w:szCs w:val="24"/>
        </w:rPr>
        <w:t xml:space="preserve">% of GDP </w:t>
      </w:r>
      <w:r w:rsidR="00524F2E" w:rsidRPr="00346D1C">
        <w:rPr>
          <w:rFonts w:ascii="Georgia" w:hAnsi="Georgia" w:cs="Times New Roman"/>
          <w:sz w:val="24"/>
          <w:szCs w:val="24"/>
        </w:rPr>
        <w:t>in 20</w:t>
      </w:r>
      <w:r w:rsidR="001F7355" w:rsidRPr="00346D1C">
        <w:rPr>
          <w:rFonts w:ascii="Georgia" w:hAnsi="Georgia" w:cs="Times New Roman"/>
          <w:sz w:val="24"/>
          <w:szCs w:val="24"/>
        </w:rPr>
        <w:t>16</w:t>
      </w:r>
      <w:r w:rsidR="00106138" w:rsidRPr="00346D1C">
        <w:rPr>
          <w:rFonts w:ascii="Georgia" w:hAnsi="Georgia" w:cs="Times New Roman"/>
          <w:sz w:val="24"/>
          <w:szCs w:val="24"/>
        </w:rPr>
        <w:t xml:space="preserve"> (</w:t>
      </w:r>
      <w:r w:rsidR="00544050" w:rsidRPr="00346D1C">
        <w:rPr>
          <w:rFonts w:ascii="Georgia" w:hAnsi="Georgia" w:cs="Times New Roman"/>
          <w:sz w:val="24"/>
          <w:szCs w:val="24"/>
        </w:rPr>
        <w:t>M</w:t>
      </w:r>
      <w:r w:rsidR="00077D20" w:rsidRPr="00346D1C">
        <w:rPr>
          <w:rFonts w:ascii="Georgia" w:hAnsi="Georgia" w:cs="Times New Roman"/>
          <w:sz w:val="24"/>
          <w:szCs w:val="24"/>
        </w:rPr>
        <w:t>o</w:t>
      </w:r>
      <w:r w:rsidR="00544050" w:rsidRPr="00346D1C">
        <w:rPr>
          <w:rFonts w:ascii="Georgia" w:hAnsi="Georgia" w:cs="Times New Roman"/>
          <w:sz w:val="24"/>
          <w:szCs w:val="24"/>
        </w:rPr>
        <w:t>L&amp;SP</w:t>
      </w:r>
      <w:r w:rsidR="00106138" w:rsidRPr="00346D1C">
        <w:rPr>
          <w:rFonts w:ascii="Georgia" w:hAnsi="Georgia" w:cs="Times New Roman"/>
          <w:sz w:val="24"/>
          <w:szCs w:val="24"/>
        </w:rPr>
        <w:t>, 2017)</w:t>
      </w:r>
      <w:r w:rsidR="00D55A56" w:rsidRPr="00346D1C">
        <w:rPr>
          <w:rFonts w:ascii="Georgia" w:hAnsi="Georgia" w:cs="Times New Roman"/>
          <w:sz w:val="24"/>
          <w:szCs w:val="24"/>
        </w:rPr>
        <w:t xml:space="preserve">. </w:t>
      </w:r>
      <w:r w:rsidR="009464D5" w:rsidRPr="00346D1C">
        <w:rPr>
          <w:rFonts w:ascii="Georgia" w:hAnsi="Georgia" w:cs="Times New Roman"/>
          <w:sz w:val="24"/>
          <w:szCs w:val="24"/>
        </w:rPr>
        <w:t>In 2018</w:t>
      </w:r>
      <w:r w:rsidR="00357587" w:rsidRPr="00346D1C">
        <w:rPr>
          <w:rFonts w:ascii="Georgia" w:hAnsi="Georgia" w:cs="Times New Roman"/>
          <w:sz w:val="24"/>
          <w:szCs w:val="24"/>
        </w:rPr>
        <w:t>/19</w:t>
      </w:r>
      <w:r w:rsidR="009464D5" w:rsidRPr="00346D1C">
        <w:rPr>
          <w:rFonts w:ascii="Georgia" w:hAnsi="Georgia" w:cs="Times New Roman"/>
          <w:sz w:val="24"/>
          <w:szCs w:val="24"/>
        </w:rPr>
        <w:t>, ‘the Government of Kenya financial commitment to social protection remained steady at 0.4 percent of GDP’ (</w:t>
      </w:r>
      <w:r w:rsidR="00544050" w:rsidRPr="00346D1C">
        <w:rPr>
          <w:rFonts w:ascii="Georgia" w:hAnsi="Georgia" w:cs="Times New Roman"/>
          <w:sz w:val="24"/>
          <w:szCs w:val="24"/>
        </w:rPr>
        <w:t>M</w:t>
      </w:r>
      <w:r w:rsidR="00077D20" w:rsidRPr="00346D1C">
        <w:rPr>
          <w:rFonts w:ascii="Georgia" w:hAnsi="Georgia" w:cs="Times New Roman"/>
          <w:sz w:val="24"/>
          <w:szCs w:val="24"/>
        </w:rPr>
        <w:t>o</w:t>
      </w:r>
      <w:r w:rsidR="00544050" w:rsidRPr="00346D1C">
        <w:rPr>
          <w:rFonts w:ascii="Georgia" w:hAnsi="Georgia" w:cs="Times New Roman"/>
          <w:sz w:val="24"/>
          <w:szCs w:val="24"/>
        </w:rPr>
        <w:t>L&amp;SP</w:t>
      </w:r>
      <w:r w:rsidR="009464D5" w:rsidRPr="00346D1C">
        <w:rPr>
          <w:rFonts w:ascii="Georgia" w:hAnsi="Georgia" w:cs="Times New Roman"/>
          <w:sz w:val="24"/>
          <w:szCs w:val="24"/>
        </w:rPr>
        <w:t>, 2020</w:t>
      </w:r>
      <w:r w:rsidR="00BD728F" w:rsidRPr="00346D1C">
        <w:rPr>
          <w:rFonts w:ascii="Georgia" w:hAnsi="Georgia" w:cs="Times New Roman"/>
          <w:sz w:val="24"/>
          <w:szCs w:val="24"/>
        </w:rPr>
        <w:t>: 5</w:t>
      </w:r>
      <w:r w:rsidR="009464D5" w:rsidRPr="00346D1C">
        <w:rPr>
          <w:rFonts w:ascii="Georgia" w:hAnsi="Georgia" w:cs="Times New Roman"/>
          <w:sz w:val="24"/>
          <w:szCs w:val="24"/>
        </w:rPr>
        <w:t>).</w:t>
      </w:r>
      <w:r w:rsidR="008B2983" w:rsidRPr="00346D1C">
        <w:rPr>
          <w:rFonts w:ascii="Georgia" w:hAnsi="Georgia" w:cs="Times New Roman"/>
          <w:sz w:val="24"/>
          <w:szCs w:val="24"/>
        </w:rPr>
        <w:t xml:space="preserve"> </w:t>
      </w:r>
      <w:r w:rsidR="00B22E49" w:rsidRPr="00346D1C">
        <w:rPr>
          <w:rFonts w:ascii="Georgia" w:hAnsi="Georgia" w:cs="Times New Roman"/>
          <w:sz w:val="24"/>
          <w:szCs w:val="24"/>
        </w:rPr>
        <w:t xml:space="preserve">In comparison, </w:t>
      </w:r>
      <w:r w:rsidR="00780D56" w:rsidRPr="00346D1C">
        <w:rPr>
          <w:rFonts w:ascii="Georgia" w:hAnsi="Georgia" w:cs="Times New Roman"/>
          <w:sz w:val="24"/>
          <w:szCs w:val="24"/>
        </w:rPr>
        <w:t>around 0.33% of GDP was spent on social protection in 2021/22.</w:t>
      </w:r>
      <w:r w:rsidR="00780D56" w:rsidRPr="00346D1C">
        <w:rPr>
          <w:rStyle w:val="FootnoteReference"/>
          <w:rFonts w:ascii="Georgia" w:hAnsi="Georgia" w:cs="Times New Roman"/>
          <w:sz w:val="24"/>
          <w:szCs w:val="24"/>
        </w:rPr>
        <w:footnoteReference w:id="29"/>
      </w:r>
      <w:r w:rsidR="007521B0" w:rsidRPr="00346D1C">
        <w:rPr>
          <w:rFonts w:ascii="Georgia" w:hAnsi="Georgia" w:cs="Times New Roman"/>
          <w:sz w:val="24"/>
          <w:szCs w:val="24"/>
        </w:rPr>
        <w:t xml:space="preserve"> </w:t>
      </w:r>
      <w:r w:rsidR="004972EE" w:rsidRPr="00346D1C">
        <w:rPr>
          <w:rFonts w:ascii="Georgia" w:hAnsi="Georgia" w:cs="Times New Roman"/>
          <w:sz w:val="24"/>
          <w:szCs w:val="24"/>
        </w:rPr>
        <w:t xml:space="preserve">Social protection </w:t>
      </w:r>
      <w:r w:rsidR="002D20A7" w:rsidRPr="00346D1C">
        <w:rPr>
          <w:rFonts w:ascii="Georgia" w:hAnsi="Georgia" w:cs="Times New Roman"/>
          <w:sz w:val="24"/>
          <w:szCs w:val="24"/>
        </w:rPr>
        <w:t xml:space="preserve">encompasses </w:t>
      </w:r>
      <w:r w:rsidR="004972EE" w:rsidRPr="00346D1C">
        <w:rPr>
          <w:rFonts w:ascii="Georgia" w:hAnsi="Georgia" w:cs="Times New Roman"/>
          <w:sz w:val="24"/>
          <w:szCs w:val="24"/>
        </w:rPr>
        <w:t>social assistance, social security and social health insurance.</w:t>
      </w:r>
      <w:r w:rsidR="00DF19C9" w:rsidRPr="00346D1C">
        <w:rPr>
          <w:rFonts w:ascii="Georgia" w:hAnsi="Georgia" w:cs="Times New Roman"/>
          <w:sz w:val="24"/>
          <w:szCs w:val="24"/>
        </w:rPr>
        <w:t xml:space="preserve"> </w:t>
      </w:r>
      <w:r w:rsidR="00AA1BAF" w:rsidRPr="00346D1C">
        <w:rPr>
          <w:rFonts w:ascii="Georgia" w:hAnsi="Georgia" w:cs="Times New Roman"/>
          <w:sz w:val="24"/>
          <w:szCs w:val="24"/>
        </w:rPr>
        <w:t xml:space="preserve">Regarding </w:t>
      </w:r>
      <w:r w:rsidR="00AA1BAF" w:rsidRPr="00346D1C">
        <w:rPr>
          <w:rFonts w:ascii="Georgia" w:hAnsi="Georgia" w:cs="Times New Roman"/>
          <w:i/>
          <w:iCs/>
          <w:sz w:val="24"/>
          <w:szCs w:val="24"/>
        </w:rPr>
        <w:t>social assistance</w:t>
      </w:r>
      <w:r w:rsidR="00AA1BAF" w:rsidRPr="00346D1C">
        <w:rPr>
          <w:rFonts w:ascii="Georgia" w:hAnsi="Georgia" w:cs="Times New Roman"/>
          <w:sz w:val="24"/>
          <w:szCs w:val="24"/>
        </w:rPr>
        <w:t xml:space="preserve">, </w:t>
      </w:r>
      <w:r w:rsidR="002D20A7" w:rsidRPr="00346D1C">
        <w:rPr>
          <w:rFonts w:ascii="Georgia" w:hAnsi="Georgia" w:cs="Times New Roman"/>
          <w:sz w:val="24"/>
          <w:szCs w:val="24"/>
        </w:rPr>
        <w:t xml:space="preserve">there are five main </w:t>
      </w:r>
      <w:r w:rsidR="002D20A7" w:rsidRPr="00346D1C">
        <w:rPr>
          <w:rFonts w:ascii="Georgia" w:hAnsi="Georgia" w:cs="Times New Roman"/>
          <w:b/>
          <w:bCs/>
          <w:sz w:val="24"/>
          <w:szCs w:val="24"/>
        </w:rPr>
        <w:t>cash transfer programmes</w:t>
      </w:r>
      <w:r w:rsidR="002D20A7" w:rsidRPr="00346D1C">
        <w:rPr>
          <w:rFonts w:ascii="Georgia" w:hAnsi="Georgia" w:cs="Times New Roman"/>
          <w:sz w:val="24"/>
          <w:szCs w:val="24"/>
        </w:rPr>
        <w:t>: (</w:t>
      </w:r>
      <w:r w:rsidR="002D20A7" w:rsidRPr="00346D1C">
        <w:rPr>
          <w:rFonts w:ascii="Georgia" w:hAnsi="Georgia" w:cs="Times New Roman"/>
          <w:i/>
          <w:iCs/>
          <w:sz w:val="24"/>
          <w:szCs w:val="24"/>
        </w:rPr>
        <w:t>i</w:t>
      </w:r>
      <w:r w:rsidR="002D20A7" w:rsidRPr="00346D1C">
        <w:rPr>
          <w:rFonts w:ascii="Georgia" w:hAnsi="Georgia" w:cs="Times New Roman"/>
          <w:sz w:val="24"/>
          <w:szCs w:val="24"/>
        </w:rPr>
        <w:t>) the Older Persons Cash Transfer (OPCT); (</w:t>
      </w:r>
      <w:r w:rsidR="002D20A7" w:rsidRPr="00346D1C">
        <w:rPr>
          <w:rFonts w:ascii="Georgia" w:hAnsi="Georgia" w:cs="Times New Roman"/>
          <w:i/>
          <w:iCs/>
          <w:sz w:val="24"/>
          <w:szCs w:val="24"/>
        </w:rPr>
        <w:t>ii</w:t>
      </w:r>
      <w:r w:rsidR="002D20A7" w:rsidRPr="00346D1C">
        <w:rPr>
          <w:rFonts w:ascii="Georgia" w:hAnsi="Georgia" w:cs="Times New Roman"/>
          <w:sz w:val="24"/>
          <w:szCs w:val="24"/>
        </w:rPr>
        <w:t>) the Cash Transfers to Orphans and Vulnerable Children (CT-OVC); (</w:t>
      </w:r>
      <w:r w:rsidR="002D20A7" w:rsidRPr="00346D1C">
        <w:rPr>
          <w:rFonts w:ascii="Georgia" w:hAnsi="Georgia" w:cs="Times New Roman"/>
          <w:i/>
          <w:iCs/>
          <w:sz w:val="24"/>
          <w:szCs w:val="24"/>
        </w:rPr>
        <w:t>iii</w:t>
      </w:r>
      <w:r w:rsidR="002D20A7" w:rsidRPr="00346D1C">
        <w:rPr>
          <w:rFonts w:ascii="Georgia" w:hAnsi="Georgia" w:cs="Times New Roman"/>
          <w:sz w:val="24"/>
          <w:szCs w:val="24"/>
        </w:rPr>
        <w:t>) the Hunger Safety Net Programme (HSNP); (</w:t>
      </w:r>
      <w:r w:rsidR="002D20A7" w:rsidRPr="00346D1C">
        <w:rPr>
          <w:rFonts w:ascii="Georgia" w:hAnsi="Georgia" w:cs="Times New Roman"/>
          <w:i/>
          <w:iCs/>
          <w:sz w:val="24"/>
          <w:szCs w:val="24"/>
        </w:rPr>
        <w:t>iv</w:t>
      </w:r>
      <w:r w:rsidR="002D20A7" w:rsidRPr="00346D1C">
        <w:rPr>
          <w:rFonts w:ascii="Georgia" w:hAnsi="Georgia" w:cs="Times New Roman"/>
          <w:sz w:val="24"/>
          <w:szCs w:val="24"/>
        </w:rPr>
        <w:t>) the Urban Food Subsidy Cash Transfer (UFS-CT); and (</w:t>
      </w:r>
      <w:r w:rsidR="002D20A7" w:rsidRPr="00346D1C">
        <w:rPr>
          <w:rFonts w:ascii="Georgia" w:hAnsi="Georgia" w:cs="Times New Roman"/>
          <w:i/>
          <w:iCs/>
          <w:sz w:val="24"/>
          <w:szCs w:val="24"/>
        </w:rPr>
        <w:t>v</w:t>
      </w:r>
      <w:r w:rsidR="002D20A7" w:rsidRPr="00346D1C">
        <w:rPr>
          <w:rFonts w:ascii="Georgia" w:hAnsi="Georgia" w:cs="Times New Roman"/>
          <w:sz w:val="24"/>
          <w:szCs w:val="24"/>
        </w:rPr>
        <w:t>) the Persons with Severe Disability Cash Transfers (PWSD-CT), see KNBS (202</w:t>
      </w:r>
      <w:r w:rsidR="00E02965" w:rsidRPr="00346D1C">
        <w:rPr>
          <w:rFonts w:ascii="Georgia" w:hAnsi="Georgia" w:cs="Times New Roman"/>
          <w:sz w:val="24"/>
          <w:szCs w:val="24"/>
        </w:rPr>
        <w:t>0b</w:t>
      </w:r>
      <w:r w:rsidR="002D20A7" w:rsidRPr="00346D1C">
        <w:rPr>
          <w:rFonts w:ascii="Georgia" w:hAnsi="Georgia" w:cs="Times New Roman"/>
          <w:sz w:val="24"/>
          <w:szCs w:val="24"/>
        </w:rPr>
        <w:t>: 26).</w:t>
      </w:r>
      <w:r w:rsidR="00EC1FD6" w:rsidRPr="00346D1C">
        <w:rPr>
          <w:rFonts w:ascii="Georgia" w:hAnsi="Georgia" w:cs="Times New Roman"/>
          <w:sz w:val="24"/>
          <w:szCs w:val="24"/>
        </w:rPr>
        <w:t xml:space="preserve"> Coverage of PWSD-CT is still low (Onsomu</w:t>
      </w:r>
      <w:r w:rsidR="007749F4" w:rsidRPr="00346D1C">
        <w:rPr>
          <w:rFonts w:ascii="Georgia" w:hAnsi="Georgia" w:cs="Times New Roman"/>
          <w:sz w:val="24"/>
          <w:szCs w:val="24"/>
        </w:rPr>
        <w:t xml:space="preserve"> et al. 2022: 115).</w:t>
      </w:r>
      <w:r w:rsidR="00712877" w:rsidRPr="00346D1C">
        <w:rPr>
          <w:rFonts w:ascii="Georgia" w:hAnsi="Georgia" w:cs="Times New Roman"/>
          <w:sz w:val="24"/>
          <w:szCs w:val="24"/>
        </w:rPr>
        <w:t xml:space="preserve"> </w:t>
      </w:r>
      <w:r w:rsidR="00C91743" w:rsidRPr="00346D1C">
        <w:rPr>
          <w:rFonts w:ascii="Georgia" w:hAnsi="Georgia" w:cs="Times New Roman"/>
          <w:i/>
          <w:iCs/>
          <w:sz w:val="24"/>
          <w:szCs w:val="24"/>
        </w:rPr>
        <w:t>S</w:t>
      </w:r>
      <w:r w:rsidR="008F687A" w:rsidRPr="00346D1C">
        <w:rPr>
          <w:rFonts w:ascii="Georgia" w:hAnsi="Georgia" w:cs="Times New Roman"/>
          <w:i/>
          <w:iCs/>
          <w:sz w:val="24"/>
          <w:szCs w:val="24"/>
        </w:rPr>
        <w:t>ocial security</w:t>
      </w:r>
      <w:r w:rsidR="008F687A" w:rsidRPr="00346D1C">
        <w:rPr>
          <w:rFonts w:ascii="Georgia" w:hAnsi="Georgia" w:cs="Times New Roman"/>
          <w:sz w:val="24"/>
          <w:szCs w:val="24"/>
        </w:rPr>
        <w:t xml:space="preserve"> </w:t>
      </w:r>
      <w:r w:rsidR="00D61E8A" w:rsidRPr="00346D1C">
        <w:rPr>
          <w:rFonts w:ascii="Georgia" w:hAnsi="Georgia" w:cs="Times New Roman"/>
          <w:sz w:val="24"/>
          <w:szCs w:val="24"/>
        </w:rPr>
        <w:t>consist</w:t>
      </w:r>
      <w:r w:rsidR="00B077AD" w:rsidRPr="00346D1C">
        <w:rPr>
          <w:rFonts w:ascii="Georgia" w:hAnsi="Georgia" w:cs="Times New Roman"/>
          <w:sz w:val="24"/>
          <w:szCs w:val="24"/>
        </w:rPr>
        <w:t>s</w:t>
      </w:r>
      <w:r w:rsidR="00D61E8A" w:rsidRPr="00346D1C">
        <w:rPr>
          <w:rFonts w:ascii="Georgia" w:hAnsi="Georgia" w:cs="Times New Roman"/>
          <w:sz w:val="24"/>
          <w:szCs w:val="24"/>
        </w:rPr>
        <w:t xml:space="preserve"> of </w:t>
      </w:r>
      <w:r w:rsidR="00C91743" w:rsidRPr="00346D1C">
        <w:rPr>
          <w:rFonts w:ascii="Georgia" w:hAnsi="Georgia" w:cs="Times New Roman"/>
          <w:sz w:val="24"/>
          <w:szCs w:val="24"/>
        </w:rPr>
        <w:t>the contributory National Social Security Fund (NSSF)</w:t>
      </w:r>
      <w:r w:rsidR="00D61E8A" w:rsidRPr="00346D1C">
        <w:rPr>
          <w:rFonts w:ascii="Georgia" w:hAnsi="Georgia" w:cs="Times New Roman"/>
          <w:sz w:val="24"/>
          <w:szCs w:val="24"/>
        </w:rPr>
        <w:t xml:space="preserve"> and</w:t>
      </w:r>
      <w:r w:rsidR="00C91743" w:rsidRPr="00346D1C">
        <w:rPr>
          <w:rFonts w:ascii="Georgia" w:hAnsi="Georgia" w:cs="Times New Roman"/>
          <w:sz w:val="24"/>
          <w:szCs w:val="24"/>
        </w:rPr>
        <w:t xml:space="preserve"> the fully tax-financed Civil Service Pension Scheme (CSPS)</w:t>
      </w:r>
      <w:r w:rsidR="00D61E8A" w:rsidRPr="00346D1C">
        <w:rPr>
          <w:rFonts w:ascii="Georgia" w:hAnsi="Georgia" w:cs="Times New Roman"/>
          <w:sz w:val="24"/>
          <w:szCs w:val="24"/>
        </w:rPr>
        <w:t xml:space="preserve"> as well as </w:t>
      </w:r>
      <w:r w:rsidR="00C91743" w:rsidRPr="00346D1C">
        <w:rPr>
          <w:rFonts w:ascii="Georgia" w:hAnsi="Georgia" w:cs="Times New Roman"/>
          <w:sz w:val="24"/>
          <w:szCs w:val="24"/>
        </w:rPr>
        <w:t xml:space="preserve">complementary contributory </w:t>
      </w:r>
      <w:r w:rsidR="00211251" w:rsidRPr="00346D1C">
        <w:rPr>
          <w:rFonts w:ascii="Georgia" w:hAnsi="Georgia" w:cs="Times New Roman"/>
          <w:sz w:val="24"/>
          <w:szCs w:val="24"/>
        </w:rPr>
        <w:t xml:space="preserve">(employer-based) </w:t>
      </w:r>
      <w:r w:rsidR="00C91743" w:rsidRPr="00346D1C">
        <w:rPr>
          <w:rFonts w:ascii="Georgia" w:hAnsi="Georgia" w:cs="Times New Roman"/>
          <w:sz w:val="24"/>
          <w:szCs w:val="24"/>
        </w:rPr>
        <w:t xml:space="preserve">occupational schemes and </w:t>
      </w:r>
      <w:r w:rsidR="00211251" w:rsidRPr="00346D1C">
        <w:rPr>
          <w:rFonts w:ascii="Georgia" w:hAnsi="Georgia" w:cs="Times New Roman"/>
          <w:sz w:val="24"/>
          <w:szCs w:val="24"/>
        </w:rPr>
        <w:t>(voluntary)</w:t>
      </w:r>
      <w:r w:rsidR="00533E37" w:rsidRPr="00346D1C">
        <w:rPr>
          <w:rFonts w:ascii="Georgia" w:hAnsi="Georgia" w:cs="Times New Roman"/>
          <w:sz w:val="24"/>
          <w:szCs w:val="24"/>
        </w:rPr>
        <w:t xml:space="preserve"> </w:t>
      </w:r>
      <w:r w:rsidR="00C91743" w:rsidRPr="00346D1C">
        <w:rPr>
          <w:rFonts w:ascii="Georgia" w:hAnsi="Georgia" w:cs="Times New Roman"/>
          <w:sz w:val="24"/>
          <w:szCs w:val="24"/>
        </w:rPr>
        <w:t>individual schemes.</w:t>
      </w:r>
      <w:r w:rsidR="00C17B12" w:rsidRPr="00346D1C">
        <w:rPr>
          <w:rFonts w:ascii="Georgia" w:hAnsi="Georgia" w:cs="Times New Roman"/>
          <w:sz w:val="24"/>
          <w:szCs w:val="24"/>
        </w:rPr>
        <w:t xml:space="preserve"> </w:t>
      </w:r>
      <w:r w:rsidR="00533E37" w:rsidRPr="00346D1C">
        <w:rPr>
          <w:rFonts w:ascii="Georgia" w:hAnsi="Georgia" w:cs="Times New Roman"/>
          <w:i/>
          <w:iCs/>
          <w:sz w:val="24"/>
          <w:szCs w:val="24"/>
        </w:rPr>
        <w:t>S</w:t>
      </w:r>
      <w:r w:rsidR="008F687A" w:rsidRPr="00346D1C">
        <w:rPr>
          <w:rFonts w:ascii="Georgia" w:hAnsi="Georgia" w:cs="Times New Roman"/>
          <w:i/>
          <w:iCs/>
          <w:sz w:val="24"/>
          <w:szCs w:val="24"/>
        </w:rPr>
        <w:t>ocial health insurance</w:t>
      </w:r>
      <w:r w:rsidR="00533E37" w:rsidRPr="00346D1C">
        <w:rPr>
          <w:rFonts w:ascii="Georgia" w:hAnsi="Georgia" w:cs="Times New Roman"/>
          <w:sz w:val="24"/>
          <w:szCs w:val="24"/>
        </w:rPr>
        <w:t xml:space="preserve"> </w:t>
      </w:r>
      <w:r w:rsidR="008A4204" w:rsidRPr="00346D1C">
        <w:rPr>
          <w:rFonts w:ascii="Georgia" w:hAnsi="Georgia" w:cs="Times New Roman"/>
          <w:sz w:val="24"/>
          <w:szCs w:val="24"/>
        </w:rPr>
        <w:t>include</w:t>
      </w:r>
      <w:r w:rsidR="00533E37" w:rsidRPr="00346D1C">
        <w:rPr>
          <w:rFonts w:ascii="Georgia" w:hAnsi="Georgia" w:cs="Times New Roman"/>
          <w:sz w:val="24"/>
          <w:szCs w:val="24"/>
        </w:rPr>
        <w:t>s</w:t>
      </w:r>
      <w:r w:rsidR="008A4204" w:rsidRPr="00346D1C">
        <w:rPr>
          <w:rFonts w:ascii="Georgia" w:hAnsi="Georgia" w:cs="Times New Roman"/>
          <w:sz w:val="24"/>
          <w:szCs w:val="24"/>
        </w:rPr>
        <w:t xml:space="preserve"> the government</w:t>
      </w:r>
      <w:r w:rsidR="00FE09EE" w:rsidRPr="00346D1C">
        <w:rPr>
          <w:rFonts w:ascii="Georgia" w:hAnsi="Georgia" w:cs="Times New Roman"/>
          <w:sz w:val="24"/>
          <w:szCs w:val="24"/>
        </w:rPr>
        <w:t>-</w:t>
      </w:r>
      <w:r w:rsidR="008A4204" w:rsidRPr="00346D1C">
        <w:rPr>
          <w:rFonts w:ascii="Georgia" w:hAnsi="Georgia" w:cs="Times New Roman"/>
          <w:sz w:val="24"/>
          <w:szCs w:val="24"/>
        </w:rPr>
        <w:t>managed</w:t>
      </w:r>
      <w:r w:rsidR="00FE09EE" w:rsidRPr="00346D1C">
        <w:rPr>
          <w:rFonts w:ascii="Georgia" w:hAnsi="Georgia" w:cs="Times New Roman"/>
          <w:sz w:val="24"/>
          <w:szCs w:val="24"/>
        </w:rPr>
        <w:t xml:space="preserve"> National </w:t>
      </w:r>
      <w:r w:rsidR="00C17B12" w:rsidRPr="00346D1C">
        <w:rPr>
          <w:rFonts w:ascii="Georgia" w:hAnsi="Georgia" w:cs="Times New Roman"/>
          <w:sz w:val="24"/>
          <w:szCs w:val="24"/>
        </w:rPr>
        <w:t>H</w:t>
      </w:r>
      <w:r w:rsidR="0016700A" w:rsidRPr="00346D1C">
        <w:rPr>
          <w:rFonts w:ascii="Georgia" w:hAnsi="Georgia" w:cs="Times New Roman"/>
          <w:sz w:val="24"/>
          <w:szCs w:val="24"/>
        </w:rPr>
        <w:t>ospital</w:t>
      </w:r>
      <w:r w:rsidR="00C17B12" w:rsidRPr="00346D1C">
        <w:rPr>
          <w:rFonts w:ascii="Georgia" w:hAnsi="Georgia" w:cs="Times New Roman"/>
          <w:sz w:val="24"/>
          <w:szCs w:val="24"/>
        </w:rPr>
        <w:t xml:space="preserve"> Insurance</w:t>
      </w:r>
      <w:r w:rsidR="00FE09EE" w:rsidRPr="00346D1C">
        <w:rPr>
          <w:rFonts w:ascii="Georgia" w:hAnsi="Georgia" w:cs="Times New Roman"/>
          <w:sz w:val="24"/>
          <w:szCs w:val="24"/>
        </w:rPr>
        <w:t xml:space="preserve"> Fund</w:t>
      </w:r>
      <w:r w:rsidR="008A4204" w:rsidRPr="00346D1C">
        <w:rPr>
          <w:rFonts w:ascii="Georgia" w:hAnsi="Georgia" w:cs="Times New Roman"/>
          <w:sz w:val="24"/>
          <w:szCs w:val="24"/>
        </w:rPr>
        <w:t xml:space="preserve"> </w:t>
      </w:r>
      <w:r w:rsidR="00FE09EE" w:rsidRPr="00346D1C">
        <w:rPr>
          <w:rFonts w:ascii="Georgia" w:hAnsi="Georgia" w:cs="Times New Roman"/>
          <w:sz w:val="24"/>
          <w:szCs w:val="24"/>
        </w:rPr>
        <w:t>(</w:t>
      </w:r>
      <w:r w:rsidR="008A4204" w:rsidRPr="00346D1C">
        <w:rPr>
          <w:rFonts w:ascii="Georgia" w:hAnsi="Georgia" w:cs="Times New Roman"/>
          <w:sz w:val="24"/>
          <w:szCs w:val="24"/>
        </w:rPr>
        <w:t>N</w:t>
      </w:r>
      <w:r w:rsidR="00FE09EE" w:rsidRPr="00346D1C">
        <w:rPr>
          <w:rFonts w:ascii="Georgia" w:hAnsi="Georgia" w:cs="Times New Roman"/>
          <w:sz w:val="24"/>
          <w:szCs w:val="24"/>
        </w:rPr>
        <w:t>H</w:t>
      </w:r>
      <w:r w:rsidR="008A4204" w:rsidRPr="00346D1C">
        <w:rPr>
          <w:rFonts w:ascii="Georgia" w:hAnsi="Georgia" w:cs="Times New Roman"/>
          <w:sz w:val="24"/>
          <w:szCs w:val="24"/>
        </w:rPr>
        <w:t>IF</w:t>
      </w:r>
      <w:r w:rsidR="00FE09EE" w:rsidRPr="00346D1C">
        <w:rPr>
          <w:rFonts w:ascii="Georgia" w:hAnsi="Georgia" w:cs="Times New Roman"/>
          <w:sz w:val="24"/>
          <w:szCs w:val="24"/>
        </w:rPr>
        <w:t>)</w:t>
      </w:r>
      <w:r w:rsidR="008A4204" w:rsidRPr="00346D1C">
        <w:rPr>
          <w:rFonts w:ascii="Georgia" w:hAnsi="Georgia" w:cs="Times New Roman"/>
          <w:sz w:val="24"/>
          <w:szCs w:val="24"/>
        </w:rPr>
        <w:t xml:space="preserve"> and government</w:t>
      </w:r>
      <w:r w:rsidR="00FE09EE" w:rsidRPr="00346D1C">
        <w:rPr>
          <w:rFonts w:ascii="Georgia" w:hAnsi="Georgia" w:cs="Times New Roman"/>
          <w:sz w:val="24"/>
          <w:szCs w:val="24"/>
        </w:rPr>
        <w:t>-</w:t>
      </w:r>
      <w:r w:rsidR="008A4204" w:rsidRPr="00346D1C">
        <w:rPr>
          <w:rFonts w:ascii="Georgia" w:hAnsi="Georgia" w:cs="Times New Roman"/>
          <w:sz w:val="24"/>
          <w:szCs w:val="24"/>
        </w:rPr>
        <w:t>regulated</w:t>
      </w:r>
      <w:r w:rsidR="00AF613A" w:rsidRPr="00346D1C">
        <w:rPr>
          <w:rFonts w:ascii="Georgia" w:hAnsi="Georgia" w:cs="Times New Roman"/>
          <w:sz w:val="24"/>
          <w:szCs w:val="24"/>
        </w:rPr>
        <w:t xml:space="preserve"> </w:t>
      </w:r>
      <w:r w:rsidR="008A4204" w:rsidRPr="00346D1C">
        <w:rPr>
          <w:rFonts w:ascii="Georgia" w:hAnsi="Georgia" w:cs="Times New Roman"/>
          <w:sz w:val="24"/>
          <w:szCs w:val="24"/>
        </w:rPr>
        <w:t>private health insur</w:t>
      </w:r>
      <w:r w:rsidR="00FE09EE" w:rsidRPr="00346D1C">
        <w:rPr>
          <w:rFonts w:ascii="Georgia" w:hAnsi="Georgia" w:cs="Times New Roman"/>
          <w:sz w:val="24"/>
          <w:szCs w:val="24"/>
        </w:rPr>
        <w:t>ance</w:t>
      </w:r>
      <w:r w:rsidR="00AF613A" w:rsidRPr="00346D1C">
        <w:rPr>
          <w:rFonts w:ascii="Georgia" w:hAnsi="Georgia" w:cs="Times New Roman"/>
          <w:sz w:val="24"/>
          <w:szCs w:val="24"/>
        </w:rPr>
        <w:t xml:space="preserve"> (</w:t>
      </w:r>
      <w:r w:rsidR="00544050" w:rsidRPr="00346D1C">
        <w:rPr>
          <w:rFonts w:ascii="Georgia" w:hAnsi="Georgia" w:cs="Times New Roman"/>
          <w:sz w:val="24"/>
          <w:szCs w:val="24"/>
        </w:rPr>
        <w:t>M</w:t>
      </w:r>
      <w:r w:rsidR="00077D20" w:rsidRPr="00346D1C">
        <w:rPr>
          <w:rFonts w:ascii="Georgia" w:hAnsi="Georgia" w:cs="Times New Roman"/>
          <w:sz w:val="24"/>
          <w:szCs w:val="24"/>
        </w:rPr>
        <w:t>o</w:t>
      </w:r>
      <w:r w:rsidR="00544050" w:rsidRPr="00346D1C">
        <w:rPr>
          <w:rFonts w:ascii="Georgia" w:hAnsi="Georgia" w:cs="Times New Roman"/>
          <w:sz w:val="24"/>
          <w:szCs w:val="24"/>
        </w:rPr>
        <w:t>L&amp;SP</w:t>
      </w:r>
      <w:r w:rsidR="00AF613A" w:rsidRPr="00346D1C">
        <w:rPr>
          <w:rFonts w:ascii="Georgia" w:hAnsi="Georgia" w:cs="Times New Roman"/>
          <w:sz w:val="24"/>
          <w:szCs w:val="24"/>
        </w:rPr>
        <w:t>, 2020: 15).</w:t>
      </w:r>
      <w:r w:rsidR="00284BCE" w:rsidRPr="00346D1C">
        <w:rPr>
          <w:rFonts w:ascii="Georgia" w:hAnsi="Georgia" w:cs="Times New Roman"/>
          <w:sz w:val="24"/>
          <w:szCs w:val="24"/>
        </w:rPr>
        <w:t xml:space="preserve"> OH</w:t>
      </w:r>
      <w:r w:rsidR="00D801CB" w:rsidRPr="00346D1C">
        <w:rPr>
          <w:rFonts w:ascii="Georgia" w:hAnsi="Georgia" w:cs="Times New Roman"/>
          <w:sz w:val="24"/>
          <w:szCs w:val="24"/>
        </w:rPr>
        <w:t xml:space="preserve">CRC (2021: </w:t>
      </w:r>
      <w:r w:rsidR="004C592F" w:rsidRPr="00346D1C">
        <w:rPr>
          <w:rFonts w:ascii="Georgia" w:hAnsi="Georgia" w:cs="Times New Roman"/>
          <w:sz w:val="24"/>
          <w:szCs w:val="24"/>
        </w:rPr>
        <w:t>7) reports that the ‘contribution pattern adopted by NHIF is rather regressive—lower-income earners pay a relatively high share compared to high income earners</w:t>
      </w:r>
      <w:r w:rsidR="004A323E" w:rsidRPr="00346D1C">
        <w:rPr>
          <w:rFonts w:ascii="Georgia" w:hAnsi="Georgia" w:cs="Times New Roman"/>
          <w:sz w:val="24"/>
          <w:szCs w:val="24"/>
        </w:rPr>
        <w:t>’</w:t>
      </w:r>
      <w:r w:rsidR="004A1D72" w:rsidRPr="00346D1C">
        <w:rPr>
          <w:rFonts w:ascii="Georgia" w:hAnsi="Georgia" w:cs="Times New Roman"/>
          <w:sz w:val="24"/>
          <w:szCs w:val="24"/>
        </w:rPr>
        <w:t>.</w:t>
      </w:r>
      <w:r w:rsidR="00E51E6D" w:rsidRPr="00346D1C">
        <w:rPr>
          <w:rFonts w:ascii="Georgia" w:hAnsi="Georgia" w:cs="Times New Roman"/>
          <w:sz w:val="24"/>
          <w:szCs w:val="24"/>
        </w:rPr>
        <w:t xml:space="preserve"> </w:t>
      </w:r>
      <w:r w:rsidR="00116FAF" w:rsidRPr="00346D1C">
        <w:rPr>
          <w:rFonts w:ascii="Georgia" w:hAnsi="Georgia" w:cs="Times New Roman"/>
          <w:sz w:val="24"/>
          <w:szCs w:val="24"/>
        </w:rPr>
        <w:t>The current Kenya Kwanz</w:t>
      </w:r>
      <w:r w:rsidR="00D91B8E" w:rsidRPr="00346D1C">
        <w:rPr>
          <w:rFonts w:ascii="Georgia" w:hAnsi="Georgia" w:cs="Times New Roman"/>
          <w:sz w:val="24"/>
          <w:szCs w:val="24"/>
        </w:rPr>
        <w:t>a</w:t>
      </w:r>
      <w:r w:rsidR="00116FAF" w:rsidRPr="00346D1C">
        <w:rPr>
          <w:rFonts w:ascii="Georgia" w:hAnsi="Georgia" w:cs="Times New Roman"/>
          <w:sz w:val="24"/>
          <w:szCs w:val="24"/>
        </w:rPr>
        <w:t xml:space="preserve"> Government has </w:t>
      </w:r>
      <w:r w:rsidR="000E73C4" w:rsidRPr="00346D1C">
        <w:rPr>
          <w:rFonts w:ascii="Georgia" w:hAnsi="Georgia" w:cs="Times New Roman"/>
          <w:sz w:val="24"/>
          <w:szCs w:val="24"/>
        </w:rPr>
        <w:t>corrected this by reducing the contributions for low-income earners.</w:t>
      </w:r>
      <w:r w:rsidR="000E73C4" w:rsidRPr="00346D1C">
        <w:rPr>
          <w:rStyle w:val="FootnoteReference"/>
          <w:rFonts w:ascii="Georgia" w:hAnsi="Georgia" w:cs="Times New Roman"/>
          <w:sz w:val="24"/>
          <w:szCs w:val="24"/>
        </w:rPr>
        <w:footnoteReference w:id="30"/>
      </w:r>
      <w:r w:rsidR="004A1D72" w:rsidRPr="00346D1C">
        <w:rPr>
          <w:rFonts w:ascii="Georgia" w:hAnsi="Georgia" w:cs="Times New Roman"/>
          <w:sz w:val="24"/>
          <w:szCs w:val="24"/>
        </w:rPr>
        <w:t xml:space="preserve"> </w:t>
      </w:r>
      <w:r w:rsidR="009B4B62" w:rsidRPr="00346D1C">
        <w:rPr>
          <w:rFonts w:ascii="Georgia" w:hAnsi="Georgia" w:cs="Times New Roman"/>
          <w:sz w:val="24"/>
          <w:szCs w:val="24"/>
        </w:rPr>
        <w:t xml:space="preserve">The </w:t>
      </w:r>
      <w:r w:rsidR="004570CF" w:rsidRPr="00346D1C">
        <w:rPr>
          <w:rFonts w:ascii="Georgia" w:hAnsi="Georgia" w:cs="Times New Roman"/>
          <w:sz w:val="24"/>
          <w:szCs w:val="24"/>
        </w:rPr>
        <w:t xml:space="preserve">social </w:t>
      </w:r>
      <w:r w:rsidR="009B4B62" w:rsidRPr="00346D1C">
        <w:rPr>
          <w:rFonts w:ascii="Georgia" w:hAnsi="Georgia" w:cs="Times New Roman"/>
          <w:sz w:val="24"/>
          <w:szCs w:val="24"/>
        </w:rPr>
        <w:t>health insurance was already mentioned above as part of the total health expenditure and should therefore not be counted as additional social protection expenditure.</w:t>
      </w:r>
    </w:p>
    <w:p w14:paraId="0D522374" w14:textId="0AB959C8" w:rsidR="00870F78" w:rsidRPr="00346D1C" w:rsidRDefault="00870F78" w:rsidP="00755EEA">
      <w:pPr>
        <w:spacing w:after="120" w:line="240" w:lineRule="auto"/>
        <w:jc w:val="both"/>
        <w:rPr>
          <w:rFonts w:ascii="Georgia" w:hAnsi="Georgia" w:cs="Times New Roman"/>
          <w:sz w:val="24"/>
          <w:szCs w:val="24"/>
        </w:rPr>
      </w:pPr>
      <w:r w:rsidRPr="00346D1C">
        <w:rPr>
          <w:rFonts w:ascii="Georgia" w:hAnsi="Georgia" w:cs="Times New Roman"/>
          <w:sz w:val="24"/>
          <w:szCs w:val="24"/>
        </w:rPr>
        <w:t xml:space="preserve">The </w:t>
      </w:r>
      <w:r w:rsidRPr="00346D1C">
        <w:rPr>
          <w:rFonts w:ascii="Georgia" w:hAnsi="Georgia" w:cs="Times New Roman"/>
          <w:b/>
          <w:bCs/>
          <w:sz w:val="24"/>
          <w:szCs w:val="24"/>
        </w:rPr>
        <w:t xml:space="preserve">coverage </w:t>
      </w:r>
      <w:r w:rsidRPr="00346D1C">
        <w:rPr>
          <w:rFonts w:ascii="Georgia" w:hAnsi="Georgia" w:cs="Times New Roman"/>
          <w:sz w:val="24"/>
          <w:szCs w:val="24"/>
        </w:rPr>
        <w:t xml:space="preserve">of social </w:t>
      </w:r>
      <w:r w:rsidR="003A568E" w:rsidRPr="00346D1C">
        <w:rPr>
          <w:rFonts w:ascii="Georgia" w:hAnsi="Georgia" w:cs="Times New Roman"/>
          <w:sz w:val="24"/>
          <w:szCs w:val="24"/>
        </w:rPr>
        <w:t xml:space="preserve">insurance </w:t>
      </w:r>
      <w:r w:rsidRPr="00346D1C">
        <w:rPr>
          <w:rFonts w:ascii="Georgia" w:hAnsi="Georgia" w:cs="Times New Roman"/>
          <w:sz w:val="24"/>
          <w:szCs w:val="24"/>
        </w:rPr>
        <w:t xml:space="preserve">programmes declined </w:t>
      </w:r>
      <w:r w:rsidR="003A568E" w:rsidRPr="00346D1C">
        <w:rPr>
          <w:rFonts w:ascii="Georgia" w:hAnsi="Georgia" w:cs="Times New Roman"/>
          <w:sz w:val="24"/>
          <w:szCs w:val="24"/>
        </w:rPr>
        <w:t>between 2005 and 2015</w:t>
      </w:r>
      <w:r w:rsidRPr="00346D1C">
        <w:rPr>
          <w:rFonts w:ascii="Georgia" w:hAnsi="Georgia" w:cs="Times New Roman"/>
          <w:sz w:val="24"/>
          <w:szCs w:val="24"/>
        </w:rPr>
        <w:t xml:space="preserve"> while that of social </w:t>
      </w:r>
      <w:r w:rsidR="003A568E" w:rsidRPr="00346D1C">
        <w:rPr>
          <w:rFonts w:ascii="Georgia" w:hAnsi="Georgia" w:cs="Times New Roman"/>
          <w:sz w:val="24"/>
          <w:szCs w:val="24"/>
        </w:rPr>
        <w:t xml:space="preserve">assistance </w:t>
      </w:r>
      <w:r w:rsidRPr="00346D1C">
        <w:rPr>
          <w:rFonts w:ascii="Georgia" w:hAnsi="Georgia" w:cs="Times New Roman"/>
          <w:sz w:val="24"/>
          <w:szCs w:val="24"/>
        </w:rPr>
        <w:t xml:space="preserve">programmes </w:t>
      </w:r>
      <w:r w:rsidR="003A568E" w:rsidRPr="00346D1C">
        <w:rPr>
          <w:rFonts w:ascii="Georgia" w:hAnsi="Georgia" w:cs="Times New Roman"/>
          <w:sz w:val="24"/>
          <w:szCs w:val="24"/>
        </w:rPr>
        <w:t>increased in that period, except for the poorest quintile</w:t>
      </w:r>
      <w:r w:rsidRPr="00346D1C">
        <w:rPr>
          <w:rFonts w:ascii="Georgia" w:hAnsi="Georgia" w:cs="Times New Roman"/>
          <w:sz w:val="24"/>
          <w:szCs w:val="24"/>
        </w:rPr>
        <w:t xml:space="preserve"> (see</w:t>
      </w:r>
      <w:r w:rsidR="00625D16" w:rsidRPr="00346D1C">
        <w:rPr>
          <w:rFonts w:ascii="Georgia" w:hAnsi="Georgia" w:cs="Times New Roman"/>
          <w:sz w:val="24"/>
          <w:szCs w:val="24"/>
        </w:rPr>
        <w:t xml:space="preserve"> </w:t>
      </w:r>
      <w:r w:rsidR="00500142" w:rsidRPr="00346D1C">
        <w:rPr>
          <w:rFonts w:ascii="Georgia" w:hAnsi="Georgia" w:cs="Times New Roman"/>
          <w:sz w:val="24"/>
          <w:szCs w:val="24"/>
        </w:rPr>
        <w:fldChar w:fldCharType="begin"/>
      </w:r>
      <w:r w:rsidR="00500142" w:rsidRPr="00346D1C">
        <w:rPr>
          <w:rFonts w:ascii="Georgia" w:hAnsi="Georgia" w:cs="Times New Roman"/>
          <w:sz w:val="24"/>
          <w:szCs w:val="24"/>
        </w:rPr>
        <w:instrText xml:space="preserve"> REF _Ref117243730 \h </w:instrText>
      </w:r>
      <w:r w:rsidR="0036535B" w:rsidRPr="00346D1C">
        <w:rPr>
          <w:rFonts w:ascii="Georgia" w:hAnsi="Georgia" w:cs="Times New Roman"/>
          <w:sz w:val="24"/>
          <w:szCs w:val="24"/>
        </w:rPr>
        <w:instrText xml:space="preserve"> \* MERGEFORMAT </w:instrText>
      </w:r>
      <w:r w:rsidR="00500142" w:rsidRPr="00346D1C">
        <w:rPr>
          <w:rFonts w:ascii="Georgia" w:hAnsi="Georgia" w:cs="Times New Roman"/>
          <w:sz w:val="24"/>
          <w:szCs w:val="24"/>
        </w:rPr>
      </w:r>
      <w:r w:rsidR="00500142"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8</w:t>
      </w:r>
      <w:r w:rsidR="00500142" w:rsidRPr="00346D1C">
        <w:rPr>
          <w:rFonts w:ascii="Georgia" w:hAnsi="Georgia" w:cs="Times New Roman"/>
          <w:sz w:val="24"/>
          <w:szCs w:val="24"/>
        </w:rPr>
        <w:fldChar w:fldCharType="end"/>
      </w:r>
      <w:r w:rsidR="000F6B1B" w:rsidRPr="00346D1C">
        <w:rPr>
          <w:rFonts w:ascii="Georgia" w:hAnsi="Georgia" w:cs="Times New Roman"/>
          <w:sz w:val="24"/>
          <w:szCs w:val="24"/>
        </w:rPr>
        <w:t>a</w:t>
      </w:r>
      <w:r w:rsidR="00747940" w:rsidRPr="00346D1C">
        <w:rPr>
          <w:rFonts w:ascii="Georgia" w:hAnsi="Georgia" w:cs="Times New Roman"/>
          <w:sz w:val="24"/>
          <w:szCs w:val="24"/>
        </w:rPr>
        <w:t>).</w:t>
      </w:r>
      <w:r w:rsidR="00755EEA" w:rsidRPr="00346D1C">
        <w:rPr>
          <w:rFonts w:ascii="Georgia" w:hAnsi="Georgia" w:cs="Times New Roman"/>
          <w:sz w:val="24"/>
          <w:szCs w:val="24"/>
        </w:rPr>
        <w:t xml:space="preserve"> </w:t>
      </w:r>
      <w:r w:rsidR="00755EEA" w:rsidRPr="00346D1C">
        <w:rPr>
          <w:rFonts w:ascii="Georgia" w:hAnsi="Georgia" w:cs="Times New Roman"/>
          <w:sz w:val="24"/>
          <w:szCs w:val="24"/>
        </w:rPr>
        <w:fldChar w:fldCharType="begin"/>
      </w:r>
      <w:r w:rsidR="00755EEA" w:rsidRPr="00346D1C">
        <w:rPr>
          <w:rFonts w:ascii="Georgia" w:hAnsi="Georgia" w:cs="Times New Roman"/>
          <w:sz w:val="24"/>
          <w:szCs w:val="24"/>
        </w:rPr>
        <w:instrText xml:space="preserve"> REF _Ref117243730 \h  \* MERGEFORMAT </w:instrText>
      </w:r>
      <w:r w:rsidR="00755EEA" w:rsidRPr="00346D1C">
        <w:rPr>
          <w:rFonts w:ascii="Georgia" w:hAnsi="Georgia" w:cs="Times New Roman"/>
          <w:sz w:val="24"/>
          <w:szCs w:val="24"/>
        </w:rPr>
      </w:r>
      <w:r w:rsidR="00755EEA" w:rsidRPr="00346D1C">
        <w:rPr>
          <w:rFonts w:ascii="Georgia" w:hAnsi="Georgia" w:cs="Times New Roman"/>
          <w:sz w:val="24"/>
          <w:szCs w:val="24"/>
        </w:rPr>
        <w:fldChar w:fldCharType="separate"/>
      </w:r>
      <w:r w:rsidR="000F6B8E" w:rsidRPr="00346D1C">
        <w:rPr>
          <w:rFonts w:ascii="Georgia" w:hAnsi="Georgia" w:cs="Times New Roman"/>
          <w:sz w:val="24"/>
          <w:szCs w:val="24"/>
        </w:rPr>
        <w:t xml:space="preserve">Figure </w:t>
      </w:r>
      <w:r w:rsidR="000F6B8E" w:rsidRPr="00346D1C">
        <w:rPr>
          <w:rFonts w:ascii="Georgia" w:hAnsi="Georgia" w:cs="Times New Roman"/>
          <w:noProof/>
          <w:sz w:val="24"/>
          <w:szCs w:val="24"/>
        </w:rPr>
        <w:t>8</w:t>
      </w:r>
      <w:r w:rsidR="00755EEA" w:rsidRPr="00346D1C">
        <w:rPr>
          <w:rFonts w:ascii="Georgia" w:hAnsi="Georgia" w:cs="Times New Roman"/>
          <w:sz w:val="24"/>
          <w:szCs w:val="24"/>
        </w:rPr>
        <w:fldChar w:fldCharType="end"/>
      </w:r>
      <w:r w:rsidR="000F6B1B" w:rsidRPr="00346D1C">
        <w:rPr>
          <w:rFonts w:ascii="Georgia" w:hAnsi="Georgia" w:cs="Times New Roman"/>
          <w:sz w:val="24"/>
          <w:szCs w:val="24"/>
        </w:rPr>
        <w:t>b</w:t>
      </w:r>
      <w:r w:rsidR="00747940" w:rsidRPr="00346D1C">
        <w:rPr>
          <w:rFonts w:ascii="Georgia" w:hAnsi="Georgia" w:cs="Times New Roman"/>
          <w:sz w:val="24"/>
          <w:szCs w:val="24"/>
        </w:rPr>
        <w:t xml:space="preserve"> </w:t>
      </w:r>
      <w:r w:rsidR="00CB663F" w:rsidRPr="00346D1C">
        <w:rPr>
          <w:rFonts w:ascii="Georgia" w:hAnsi="Georgia" w:cs="Times New Roman"/>
          <w:sz w:val="24"/>
          <w:szCs w:val="24"/>
        </w:rPr>
        <w:t>shows that</w:t>
      </w:r>
      <w:r w:rsidR="007C04E1" w:rsidRPr="00346D1C">
        <w:rPr>
          <w:rFonts w:ascii="Georgia" w:hAnsi="Georgia" w:cs="Times New Roman"/>
          <w:sz w:val="24"/>
          <w:szCs w:val="24"/>
        </w:rPr>
        <w:t xml:space="preserve"> the coverage of social insurance programmes </w:t>
      </w:r>
      <w:r w:rsidR="00467222" w:rsidRPr="00346D1C">
        <w:rPr>
          <w:rFonts w:ascii="Georgia" w:hAnsi="Georgia" w:cs="Times New Roman"/>
          <w:sz w:val="24"/>
          <w:szCs w:val="24"/>
        </w:rPr>
        <w:t xml:space="preserve">tends to increase with income, while that of social assistance programmes is </w:t>
      </w:r>
      <w:r w:rsidR="0013047A" w:rsidRPr="00346D1C">
        <w:rPr>
          <w:rFonts w:ascii="Georgia" w:hAnsi="Georgia" w:cs="Times New Roman"/>
          <w:sz w:val="24"/>
          <w:szCs w:val="24"/>
        </w:rPr>
        <w:t>inversely related to the income level.</w:t>
      </w:r>
      <w:r w:rsidR="00CB663F" w:rsidRPr="00346D1C">
        <w:rPr>
          <w:rFonts w:ascii="Georgia" w:hAnsi="Georgia" w:cs="Times New Roman"/>
          <w:sz w:val="24"/>
          <w:szCs w:val="24"/>
        </w:rPr>
        <w:t xml:space="preserve"> </w:t>
      </w:r>
      <w:r w:rsidR="005C58E9" w:rsidRPr="00346D1C">
        <w:rPr>
          <w:rFonts w:ascii="Georgia" w:hAnsi="Georgia" w:cs="Times New Roman"/>
          <w:sz w:val="24"/>
          <w:szCs w:val="24"/>
        </w:rPr>
        <w:t>DHS</w:t>
      </w:r>
      <w:r w:rsidR="00B149AC" w:rsidRPr="00346D1C">
        <w:rPr>
          <w:rFonts w:ascii="Georgia" w:hAnsi="Georgia" w:cs="Times New Roman"/>
          <w:sz w:val="24"/>
          <w:szCs w:val="24"/>
        </w:rPr>
        <w:t xml:space="preserve"> </w:t>
      </w:r>
      <w:r w:rsidR="005C58E9" w:rsidRPr="00346D1C">
        <w:rPr>
          <w:rFonts w:ascii="Georgia" w:hAnsi="Georgia" w:cs="Times New Roman"/>
          <w:sz w:val="24"/>
          <w:szCs w:val="24"/>
        </w:rPr>
        <w:t xml:space="preserve">data indicate that, nationally, 17% of households received some form of social assistance in 2022, while 11% of households were covered by social assistance programmes of the national or county government (KNBS, 2023c: Table 2.21.1). The proportion of households receiving social assistance </w:t>
      </w:r>
      <w:r w:rsidR="00B149AC" w:rsidRPr="00346D1C">
        <w:rPr>
          <w:rFonts w:ascii="Georgia" w:hAnsi="Georgia" w:cs="Times New Roman"/>
          <w:sz w:val="24"/>
          <w:szCs w:val="24"/>
        </w:rPr>
        <w:t xml:space="preserve">varied from 22% for the lowest </w:t>
      </w:r>
      <w:r w:rsidR="005F6399" w:rsidRPr="00346D1C">
        <w:rPr>
          <w:rFonts w:ascii="Georgia" w:hAnsi="Georgia" w:cs="Times New Roman"/>
          <w:sz w:val="24"/>
          <w:szCs w:val="24"/>
        </w:rPr>
        <w:t>wealth quintile to 12% for the richest quintile</w:t>
      </w:r>
      <w:r w:rsidR="00EB6C72" w:rsidRPr="00346D1C">
        <w:rPr>
          <w:rFonts w:ascii="Georgia" w:hAnsi="Georgia" w:cs="Times New Roman"/>
          <w:sz w:val="24"/>
          <w:szCs w:val="24"/>
        </w:rPr>
        <w:t xml:space="preserve"> (ibid.; </w:t>
      </w:r>
      <w:r w:rsidR="00A17D31" w:rsidRPr="00346D1C">
        <w:rPr>
          <w:rFonts w:ascii="Georgia" w:hAnsi="Georgia" w:cs="Times New Roman"/>
          <w:sz w:val="24"/>
          <w:szCs w:val="24"/>
        </w:rPr>
        <w:t>Table 2.21.3)</w:t>
      </w:r>
      <w:r w:rsidR="005F6399" w:rsidRPr="00346D1C">
        <w:rPr>
          <w:rFonts w:ascii="Georgia" w:hAnsi="Georgia" w:cs="Times New Roman"/>
          <w:sz w:val="24"/>
          <w:szCs w:val="24"/>
        </w:rPr>
        <w:t>.</w:t>
      </w:r>
      <w:r w:rsidR="00EB6C72" w:rsidRPr="00346D1C">
        <w:rPr>
          <w:rFonts w:ascii="Georgia" w:hAnsi="Georgia" w:cs="Times New Roman"/>
          <w:sz w:val="24"/>
          <w:szCs w:val="24"/>
        </w:rPr>
        <w:t xml:space="preserve"> Across counties, the</w:t>
      </w:r>
      <w:r w:rsidR="00A17D31" w:rsidRPr="00346D1C">
        <w:rPr>
          <w:rFonts w:ascii="Georgia" w:hAnsi="Georgia" w:cs="Times New Roman"/>
          <w:sz w:val="24"/>
          <w:szCs w:val="24"/>
        </w:rPr>
        <w:t xml:space="preserve"> </w:t>
      </w:r>
      <w:r w:rsidR="00DC09EF" w:rsidRPr="00346D1C">
        <w:rPr>
          <w:rFonts w:ascii="Georgia" w:hAnsi="Georgia" w:cs="Times New Roman"/>
          <w:sz w:val="24"/>
          <w:szCs w:val="24"/>
        </w:rPr>
        <w:t xml:space="preserve">coverage of social assistance </w:t>
      </w:r>
      <w:r w:rsidR="00CE7B70" w:rsidRPr="00346D1C">
        <w:rPr>
          <w:rFonts w:ascii="Georgia" w:hAnsi="Georgia" w:cs="Times New Roman"/>
          <w:sz w:val="24"/>
          <w:szCs w:val="24"/>
        </w:rPr>
        <w:t>was l</w:t>
      </w:r>
      <w:r w:rsidR="008B66A8" w:rsidRPr="00346D1C">
        <w:rPr>
          <w:rFonts w:ascii="Georgia" w:hAnsi="Georgia" w:cs="Times New Roman"/>
          <w:sz w:val="24"/>
          <w:szCs w:val="24"/>
        </w:rPr>
        <w:t xml:space="preserve">ess than </w:t>
      </w:r>
      <w:r w:rsidR="001C5546" w:rsidRPr="00346D1C">
        <w:rPr>
          <w:rFonts w:ascii="Georgia" w:hAnsi="Georgia" w:cs="Times New Roman"/>
          <w:sz w:val="24"/>
          <w:szCs w:val="24"/>
        </w:rPr>
        <w:t>10</w:t>
      </w:r>
      <w:r w:rsidR="008B66A8" w:rsidRPr="00346D1C">
        <w:rPr>
          <w:rFonts w:ascii="Georgia" w:hAnsi="Georgia" w:cs="Times New Roman"/>
          <w:sz w:val="24"/>
          <w:szCs w:val="24"/>
        </w:rPr>
        <w:t xml:space="preserve">% in </w:t>
      </w:r>
      <w:r w:rsidR="001C5546" w:rsidRPr="00346D1C">
        <w:rPr>
          <w:rFonts w:ascii="Georgia" w:hAnsi="Georgia" w:cs="Times New Roman"/>
          <w:sz w:val="24"/>
          <w:szCs w:val="24"/>
        </w:rPr>
        <w:t xml:space="preserve">Kisumu, </w:t>
      </w:r>
      <w:r w:rsidR="00CE7B70" w:rsidRPr="00346D1C">
        <w:rPr>
          <w:rFonts w:ascii="Georgia" w:hAnsi="Georgia" w:cs="Times New Roman"/>
          <w:sz w:val="24"/>
          <w:szCs w:val="24"/>
        </w:rPr>
        <w:t>Nakur</w:t>
      </w:r>
      <w:r w:rsidR="00626432" w:rsidRPr="00346D1C">
        <w:rPr>
          <w:rFonts w:ascii="Georgia" w:hAnsi="Georgia" w:cs="Times New Roman"/>
          <w:sz w:val="24"/>
          <w:szCs w:val="24"/>
        </w:rPr>
        <w:t>u</w:t>
      </w:r>
      <w:r w:rsidR="008B66A8" w:rsidRPr="00346D1C">
        <w:rPr>
          <w:rFonts w:ascii="Georgia" w:hAnsi="Georgia" w:cs="Times New Roman"/>
          <w:sz w:val="24"/>
          <w:szCs w:val="24"/>
        </w:rPr>
        <w:t xml:space="preserve"> and </w:t>
      </w:r>
      <w:r w:rsidR="00092927" w:rsidRPr="00346D1C">
        <w:rPr>
          <w:rFonts w:ascii="Georgia" w:hAnsi="Georgia" w:cs="Times New Roman"/>
          <w:sz w:val="24"/>
          <w:szCs w:val="24"/>
        </w:rPr>
        <w:t>W</w:t>
      </w:r>
      <w:r w:rsidR="008B66A8" w:rsidRPr="00346D1C">
        <w:rPr>
          <w:rFonts w:ascii="Georgia" w:hAnsi="Georgia" w:cs="Times New Roman"/>
          <w:sz w:val="24"/>
          <w:szCs w:val="24"/>
        </w:rPr>
        <w:t xml:space="preserve">est Pokot, while </w:t>
      </w:r>
      <w:r w:rsidR="004A0C76" w:rsidRPr="00346D1C">
        <w:rPr>
          <w:rFonts w:ascii="Georgia" w:hAnsi="Georgia" w:cs="Times New Roman"/>
          <w:sz w:val="24"/>
          <w:szCs w:val="24"/>
        </w:rPr>
        <w:t xml:space="preserve">over 60% of the households </w:t>
      </w:r>
      <w:r w:rsidR="001C5546" w:rsidRPr="00346D1C">
        <w:rPr>
          <w:rFonts w:ascii="Georgia" w:hAnsi="Georgia" w:cs="Times New Roman"/>
          <w:sz w:val="24"/>
          <w:szCs w:val="24"/>
        </w:rPr>
        <w:t>i</w:t>
      </w:r>
      <w:r w:rsidR="00D45912" w:rsidRPr="00346D1C">
        <w:rPr>
          <w:rFonts w:ascii="Georgia" w:hAnsi="Georgia" w:cs="Times New Roman"/>
          <w:sz w:val="24"/>
          <w:szCs w:val="24"/>
        </w:rPr>
        <w:t xml:space="preserve">n </w:t>
      </w:r>
      <w:r w:rsidR="00092927" w:rsidRPr="00346D1C">
        <w:rPr>
          <w:rFonts w:ascii="Georgia" w:hAnsi="Georgia" w:cs="Times New Roman"/>
          <w:sz w:val="24"/>
          <w:szCs w:val="24"/>
        </w:rPr>
        <w:t>Turkana</w:t>
      </w:r>
      <w:r w:rsidR="001C5546" w:rsidRPr="00346D1C">
        <w:rPr>
          <w:rFonts w:ascii="Georgia" w:hAnsi="Georgia" w:cs="Times New Roman"/>
          <w:sz w:val="24"/>
          <w:szCs w:val="24"/>
        </w:rPr>
        <w:t xml:space="preserve"> </w:t>
      </w:r>
      <w:r w:rsidR="004A0C76" w:rsidRPr="00346D1C">
        <w:rPr>
          <w:rFonts w:ascii="Georgia" w:hAnsi="Georgia" w:cs="Times New Roman"/>
          <w:sz w:val="24"/>
          <w:szCs w:val="24"/>
        </w:rPr>
        <w:t xml:space="preserve">received social assistance (ibid.: Table </w:t>
      </w:r>
      <w:r w:rsidR="004909CB" w:rsidRPr="00346D1C">
        <w:rPr>
          <w:rFonts w:ascii="Georgia" w:hAnsi="Georgia" w:cs="Times New Roman"/>
          <w:sz w:val="24"/>
          <w:szCs w:val="24"/>
        </w:rPr>
        <w:t>2.21.3C)</w:t>
      </w:r>
      <w:r w:rsidR="004A0C76" w:rsidRPr="00346D1C">
        <w:rPr>
          <w:rFonts w:ascii="Georgia" w:hAnsi="Georgia" w:cs="Times New Roman"/>
          <w:sz w:val="24"/>
          <w:szCs w:val="24"/>
        </w:rPr>
        <w:t>.</w:t>
      </w:r>
      <w:r w:rsidR="005F6399" w:rsidRPr="00346D1C">
        <w:rPr>
          <w:rFonts w:ascii="Georgia" w:hAnsi="Georgia" w:cs="Times New Roman"/>
          <w:sz w:val="24"/>
          <w:szCs w:val="24"/>
        </w:rPr>
        <w:t xml:space="preserve"> </w:t>
      </w:r>
      <w:r w:rsidR="00337647" w:rsidRPr="00346D1C">
        <w:rPr>
          <w:rFonts w:ascii="Georgia" w:hAnsi="Georgia" w:cs="Times New Roman"/>
          <w:sz w:val="24"/>
          <w:szCs w:val="24"/>
        </w:rPr>
        <w:t>On average, t</w:t>
      </w:r>
      <w:r w:rsidRPr="00346D1C">
        <w:rPr>
          <w:rFonts w:ascii="Georgia" w:hAnsi="Georgia" w:cs="Times New Roman"/>
          <w:sz w:val="24"/>
          <w:szCs w:val="24"/>
        </w:rPr>
        <w:t xml:space="preserve">he </w:t>
      </w:r>
      <w:r w:rsidRPr="00346D1C">
        <w:rPr>
          <w:rFonts w:ascii="Georgia" w:hAnsi="Georgia" w:cs="Times New Roman"/>
          <w:b/>
          <w:bCs/>
          <w:sz w:val="24"/>
          <w:szCs w:val="24"/>
        </w:rPr>
        <w:t>ade</w:t>
      </w:r>
      <w:r w:rsidR="00BA233B" w:rsidRPr="00346D1C">
        <w:rPr>
          <w:rFonts w:ascii="Georgia" w:hAnsi="Georgia" w:cs="Times New Roman"/>
          <w:b/>
          <w:bCs/>
          <w:sz w:val="24"/>
          <w:szCs w:val="24"/>
        </w:rPr>
        <w:t>q</w:t>
      </w:r>
      <w:r w:rsidRPr="00346D1C">
        <w:rPr>
          <w:rFonts w:ascii="Georgia" w:hAnsi="Georgia" w:cs="Times New Roman"/>
          <w:b/>
          <w:bCs/>
          <w:sz w:val="24"/>
          <w:szCs w:val="24"/>
        </w:rPr>
        <w:t xml:space="preserve">uacy </w:t>
      </w:r>
      <w:r w:rsidRPr="00346D1C">
        <w:rPr>
          <w:rFonts w:ascii="Georgia" w:hAnsi="Georgia" w:cs="Times New Roman"/>
          <w:sz w:val="24"/>
          <w:szCs w:val="24"/>
        </w:rPr>
        <w:t xml:space="preserve">of </w:t>
      </w:r>
      <w:r w:rsidR="00BA233B" w:rsidRPr="00346D1C">
        <w:rPr>
          <w:rFonts w:ascii="Georgia" w:hAnsi="Georgia" w:cs="Times New Roman"/>
          <w:sz w:val="24"/>
          <w:szCs w:val="24"/>
        </w:rPr>
        <w:t>s</w:t>
      </w:r>
      <w:r w:rsidRPr="00346D1C">
        <w:rPr>
          <w:rFonts w:ascii="Georgia" w:hAnsi="Georgia" w:cs="Times New Roman"/>
          <w:sz w:val="24"/>
          <w:szCs w:val="24"/>
        </w:rPr>
        <w:t xml:space="preserve">ocial assistance </w:t>
      </w:r>
      <w:r w:rsidR="00BA233B" w:rsidRPr="00346D1C">
        <w:rPr>
          <w:rFonts w:ascii="Georgia" w:hAnsi="Georgia" w:cs="Times New Roman"/>
          <w:sz w:val="24"/>
          <w:szCs w:val="24"/>
        </w:rPr>
        <w:t xml:space="preserve">declined from </w:t>
      </w:r>
      <w:r w:rsidRPr="00346D1C">
        <w:rPr>
          <w:rFonts w:ascii="Georgia" w:hAnsi="Georgia" w:cs="Times New Roman"/>
          <w:sz w:val="24"/>
          <w:szCs w:val="24"/>
        </w:rPr>
        <w:t>8%</w:t>
      </w:r>
      <w:r w:rsidR="00BA233B" w:rsidRPr="00346D1C">
        <w:rPr>
          <w:rFonts w:ascii="Georgia" w:hAnsi="Georgia" w:cs="Times New Roman"/>
          <w:sz w:val="24"/>
          <w:szCs w:val="24"/>
        </w:rPr>
        <w:t xml:space="preserve"> to 6%</w:t>
      </w:r>
      <w:r w:rsidR="00734F62" w:rsidRPr="00346D1C">
        <w:rPr>
          <w:rFonts w:ascii="Georgia" w:hAnsi="Georgia" w:cs="Times New Roman"/>
          <w:sz w:val="24"/>
          <w:szCs w:val="24"/>
        </w:rPr>
        <w:t xml:space="preserve"> of the population</w:t>
      </w:r>
      <w:r w:rsidRPr="00346D1C">
        <w:rPr>
          <w:rFonts w:ascii="Georgia" w:hAnsi="Georgia" w:cs="Times New Roman"/>
          <w:sz w:val="24"/>
          <w:szCs w:val="24"/>
        </w:rPr>
        <w:t xml:space="preserve"> </w:t>
      </w:r>
      <w:r w:rsidR="002A65DA" w:rsidRPr="00346D1C">
        <w:rPr>
          <w:rFonts w:ascii="Georgia" w:hAnsi="Georgia" w:cs="Times New Roman"/>
          <w:sz w:val="24"/>
          <w:szCs w:val="24"/>
        </w:rPr>
        <w:t xml:space="preserve">between 2002/06 to 2015/16 </w:t>
      </w:r>
      <w:r w:rsidRPr="00346D1C">
        <w:rPr>
          <w:rFonts w:ascii="Georgia" w:hAnsi="Georgia" w:cs="Times New Roman"/>
          <w:sz w:val="24"/>
          <w:szCs w:val="24"/>
        </w:rPr>
        <w:t>(World Development Indicators).</w:t>
      </w:r>
      <w:r w:rsidRPr="00346D1C">
        <w:rPr>
          <w:rStyle w:val="FootnoteReference"/>
          <w:rFonts w:ascii="Georgia" w:hAnsi="Georgia" w:cs="Times New Roman"/>
          <w:sz w:val="24"/>
          <w:szCs w:val="24"/>
        </w:rPr>
        <w:footnoteReference w:id="31"/>
      </w:r>
      <w:r w:rsidRPr="00346D1C">
        <w:rPr>
          <w:rFonts w:ascii="Georgia" w:hAnsi="Georgia" w:cs="Times New Roman"/>
          <w:sz w:val="24"/>
          <w:szCs w:val="24"/>
        </w:rPr>
        <w:t xml:space="preserve"> </w:t>
      </w:r>
      <w:r w:rsidR="00BA233B" w:rsidRPr="00346D1C">
        <w:rPr>
          <w:rFonts w:ascii="Georgia" w:hAnsi="Georgia" w:cs="Times New Roman"/>
          <w:sz w:val="24"/>
          <w:szCs w:val="24"/>
        </w:rPr>
        <w:t>Despite this decline, the benefit incidence of social safety net programmes to the poorest quintile rose from 8% to 20%</w:t>
      </w:r>
      <w:r w:rsidR="00337647" w:rsidRPr="00346D1C">
        <w:rPr>
          <w:rFonts w:ascii="Georgia" w:hAnsi="Georgia" w:cs="Times New Roman"/>
          <w:sz w:val="24"/>
          <w:szCs w:val="24"/>
        </w:rPr>
        <w:t xml:space="preserve"> (World Development Indicators).</w:t>
      </w:r>
      <w:r w:rsidR="00337647" w:rsidRPr="00346D1C">
        <w:rPr>
          <w:rStyle w:val="FootnoteReference"/>
          <w:rFonts w:ascii="Georgia" w:hAnsi="Georgia" w:cs="Times New Roman"/>
          <w:sz w:val="24"/>
          <w:szCs w:val="24"/>
        </w:rPr>
        <w:footnoteReference w:id="32"/>
      </w:r>
      <w:r w:rsidR="0009201E" w:rsidRPr="00346D1C">
        <w:rPr>
          <w:rFonts w:ascii="Georgia" w:hAnsi="Georgia" w:cs="Times New Roman"/>
          <w:sz w:val="24"/>
          <w:szCs w:val="24"/>
        </w:rPr>
        <w:t xml:space="preserve"> </w:t>
      </w:r>
      <w:r w:rsidR="00EE4D32" w:rsidRPr="00346D1C">
        <w:rPr>
          <w:rFonts w:ascii="Georgia" w:hAnsi="Georgia" w:cs="Times New Roman"/>
          <w:sz w:val="24"/>
          <w:szCs w:val="24"/>
        </w:rPr>
        <w:t>Hence, the share of the programmes going to other quintiles must have decreased.</w:t>
      </w:r>
      <w:r w:rsidR="005028FD" w:rsidRPr="00346D1C">
        <w:rPr>
          <w:rFonts w:ascii="Georgia" w:hAnsi="Georgia" w:cs="Times New Roman"/>
          <w:sz w:val="24"/>
          <w:szCs w:val="24"/>
        </w:rPr>
        <w:t xml:space="preserve"> </w:t>
      </w:r>
    </w:p>
    <w:p w14:paraId="4A2DB00D" w14:textId="77777777" w:rsidR="001C4816" w:rsidRPr="00346D1C" w:rsidRDefault="001C4816" w:rsidP="001C4816">
      <w:pPr>
        <w:autoSpaceDE w:val="0"/>
        <w:autoSpaceDN w:val="0"/>
        <w:adjustRightInd w:val="0"/>
        <w:spacing w:after="120" w:line="240" w:lineRule="auto"/>
        <w:jc w:val="both"/>
        <w:rPr>
          <w:rFonts w:ascii="Georgia" w:hAnsi="Georgia" w:cs="Times New Roman"/>
          <w:sz w:val="24"/>
          <w:szCs w:val="24"/>
        </w:rPr>
      </w:pPr>
      <w:r w:rsidRPr="00346D1C">
        <w:rPr>
          <w:rFonts w:ascii="Georgia" w:hAnsi="Georgia" w:cs="Times New Roman"/>
          <w:sz w:val="24"/>
          <w:szCs w:val="24"/>
        </w:rPr>
        <w:t xml:space="preserve">Regarding individual social protection programmes, MoL&amp;SP (2020: 18) shows that OPCT covered 77% of its target population in 2018/19, while NHIF and NSSF only covered respectively 25% and 15% of the population of 18-65 years of age. </w:t>
      </w:r>
    </w:p>
    <w:p w14:paraId="23EA73CE" w14:textId="21E408DC" w:rsidR="00751E93" w:rsidRPr="009C5581" w:rsidRDefault="003A252E" w:rsidP="00751E93">
      <w:pPr>
        <w:spacing w:after="120"/>
        <w:jc w:val="center"/>
        <w:rPr>
          <w:rFonts w:ascii="Times New Roman" w:hAnsi="Times New Roman" w:cs="Times New Roman"/>
          <w:sz w:val="20"/>
          <w:szCs w:val="20"/>
        </w:rPr>
      </w:pPr>
      <w:bookmarkStart w:id="59" w:name="_Ref117243730"/>
      <w:bookmarkStart w:id="60" w:name="_Toc144414580"/>
      <w:r w:rsidRPr="009C5581">
        <w:rPr>
          <w:noProof/>
          <w:lang w:val="en-US"/>
        </w:rPr>
        <w:drawing>
          <wp:anchor distT="0" distB="0" distL="114300" distR="114300" simplePos="0" relativeHeight="251658243" behindDoc="0" locked="0" layoutInCell="1" allowOverlap="1" wp14:anchorId="1CA003F3" wp14:editId="4E4702C2">
            <wp:simplePos x="0" y="0"/>
            <wp:positionH relativeFrom="margin">
              <wp:posOffset>2914015</wp:posOffset>
            </wp:positionH>
            <wp:positionV relativeFrom="paragraph">
              <wp:posOffset>171378</wp:posOffset>
            </wp:positionV>
            <wp:extent cx="3021330" cy="2178050"/>
            <wp:effectExtent l="0" t="0" r="7620" b="12700"/>
            <wp:wrapTopAndBottom/>
            <wp:docPr id="9" name="Chart 9">
              <a:extLst xmlns:a="http://schemas.openxmlformats.org/drawingml/2006/main">
                <a:ext uri="{FF2B5EF4-FFF2-40B4-BE49-F238E27FC236}">
                  <a16:creationId xmlns:a16="http://schemas.microsoft.com/office/drawing/2014/main" id="{62115A5A-33E1-A124-BB27-13E11B109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9C5581">
        <w:rPr>
          <w:noProof/>
          <w:lang w:val="en-US"/>
        </w:rPr>
        <w:drawing>
          <wp:anchor distT="0" distB="0" distL="114300" distR="114300" simplePos="0" relativeHeight="251658240" behindDoc="0" locked="0" layoutInCell="1" allowOverlap="1" wp14:anchorId="438EF647" wp14:editId="47576F80">
            <wp:simplePos x="0" y="0"/>
            <wp:positionH relativeFrom="margin">
              <wp:posOffset>0</wp:posOffset>
            </wp:positionH>
            <wp:positionV relativeFrom="paragraph">
              <wp:posOffset>171442</wp:posOffset>
            </wp:positionV>
            <wp:extent cx="2908935" cy="2178050"/>
            <wp:effectExtent l="0" t="0" r="5715" b="12700"/>
            <wp:wrapTopAndBottom/>
            <wp:docPr id="10" name="Chart 10">
              <a:extLst xmlns:a="http://schemas.openxmlformats.org/drawingml/2006/main">
                <a:ext uri="{FF2B5EF4-FFF2-40B4-BE49-F238E27FC236}">
                  <a16:creationId xmlns:a16="http://schemas.microsoft.com/office/drawing/2014/main" id="{6196E252-6C21-A97C-0E54-EAA2CFF77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751E93" w:rsidRPr="009C5581">
        <w:rPr>
          <w:rFonts w:ascii="Times New Roman" w:hAnsi="Times New Roman" w:cs="Times New Roman"/>
          <w:b/>
          <w:bCs/>
          <w:sz w:val="20"/>
          <w:szCs w:val="20"/>
        </w:rPr>
        <w:t xml:space="preserve">Figure </w:t>
      </w:r>
      <w:r w:rsidR="00B84F08" w:rsidRPr="009C5581">
        <w:rPr>
          <w:rFonts w:ascii="Times New Roman" w:hAnsi="Times New Roman" w:cs="Times New Roman"/>
          <w:b/>
          <w:bCs/>
          <w:sz w:val="20"/>
          <w:szCs w:val="20"/>
        </w:rPr>
        <w:fldChar w:fldCharType="begin"/>
      </w:r>
      <w:r w:rsidR="00B84F08" w:rsidRPr="009C5581">
        <w:rPr>
          <w:rFonts w:ascii="Times New Roman" w:hAnsi="Times New Roman" w:cs="Times New Roman"/>
          <w:b/>
          <w:bCs/>
          <w:sz w:val="20"/>
          <w:szCs w:val="20"/>
        </w:rPr>
        <w:instrText xml:space="preserve"> SEQ Figure \* ARABIC </w:instrText>
      </w:r>
      <w:r w:rsidR="00B84F08"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8</w:t>
      </w:r>
      <w:r w:rsidR="00B84F08" w:rsidRPr="009C5581">
        <w:rPr>
          <w:rFonts w:ascii="Times New Roman" w:hAnsi="Times New Roman" w:cs="Times New Roman"/>
          <w:b/>
          <w:bCs/>
          <w:sz w:val="20"/>
          <w:szCs w:val="20"/>
        </w:rPr>
        <w:fldChar w:fldCharType="end"/>
      </w:r>
      <w:bookmarkEnd w:id="59"/>
      <w:r w:rsidR="00751E93" w:rsidRPr="009C5581">
        <w:rPr>
          <w:rFonts w:ascii="Times New Roman" w:hAnsi="Times New Roman" w:cs="Times New Roman"/>
          <w:sz w:val="20"/>
          <w:szCs w:val="20"/>
        </w:rPr>
        <w:t>: Coverage of social insurance and social assistance by income quintile</w:t>
      </w:r>
      <w:r w:rsidR="00BD1BC7" w:rsidRPr="009C5581">
        <w:rPr>
          <w:rFonts w:ascii="Times New Roman" w:hAnsi="Times New Roman" w:cs="Times New Roman"/>
          <w:sz w:val="20"/>
          <w:szCs w:val="20"/>
        </w:rPr>
        <w:t xml:space="preserve">, </w:t>
      </w:r>
      <w:r w:rsidR="001D2163" w:rsidRPr="009C5581">
        <w:rPr>
          <w:rFonts w:ascii="Times New Roman" w:hAnsi="Times New Roman" w:cs="Times New Roman"/>
          <w:sz w:val="20"/>
          <w:szCs w:val="20"/>
        </w:rPr>
        <w:t>200</w:t>
      </w:r>
      <w:r w:rsidR="00AD65A7" w:rsidRPr="009C5581">
        <w:rPr>
          <w:rFonts w:ascii="Times New Roman" w:hAnsi="Times New Roman" w:cs="Times New Roman"/>
          <w:sz w:val="20"/>
          <w:szCs w:val="20"/>
        </w:rPr>
        <w:t>5</w:t>
      </w:r>
      <w:r w:rsidR="001D2163" w:rsidRPr="009C5581">
        <w:rPr>
          <w:rFonts w:ascii="Times New Roman" w:hAnsi="Times New Roman" w:cs="Times New Roman"/>
          <w:sz w:val="20"/>
          <w:szCs w:val="20"/>
        </w:rPr>
        <w:t xml:space="preserve"> and 2015</w:t>
      </w:r>
      <w:bookmarkEnd w:id="60"/>
    </w:p>
    <w:p w14:paraId="746963F3" w14:textId="2637E214" w:rsidR="00751E93" w:rsidRPr="009C5581" w:rsidRDefault="00751E93" w:rsidP="00751E93">
      <w:pPr>
        <w:spacing w:after="120"/>
        <w:jc w:val="center"/>
        <w:rPr>
          <w:rFonts w:ascii="Times New Roman" w:hAnsi="Times New Roman" w:cs="Times New Roman"/>
          <w:sz w:val="20"/>
          <w:szCs w:val="20"/>
        </w:rPr>
      </w:pPr>
      <w:r w:rsidRPr="009C5581">
        <w:rPr>
          <w:rFonts w:ascii="Times New Roman" w:hAnsi="Times New Roman" w:cs="Times New Roman"/>
          <w:sz w:val="16"/>
          <w:szCs w:val="16"/>
        </w:rPr>
        <w:t>Source: World Bank, World Development Indicators.</w:t>
      </w:r>
    </w:p>
    <w:p w14:paraId="7051E47D" w14:textId="4907BE79" w:rsidR="0081619D" w:rsidRPr="00247E61" w:rsidRDefault="003243CB" w:rsidP="00870F78">
      <w:pPr>
        <w:autoSpaceDE w:val="0"/>
        <w:autoSpaceDN w:val="0"/>
        <w:adjustRightInd w:val="0"/>
        <w:spacing w:after="120" w:line="240" w:lineRule="auto"/>
        <w:jc w:val="both"/>
        <w:rPr>
          <w:rFonts w:ascii="Georgia" w:hAnsi="Georgia" w:cs="Times New Roman"/>
          <w:sz w:val="24"/>
          <w:szCs w:val="24"/>
        </w:rPr>
      </w:pPr>
      <w:r w:rsidRPr="00247E61">
        <w:rPr>
          <w:rFonts w:ascii="Georgia" w:hAnsi="Georgia" w:cs="Times New Roman"/>
          <w:sz w:val="24"/>
          <w:szCs w:val="24"/>
        </w:rPr>
        <w:t>Manda et al. (2020) report a relative</w:t>
      </w:r>
      <w:r w:rsidR="005F57C2" w:rsidRPr="00247E61">
        <w:rPr>
          <w:rFonts w:ascii="Georgia" w:hAnsi="Georgia" w:cs="Times New Roman"/>
          <w:sz w:val="24"/>
          <w:szCs w:val="24"/>
        </w:rPr>
        <w:t>ly</w:t>
      </w:r>
      <w:r w:rsidRPr="00247E61">
        <w:rPr>
          <w:rFonts w:ascii="Georgia" w:hAnsi="Georgia" w:cs="Times New Roman"/>
          <w:sz w:val="24"/>
          <w:szCs w:val="24"/>
        </w:rPr>
        <w:t xml:space="preserve"> </w:t>
      </w:r>
      <w:r w:rsidR="0063394C" w:rsidRPr="00247E61">
        <w:rPr>
          <w:rFonts w:ascii="Georgia" w:hAnsi="Georgia" w:cs="Times New Roman"/>
          <w:sz w:val="24"/>
          <w:szCs w:val="24"/>
        </w:rPr>
        <w:t xml:space="preserve">small </w:t>
      </w:r>
      <w:r w:rsidR="00FA1605" w:rsidRPr="00247E61">
        <w:rPr>
          <w:rFonts w:ascii="Georgia" w:hAnsi="Georgia" w:cs="Times New Roman"/>
          <w:sz w:val="24"/>
          <w:szCs w:val="24"/>
        </w:rPr>
        <w:t xml:space="preserve">effect of direct </w:t>
      </w:r>
      <w:r w:rsidR="00D67E7D" w:rsidRPr="00247E61">
        <w:rPr>
          <w:rFonts w:ascii="Georgia" w:hAnsi="Georgia" w:cs="Times New Roman"/>
          <w:sz w:val="24"/>
          <w:szCs w:val="24"/>
        </w:rPr>
        <w:t xml:space="preserve">(cash) </w:t>
      </w:r>
      <w:r w:rsidR="0063394C" w:rsidRPr="00247E61">
        <w:rPr>
          <w:rFonts w:ascii="Georgia" w:hAnsi="Georgia" w:cs="Times New Roman"/>
          <w:sz w:val="24"/>
          <w:szCs w:val="24"/>
        </w:rPr>
        <w:t xml:space="preserve">transfers </w:t>
      </w:r>
      <w:r w:rsidR="00FA1605" w:rsidRPr="00247E61">
        <w:rPr>
          <w:rFonts w:ascii="Georgia" w:hAnsi="Georgia" w:cs="Times New Roman"/>
          <w:sz w:val="24"/>
          <w:szCs w:val="24"/>
        </w:rPr>
        <w:t xml:space="preserve">on </w:t>
      </w:r>
      <w:r w:rsidR="0063394C" w:rsidRPr="00247E61">
        <w:rPr>
          <w:rFonts w:ascii="Georgia" w:hAnsi="Georgia" w:cs="Times New Roman"/>
          <w:sz w:val="24"/>
          <w:szCs w:val="24"/>
        </w:rPr>
        <w:t xml:space="preserve">income </w:t>
      </w:r>
      <w:r w:rsidR="00FA1605" w:rsidRPr="00247E61">
        <w:rPr>
          <w:rFonts w:ascii="Georgia" w:hAnsi="Georgia" w:cs="Times New Roman"/>
          <w:sz w:val="24"/>
          <w:szCs w:val="24"/>
        </w:rPr>
        <w:t>inequality</w:t>
      </w:r>
      <w:r w:rsidR="00457B31" w:rsidRPr="00247E61">
        <w:rPr>
          <w:rFonts w:ascii="Georgia" w:hAnsi="Georgia" w:cs="Times New Roman"/>
          <w:sz w:val="24"/>
          <w:szCs w:val="24"/>
        </w:rPr>
        <w:t xml:space="preserve"> in 2015/16</w:t>
      </w:r>
      <w:r w:rsidR="00011E1B" w:rsidRPr="00247E61">
        <w:rPr>
          <w:rFonts w:ascii="Georgia" w:hAnsi="Georgia" w:cs="Times New Roman"/>
          <w:sz w:val="24"/>
          <w:szCs w:val="24"/>
        </w:rPr>
        <w:t xml:space="preserve">: </w:t>
      </w:r>
      <w:r w:rsidR="00457B31" w:rsidRPr="00247E61">
        <w:rPr>
          <w:rFonts w:ascii="Georgia" w:hAnsi="Georgia" w:cs="Times New Roman"/>
          <w:sz w:val="24"/>
          <w:szCs w:val="24"/>
        </w:rPr>
        <w:t xml:space="preserve">the Gini coefficient of disposable income </w:t>
      </w:r>
      <w:r w:rsidR="00ED7B78" w:rsidRPr="00247E61">
        <w:rPr>
          <w:rFonts w:ascii="Georgia" w:hAnsi="Georgia" w:cs="Times New Roman"/>
          <w:sz w:val="24"/>
          <w:szCs w:val="24"/>
        </w:rPr>
        <w:t xml:space="preserve">was 41.0, compared to a Gini coefficient of </w:t>
      </w:r>
      <w:r w:rsidR="00765CA1" w:rsidRPr="00247E61">
        <w:rPr>
          <w:rFonts w:ascii="Georgia" w:hAnsi="Georgia" w:cs="Times New Roman"/>
          <w:sz w:val="24"/>
          <w:szCs w:val="24"/>
        </w:rPr>
        <w:t>41.4 for net market income.</w:t>
      </w:r>
      <w:r w:rsidR="003D1B0E" w:rsidRPr="00247E61">
        <w:rPr>
          <w:rFonts w:ascii="Georgia" w:hAnsi="Georgia" w:cs="Times New Roman"/>
          <w:sz w:val="24"/>
          <w:szCs w:val="24"/>
        </w:rPr>
        <w:t xml:space="preserve"> </w:t>
      </w:r>
      <w:r w:rsidR="00F4754A" w:rsidRPr="00247E61">
        <w:rPr>
          <w:rFonts w:ascii="Georgia" w:hAnsi="Georgia" w:cs="Times New Roman"/>
          <w:sz w:val="24"/>
          <w:szCs w:val="24"/>
        </w:rPr>
        <w:t>Among the direct transfers, t</w:t>
      </w:r>
      <w:r w:rsidR="003D1B0E" w:rsidRPr="00247E61">
        <w:rPr>
          <w:rFonts w:ascii="Georgia" w:hAnsi="Georgia" w:cs="Times New Roman"/>
          <w:sz w:val="24"/>
          <w:szCs w:val="24"/>
        </w:rPr>
        <w:t xml:space="preserve">he </w:t>
      </w:r>
      <w:r w:rsidR="00493F1E" w:rsidRPr="00247E61">
        <w:rPr>
          <w:rFonts w:ascii="Georgia" w:hAnsi="Georgia" w:cs="Times New Roman"/>
          <w:sz w:val="24"/>
          <w:szCs w:val="24"/>
        </w:rPr>
        <w:t xml:space="preserve">OPTC transfer was most progressive and had the largest </w:t>
      </w:r>
      <w:r w:rsidR="00A63F25" w:rsidRPr="00247E61">
        <w:rPr>
          <w:rFonts w:ascii="Georgia" w:hAnsi="Georgia" w:cs="Times New Roman"/>
          <w:sz w:val="24"/>
          <w:szCs w:val="24"/>
        </w:rPr>
        <w:t xml:space="preserve">marginal </w:t>
      </w:r>
      <w:r w:rsidR="00493F1E" w:rsidRPr="00247E61">
        <w:rPr>
          <w:rFonts w:ascii="Georgia" w:hAnsi="Georgia" w:cs="Times New Roman"/>
          <w:sz w:val="24"/>
          <w:szCs w:val="24"/>
        </w:rPr>
        <w:t xml:space="preserve">effect on inequality, </w:t>
      </w:r>
      <w:r w:rsidR="00434AA4" w:rsidRPr="00247E61">
        <w:rPr>
          <w:rFonts w:ascii="Georgia" w:hAnsi="Georgia" w:cs="Times New Roman"/>
          <w:sz w:val="24"/>
          <w:szCs w:val="24"/>
        </w:rPr>
        <w:t xml:space="preserve">which was </w:t>
      </w:r>
      <w:r w:rsidR="00493F1E" w:rsidRPr="00247E61">
        <w:rPr>
          <w:rFonts w:ascii="Georgia" w:hAnsi="Georgia" w:cs="Times New Roman"/>
          <w:sz w:val="24"/>
          <w:szCs w:val="24"/>
        </w:rPr>
        <w:t>followed</w:t>
      </w:r>
      <w:r w:rsidR="008363A3" w:rsidRPr="00247E61">
        <w:rPr>
          <w:rFonts w:ascii="Georgia" w:hAnsi="Georgia" w:cs="Times New Roman"/>
          <w:sz w:val="24"/>
          <w:szCs w:val="24"/>
        </w:rPr>
        <w:t xml:space="preserve"> in importance</w:t>
      </w:r>
      <w:r w:rsidR="00B9644D" w:rsidRPr="00247E61">
        <w:rPr>
          <w:rFonts w:ascii="Georgia" w:hAnsi="Georgia" w:cs="Times New Roman"/>
          <w:sz w:val="24"/>
          <w:szCs w:val="24"/>
        </w:rPr>
        <w:t xml:space="preserve"> for reducing inequality</w:t>
      </w:r>
      <w:r w:rsidR="00493F1E" w:rsidRPr="00247E61">
        <w:rPr>
          <w:rFonts w:ascii="Georgia" w:hAnsi="Georgia" w:cs="Times New Roman"/>
          <w:sz w:val="24"/>
          <w:szCs w:val="24"/>
        </w:rPr>
        <w:t xml:space="preserve"> by </w:t>
      </w:r>
      <w:r w:rsidR="009757C8" w:rsidRPr="00247E61">
        <w:rPr>
          <w:rFonts w:ascii="Georgia" w:hAnsi="Georgia" w:cs="Times New Roman"/>
          <w:sz w:val="24"/>
          <w:szCs w:val="24"/>
        </w:rPr>
        <w:t>the HSNP and OVC transfers.</w:t>
      </w:r>
      <w:r w:rsidR="00153BA5" w:rsidRPr="00247E61">
        <w:rPr>
          <w:rFonts w:ascii="Georgia" w:hAnsi="Georgia" w:cs="Times New Roman"/>
          <w:sz w:val="24"/>
          <w:szCs w:val="24"/>
        </w:rPr>
        <w:t xml:space="preserve"> These direct transfers were also the most important ones for poverty reduction.</w:t>
      </w:r>
    </w:p>
    <w:p w14:paraId="2BEF6032" w14:textId="4921DFC2" w:rsidR="00910752" w:rsidRPr="00247E61" w:rsidRDefault="002108AA" w:rsidP="00910752">
      <w:pPr>
        <w:autoSpaceDE w:val="0"/>
        <w:autoSpaceDN w:val="0"/>
        <w:adjustRightInd w:val="0"/>
        <w:spacing w:after="120" w:line="240" w:lineRule="auto"/>
        <w:jc w:val="both"/>
        <w:rPr>
          <w:rFonts w:ascii="Georgia" w:hAnsi="Georgia" w:cs="Times New Roman"/>
          <w:sz w:val="24"/>
          <w:szCs w:val="24"/>
        </w:rPr>
      </w:pPr>
      <w:r w:rsidRPr="00247E61">
        <w:rPr>
          <w:rFonts w:ascii="Georgia" w:hAnsi="Georgia" w:cs="Times New Roman"/>
          <w:sz w:val="24"/>
          <w:szCs w:val="24"/>
        </w:rPr>
        <w:t>According to t</w:t>
      </w:r>
      <w:r w:rsidR="00B01104" w:rsidRPr="00247E61">
        <w:rPr>
          <w:rFonts w:ascii="Georgia" w:hAnsi="Georgia" w:cs="Times New Roman"/>
          <w:sz w:val="24"/>
          <w:szCs w:val="24"/>
        </w:rPr>
        <w:t xml:space="preserve">he fiscal incidence analysis of </w:t>
      </w:r>
      <w:r w:rsidRPr="00247E61">
        <w:rPr>
          <w:rFonts w:ascii="Georgia" w:hAnsi="Georgia" w:cs="Times New Roman"/>
          <w:sz w:val="24"/>
          <w:szCs w:val="24"/>
        </w:rPr>
        <w:t xml:space="preserve">Manda et al. (2020), </w:t>
      </w:r>
      <w:r w:rsidR="00CD7A4E" w:rsidRPr="00247E61">
        <w:rPr>
          <w:rFonts w:ascii="Georgia" w:hAnsi="Georgia" w:cs="Times New Roman"/>
          <w:sz w:val="24"/>
          <w:szCs w:val="24"/>
        </w:rPr>
        <w:t xml:space="preserve">the </w:t>
      </w:r>
      <w:r w:rsidR="00011E1B" w:rsidRPr="00247E61">
        <w:rPr>
          <w:rFonts w:ascii="Georgia" w:hAnsi="Georgia" w:cs="Times New Roman"/>
          <w:sz w:val="24"/>
          <w:szCs w:val="24"/>
        </w:rPr>
        <w:t>combined effect of indirect taxes and indirect subsidies on inequality</w:t>
      </w:r>
      <w:r w:rsidR="00CD7A4E" w:rsidRPr="00247E61">
        <w:rPr>
          <w:rFonts w:ascii="Georgia" w:hAnsi="Georgia" w:cs="Times New Roman"/>
          <w:sz w:val="24"/>
          <w:szCs w:val="24"/>
        </w:rPr>
        <w:t xml:space="preserve"> was also not very large</w:t>
      </w:r>
      <w:r w:rsidR="00011E1B" w:rsidRPr="00247E61">
        <w:rPr>
          <w:rFonts w:ascii="Georgia" w:hAnsi="Georgia" w:cs="Times New Roman"/>
          <w:sz w:val="24"/>
          <w:szCs w:val="24"/>
        </w:rPr>
        <w:t xml:space="preserve">: </w:t>
      </w:r>
      <w:r w:rsidR="00CD7A4E" w:rsidRPr="00247E61">
        <w:rPr>
          <w:rFonts w:ascii="Georgia" w:hAnsi="Georgia" w:cs="Times New Roman"/>
          <w:sz w:val="24"/>
          <w:szCs w:val="24"/>
        </w:rPr>
        <w:t>t</w:t>
      </w:r>
      <w:r w:rsidR="00074731" w:rsidRPr="00247E61">
        <w:rPr>
          <w:rFonts w:ascii="Georgia" w:hAnsi="Georgia" w:cs="Times New Roman"/>
          <w:sz w:val="24"/>
          <w:szCs w:val="24"/>
        </w:rPr>
        <w:t xml:space="preserve">he Gini coefficient of </w:t>
      </w:r>
      <w:r w:rsidR="002C46C5" w:rsidRPr="00247E61">
        <w:rPr>
          <w:rFonts w:ascii="Georgia" w:hAnsi="Georgia" w:cs="Times New Roman"/>
          <w:sz w:val="24"/>
          <w:szCs w:val="24"/>
        </w:rPr>
        <w:t>consumable income (40.2)</w:t>
      </w:r>
      <w:r w:rsidR="007359F6" w:rsidRPr="00247E61">
        <w:rPr>
          <w:rFonts w:ascii="Georgia" w:hAnsi="Georgia" w:cs="Times New Roman"/>
          <w:sz w:val="24"/>
          <w:szCs w:val="24"/>
        </w:rPr>
        <w:t xml:space="preserve"> was not much low</w:t>
      </w:r>
      <w:r w:rsidR="009764FA" w:rsidRPr="00247E61">
        <w:rPr>
          <w:rFonts w:ascii="Georgia" w:hAnsi="Georgia" w:cs="Times New Roman"/>
          <w:sz w:val="24"/>
          <w:szCs w:val="24"/>
        </w:rPr>
        <w:t>er</w:t>
      </w:r>
      <w:r w:rsidR="007359F6" w:rsidRPr="00247E61">
        <w:rPr>
          <w:rFonts w:ascii="Georgia" w:hAnsi="Georgia" w:cs="Times New Roman"/>
          <w:sz w:val="24"/>
          <w:szCs w:val="24"/>
        </w:rPr>
        <w:t xml:space="preserve"> than that of </w:t>
      </w:r>
      <w:r w:rsidR="00C006CD" w:rsidRPr="00247E61">
        <w:rPr>
          <w:rFonts w:ascii="Georgia" w:hAnsi="Georgia" w:cs="Times New Roman"/>
          <w:sz w:val="24"/>
          <w:szCs w:val="24"/>
        </w:rPr>
        <w:t xml:space="preserve">disposable income (41.0). </w:t>
      </w:r>
      <w:r w:rsidR="00230539" w:rsidRPr="00247E61">
        <w:rPr>
          <w:rFonts w:ascii="Georgia" w:hAnsi="Georgia" w:cs="Times New Roman"/>
          <w:sz w:val="24"/>
          <w:szCs w:val="24"/>
        </w:rPr>
        <w:t xml:space="preserve">As mentioned above, the effect of indirect taxation on income inequality </w:t>
      </w:r>
      <w:r w:rsidR="00123760" w:rsidRPr="00247E61">
        <w:rPr>
          <w:rFonts w:ascii="Georgia" w:hAnsi="Georgia" w:cs="Times New Roman"/>
          <w:sz w:val="24"/>
          <w:szCs w:val="24"/>
        </w:rPr>
        <w:t xml:space="preserve">was limited. </w:t>
      </w:r>
      <w:r w:rsidR="008F24F3" w:rsidRPr="00247E61">
        <w:rPr>
          <w:rFonts w:ascii="Georgia" w:hAnsi="Georgia" w:cs="Times New Roman"/>
          <w:sz w:val="24"/>
          <w:szCs w:val="24"/>
        </w:rPr>
        <w:t xml:space="preserve">The effect of </w:t>
      </w:r>
      <w:r w:rsidR="00320279" w:rsidRPr="00247E61">
        <w:rPr>
          <w:rFonts w:ascii="Georgia" w:hAnsi="Georgia" w:cs="Times New Roman"/>
          <w:sz w:val="24"/>
          <w:szCs w:val="24"/>
        </w:rPr>
        <w:t xml:space="preserve">indirect subsidies, such as </w:t>
      </w:r>
      <w:r w:rsidR="00554E44" w:rsidRPr="00247E61">
        <w:rPr>
          <w:rFonts w:ascii="Georgia" w:hAnsi="Georgia" w:cs="Times New Roman"/>
          <w:sz w:val="24"/>
          <w:szCs w:val="24"/>
        </w:rPr>
        <w:t>school feeding, was also limited.</w:t>
      </w:r>
      <w:r w:rsidR="00910752" w:rsidRPr="00247E61">
        <w:rPr>
          <w:rFonts w:ascii="Georgia" w:hAnsi="Georgia" w:cs="Times New Roman"/>
          <w:sz w:val="24"/>
          <w:szCs w:val="24"/>
          <w:highlight w:val="yellow"/>
        </w:rPr>
        <w:t xml:space="preserve"> </w:t>
      </w:r>
    </w:p>
    <w:p w14:paraId="0CE3C89D" w14:textId="2D4C8136" w:rsidR="005F3705" w:rsidRPr="00247E61" w:rsidRDefault="008F41BB" w:rsidP="00011E1B">
      <w:pPr>
        <w:autoSpaceDE w:val="0"/>
        <w:autoSpaceDN w:val="0"/>
        <w:adjustRightInd w:val="0"/>
        <w:spacing w:after="120" w:line="240" w:lineRule="auto"/>
        <w:jc w:val="both"/>
        <w:rPr>
          <w:rFonts w:ascii="Georgia" w:hAnsi="Georgia" w:cs="Times New Roman"/>
          <w:sz w:val="24"/>
          <w:szCs w:val="24"/>
        </w:rPr>
      </w:pPr>
      <w:r w:rsidRPr="00247E61">
        <w:rPr>
          <w:rFonts w:ascii="Georgia" w:hAnsi="Georgia" w:cs="Times New Roman"/>
          <w:sz w:val="24"/>
          <w:szCs w:val="24"/>
        </w:rPr>
        <w:t xml:space="preserve">Manda et al. (2020) found that the </w:t>
      </w:r>
      <w:r w:rsidR="00F25DB3" w:rsidRPr="00247E61">
        <w:rPr>
          <w:rFonts w:ascii="Georgia" w:hAnsi="Georgia" w:cs="Times New Roman"/>
          <w:sz w:val="24"/>
          <w:szCs w:val="24"/>
        </w:rPr>
        <w:t xml:space="preserve">largest </w:t>
      </w:r>
      <w:r w:rsidR="00C17729" w:rsidRPr="00247E61">
        <w:rPr>
          <w:rFonts w:ascii="Georgia" w:hAnsi="Georgia" w:cs="Times New Roman"/>
          <w:sz w:val="24"/>
          <w:szCs w:val="24"/>
        </w:rPr>
        <w:t>inequality</w:t>
      </w:r>
      <w:r w:rsidR="00543C8B" w:rsidRPr="00247E61">
        <w:rPr>
          <w:rFonts w:ascii="Georgia" w:hAnsi="Georgia" w:cs="Times New Roman"/>
          <w:sz w:val="24"/>
          <w:szCs w:val="24"/>
        </w:rPr>
        <w:t>-reducing</w:t>
      </w:r>
      <w:r w:rsidR="00C17729" w:rsidRPr="00247E61">
        <w:rPr>
          <w:rFonts w:ascii="Georgia" w:hAnsi="Georgia" w:cs="Times New Roman"/>
          <w:sz w:val="24"/>
          <w:szCs w:val="24"/>
        </w:rPr>
        <w:t xml:space="preserve"> effects of public social expenditure </w:t>
      </w:r>
      <w:r w:rsidR="00543C8B" w:rsidRPr="00247E61">
        <w:rPr>
          <w:rFonts w:ascii="Georgia" w:hAnsi="Georgia" w:cs="Times New Roman"/>
          <w:sz w:val="24"/>
          <w:szCs w:val="24"/>
        </w:rPr>
        <w:t xml:space="preserve">in 2015/16 </w:t>
      </w:r>
      <w:r w:rsidR="00A34B0B" w:rsidRPr="00247E61">
        <w:rPr>
          <w:rFonts w:ascii="Georgia" w:hAnsi="Georgia" w:cs="Times New Roman"/>
          <w:sz w:val="24"/>
          <w:szCs w:val="24"/>
        </w:rPr>
        <w:t>were those of</w:t>
      </w:r>
      <w:r w:rsidR="00C17729" w:rsidRPr="00247E61">
        <w:rPr>
          <w:rFonts w:ascii="Georgia" w:hAnsi="Georgia" w:cs="Times New Roman"/>
          <w:sz w:val="24"/>
          <w:szCs w:val="24"/>
        </w:rPr>
        <w:t xml:space="preserve"> the </w:t>
      </w:r>
      <w:r w:rsidR="000A60D2" w:rsidRPr="00247E61">
        <w:rPr>
          <w:rFonts w:ascii="Georgia" w:hAnsi="Georgia" w:cs="Times New Roman"/>
          <w:sz w:val="24"/>
          <w:szCs w:val="24"/>
        </w:rPr>
        <w:t xml:space="preserve">in-kind transfers </w:t>
      </w:r>
      <w:r w:rsidR="00A34B0B" w:rsidRPr="00247E61">
        <w:rPr>
          <w:rFonts w:ascii="Georgia" w:hAnsi="Georgia" w:cs="Times New Roman"/>
          <w:sz w:val="24"/>
          <w:szCs w:val="24"/>
        </w:rPr>
        <w:t xml:space="preserve">related to spending on public </w:t>
      </w:r>
      <w:r w:rsidR="00CC0A7E" w:rsidRPr="00247E61">
        <w:rPr>
          <w:rFonts w:ascii="Georgia" w:hAnsi="Georgia" w:cs="Times New Roman"/>
          <w:sz w:val="24"/>
          <w:szCs w:val="24"/>
        </w:rPr>
        <w:t>health and education</w:t>
      </w:r>
      <w:r w:rsidR="00D75019" w:rsidRPr="00247E61">
        <w:rPr>
          <w:rFonts w:ascii="Georgia" w:hAnsi="Georgia" w:cs="Times New Roman"/>
          <w:sz w:val="24"/>
          <w:szCs w:val="24"/>
        </w:rPr>
        <w:t xml:space="preserve"> (net of co-payments and user fees)</w:t>
      </w:r>
      <w:r w:rsidR="00CC0A7E" w:rsidRPr="00247E61">
        <w:rPr>
          <w:rFonts w:ascii="Georgia" w:hAnsi="Georgia" w:cs="Times New Roman"/>
          <w:sz w:val="24"/>
          <w:szCs w:val="24"/>
        </w:rPr>
        <w:t xml:space="preserve">. </w:t>
      </w:r>
      <w:r w:rsidR="00D75019" w:rsidRPr="00247E61">
        <w:rPr>
          <w:rFonts w:ascii="Georgia" w:hAnsi="Georgia" w:cs="Times New Roman"/>
          <w:sz w:val="24"/>
          <w:szCs w:val="24"/>
        </w:rPr>
        <w:t xml:space="preserve">The </w:t>
      </w:r>
      <w:r w:rsidR="006C4738" w:rsidRPr="00247E61">
        <w:rPr>
          <w:rFonts w:ascii="Georgia" w:hAnsi="Georgia" w:cs="Times New Roman"/>
          <w:sz w:val="24"/>
          <w:szCs w:val="24"/>
        </w:rPr>
        <w:t xml:space="preserve">Gini coefficient of final income was </w:t>
      </w:r>
      <w:r w:rsidR="006022AC" w:rsidRPr="00247E61">
        <w:rPr>
          <w:rFonts w:ascii="Georgia" w:hAnsi="Georgia" w:cs="Times New Roman"/>
          <w:sz w:val="24"/>
          <w:szCs w:val="24"/>
        </w:rPr>
        <w:t>35.7</w:t>
      </w:r>
      <w:r w:rsidR="00A03797" w:rsidRPr="00247E61">
        <w:rPr>
          <w:rFonts w:ascii="Georgia" w:hAnsi="Georgia" w:cs="Times New Roman"/>
          <w:sz w:val="24"/>
          <w:szCs w:val="24"/>
        </w:rPr>
        <w:t>, being</w:t>
      </w:r>
      <w:r w:rsidR="00482D01" w:rsidRPr="00247E61">
        <w:rPr>
          <w:rFonts w:ascii="Georgia" w:hAnsi="Georgia" w:cs="Times New Roman"/>
          <w:sz w:val="24"/>
          <w:szCs w:val="24"/>
        </w:rPr>
        <w:t xml:space="preserve"> 4.5 points lower than that of consumable income.</w:t>
      </w:r>
      <w:r w:rsidR="008263EA" w:rsidRPr="00247E61">
        <w:rPr>
          <w:rFonts w:ascii="Georgia" w:hAnsi="Georgia" w:cs="Times New Roman"/>
          <w:sz w:val="24"/>
          <w:szCs w:val="24"/>
        </w:rPr>
        <w:t xml:space="preserve"> </w:t>
      </w:r>
      <w:r w:rsidR="002513AE" w:rsidRPr="00247E61">
        <w:rPr>
          <w:rFonts w:ascii="Georgia" w:hAnsi="Georgia" w:cs="Times New Roman"/>
          <w:sz w:val="24"/>
          <w:szCs w:val="24"/>
        </w:rPr>
        <w:t xml:space="preserve">All net </w:t>
      </w:r>
      <w:r w:rsidR="00F25995" w:rsidRPr="00247E61">
        <w:rPr>
          <w:rFonts w:ascii="Georgia" w:hAnsi="Georgia" w:cs="Times New Roman"/>
          <w:sz w:val="24"/>
          <w:szCs w:val="24"/>
        </w:rPr>
        <w:t xml:space="preserve">in-kind </w:t>
      </w:r>
      <w:r w:rsidR="002513AE" w:rsidRPr="00247E61">
        <w:rPr>
          <w:rFonts w:ascii="Georgia" w:hAnsi="Georgia" w:cs="Times New Roman"/>
          <w:sz w:val="24"/>
          <w:szCs w:val="24"/>
        </w:rPr>
        <w:t xml:space="preserve">health and education transfers </w:t>
      </w:r>
      <w:r w:rsidR="00F25995" w:rsidRPr="00247E61">
        <w:rPr>
          <w:rFonts w:ascii="Georgia" w:hAnsi="Georgia" w:cs="Times New Roman"/>
          <w:sz w:val="24"/>
          <w:szCs w:val="24"/>
        </w:rPr>
        <w:t>were progressive</w:t>
      </w:r>
      <w:r w:rsidR="008132FA" w:rsidRPr="00247E61">
        <w:rPr>
          <w:rFonts w:ascii="Georgia" w:hAnsi="Georgia" w:cs="Times New Roman"/>
          <w:sz w:val="24"/>
          <w:szCs w:val="24"/>
        </w:rPr>
        <w:t>, except for spending on public post-secondary education</w:t>
      </w:r>
      <w:r w:rsidR="000D1015" w:rsidRPr="00247E61">
        <w:rPr>
          <w:rFonts w:ascii="Georgia" w:hAnsi="Georgia" w:cs="Times New Roman"/>
          <w:sz w:val="24"/>
          <w:szCs w:val="24"/>
        </w:rPr>
        <w:t xml:space="preserve">, which </w:t>
      </w:r>
      <w:r w:rsidR="00393681" w:rsidRPr="00247E61">
        <w:rPr>
          <w:rFonts w:ascii="Georgia" w:hAnsi="Georgia" w:cs="Times New Roman"/>
          <w:sz w:val="24"/>
          <w:szCs w:val="24"/>
        </w:rPr>
        <w:t xml:space="preserve">had a </w:t>
      </w:r>
      <w:r w:rsidR="000D1015" w:rsidRPr="00247E61">
        <w:rPr>
          <w:rFonts w:ascii="Georgia" w:hAnsi="Georgia" w:cs="Times New Roman"/>
          <w:sz w:val="24"/>
          <w:szCs w:val="24"/>
        </w:rPr>
        <w:t xml:space="preserve">direct </w:t>
      </w:r>
      <w:r w:rsidR="001373A3" w:rsidRPr="00247E61">
        <w:rPr>
          <w:rFonts w:ascii="Georgia" w:hAnsi="Georgia" w:cs="Times New Roman"/>
          <w:sz w:val="24"/>
          <w:szCs w:val="24"/>
        </w:rPr>
        <w:t xml:space="preserve">marginal </w:t>
      </w:r>
      <w:r w:rsidR="00BE2195" w:rsidRPr="00247E61">
        <w:rPr>
          <w:rFonts w:ascii="Georgia" w:hAnsi="Georgia" w:cs="Times New Roman"/>
          <w:sz w:val="24"/>
          <w:szCs w:val="24"/>
        </w:rPr>
        <w:t xml:space="preserve">increasing </w:t>
      </w:r>
      <w:r w:rsidR="001373A3" w:rsidRPr="00247E61">
        <w:rPr>
          <w:rFonts w:ascii="Georgia" w:hAnsi="Georgia" w:cs="Times New Roman"/>
          <w:sz w:val="24"/>
          <w:szCs w:val="24"/>
        </w:rPr>
        <w:t xml:space="preserve">effect on inequality </w:t>
      </w:r>
      <w:r w:rsidR="00BE2195" w:rsidRPr="00247E61">
        <w:rPr>
          <w:rFonts w:ascii="Georgia" w:hAnsi="Georgia" w:cs="Times New Roman"/>
          <w:sz w:val="24"/>
          <w:szCs w:val="24"/>
        </w:rPr>
        <w:t>as measured by the</w:t>
      </w:r>
      <w:r w:rsidR="001373A3" w:rsidRPr="00247E61">
        <w:rPr>
          <w:rFonts w:ascii="Georgia" w:hAnsi="Georgia" w:cs="Times New Roman"/>
          <w:sz w:val="24"/>
          <w:szCs w:val="24"/>
        </w:rPr>
        <w:t xml:space="preserve"> Gini coefficient. </w:t>
      </w:r>
      <w:r w:rsidR="008328B6" w:rsidRPr="00247E61">
        <w:rPr>
          <w:rFonts w:ascii="Georgia" w:hAnsi="Georgia" w:cs="Times New Roman"/>
          <w:sz w:val="24"/>
          <w:szCs w:val="24"/>
        </w:rPr>
        <w:t>The s</w:t>
      </w:r>
      <w:r w:rsidR="00AE748E" w:rsidRPr="00247E61">
        <w:rPr>
          <w:rFonts w:ascii="Georgia" w:hAnsi="Georgia" w:cs="Times New Roman"/>
          <w:sz w:val="24"/>
          <w:szCs w:val="24"/>
        </w:rPr>
        <w:t xml:space="preserve">pending </w:t>
      </w:r>
      <w:r w:rsidR="00217592" w:rsidRPr="00247E61">
        <w:rPr>
          <w:rFonts w:ascii="Georgia" w:hAnsi="Georgia" w:cs="Times New Roman"/>
          <w:sz w:val="24"/>
          <w:szCs w:val="24"/>
        </w:rPr>
        <w:t xml:space="preserve">in-kind </w:t>
      </w:r>
      <w:r w:rsidR="00AE748E" w:rsidRPr="00247E61">
        <w:rPr>
          <w:rFonts w:ascii="Georgia" w:hAnsi="Georgia" w:cs="Times New Roman"/>
          <w:sz w:val="24"/>
          <w:szCs w:val="24"/>
        </w:rPr>
        <w:t>on public education</w:t>
      </w:r>
      <w:r w:rsidR="0088018B" w:rsidRPr="00247E61">
        <w:rPr>
          <w:rFonts w:ascii="Georgia" w:hAnsi="Georgia" w:cs="Times New Roman"/>
          <w:sz w:val="24"/>
          <w:szCs w:val="24"/>
        </w:rPr>
        <w:t xml:space="preserve">, especially on primary education, </w:t>
      </w:r>
      <w:r w:rsidR="008328B6" w:rsidRPr="00247E61">
        <w:rPr>
          <w:rFonts w:ascii="Georgia" w:hAnsi="Georgia" w:cs="Times New Roman"/>
          <w:sz w:val="24"/>
          <w:szCs w:val="24"/>
        </w:rPr>
        <w:t xml:space="preserve">had larger inequality and poverty-reducing effects than the </w:t>
      </w:r>
      <w:r w:rsidR="00AC6D24" w:rsidRPr="00247E61">
        <w:rPr>
          <w:rFonts w:ascii="Georgia" w:hAnsi="Georgia" w:cs="Times New Roman"/>
          <w:sz w:val="24"/>
          <w:szCs w:val="24"/>
        </w:rPr>
        <w:t xml:space="preserve">expenditure in-kind on public health. </w:t>
      </w:r>
      <w:r w:rsidR="004F713B" w:rsidRPr="00247E61">
        <w:rPr>
          <w:rFonts w:ascii="Georgia" w:hAnsi="Georgia" w:cs="Times New Roman"/>
          <w:sz w:val="24"/>
          <w:szCs w:val="24"/>
        </w:rPr>
        <w:t xml:space="preserve">The net education transfers reduced the Gini coefficient by </w:t>
      </w:r>
      <w:r w:rsidR="00740C00" w:rsidRPr="00247E61">
        <w:rPr>
          <w:rFonts w:ascii="Georgia" w:hAnsi="Georgia" w:cs="Times New Roman"/>
          <w:sz w:val="24"/>
          <w:szCs w:val="24"/>
        </w:rPr>
        <w:t>more than 3 (percentage) points, while the reduction as a result of the net health transfers was less th</w:t>
      </w:r>
      <w:r w:rsidR="00FD435C" w:rsidRPr="00247E61">
        <w:rPr>
          <w:rFonts w:ascii="Georgia" w:hAnsi="Georgia" w:cs="Times New Roman"/>
          <w:sz w:val="24"/>
          <w:szCs w:val="24"/>
        </w:rPr>
        <w:t>a</w:t>
      </w:r>
      <w:r w:rsidR="00740C00" w:rsidRPr="00247E61">
        <w:rPr>
          <w:rFonts w:ascii="Georgia" w:hAnsi="Georgia" w:cs="Times New Roman"/>
          <w:sz w:val="24"/>
          <w:szCs w:val="24"/>
        </w:rPr>
        <w:t xml:space="preserve">n 1 </w:t>
      </w:r>
      <w:r w:rsidR="00566B17" w:rsidRPr="00247E61">
        <w:rPr>
          <w:rFonts w:ascii="Georgia" w:hAnsi="Georgia" w:cs="Times New Roman"/>
          <w:sz w:val="24"/>
          <w:szCs w:val="24"/>
        </w:rPr>
        <w:t>(percentage) point.</w:t>
      </w:r>
    </w:p>
    <w:p w14:paraId="16AE8764" w14:textId="6B5B706B" w:rsidR="00D857E9" w:rsidRPr="00247E61" w:rsidRDefault="005A426A" w:rsidP="0008632E">
      <w:pPr>
        <w:autoSpaceDE w:val="0"/>
        <w:autoSpaceDN w:val="0"/>
        <w:adjustRightInd w:val="0"/>
        <w:spacing w:after="120" w:line="240" w:lineRule="auto"/>
        <w:jc w:val="both"/>
        <w:rPr>
          <w:rFonts w:ascii="Georgia" w:hAnsi="Georgia" w:cs="Times New Roman"/>
          <w:b/>
          <w:bCs/>
          <w:i/>
          <w:iCs/>
          <w:sz w:val="24"/>
          <w:szCs w:val="24"/>
        </w:rPr>
      </w:pPr>
      <w:r w:rsidRPr="00247E61">
        <w:rPr>
          <w:rFonts w:ascii="Georgia" w:hAnsi="Georgia" w:cs="Times New Roman"/>
          <w:sz w:val="24"/>
          <w:szCs w:val="24"/>
        </w:rPr>
        <w:t>The finding</w:t>
      </w:r>
      <w:r w:rsidR="00110D65" w:rsidRPr="00247E61">
        <w:rPr>
          <w:rFonts w:ascii="Georgia" w:hAnsi="Georgia" w:cs="Times New Roman"/>
          <w:sz w:val="24"/>
          <w:szCs w:val="24"/>
        </w:rPr>
        <w:t xml:space="preserve">s </w:t>
      </w:r>
      <w:r w:rsidR="00DF0791" w:rsidRPr="00247E61">
        <w:rPr>
          <w:rFonts w:ascii="Georgia" w:hAnsi="Georgia" w:cs="Times New Roman"/>
          <w:sz w:val="24"/>
          <w:szCs w:val="24"/>
        </w:rPr>
        <w:t>of Manda et al. (2020) regarding the progressiveness of public spending on education are</w:t>
      </w:r>
      <w:r w:rsidR="001255D9" w:rsidRPr="00247E61">
        <w:rPr>
          <w:rFonts w:ascii="Georgia" w:hAnsi="Georgia" w:cs="Times New Roman"/>
          <w:sz w:val="24"/>
          <w:szCs w:val="24"/>
        </w:rPr>
        <w:t xml:space="preserve"> largely</w:t>
      </w:r>
      <w:r w:rsidR="00DF0791" w:rsidRPr="00247E61">
        <w:rPr>
          <w:rFonts w:ascii="Georgia" w:hAnsi="Georgia" w:cs="Times New Roman"/>
          <w:sz w:val="24"/>
          <w:szCs w:val="24"/>
        </w:rPr>
        <w:t xml:space="preserve"> in line </w:t>
      </w:r>
      <w:r w:rsidR="001255D9" w:rsidRPr="00247E61">
        <w:rPr>
          <w:rFonts w:ascii="Georgia" w:hAnsi="Georgia" w:cs="Times New Roman"/>
          <w:sz w:val="24"/>
          <w:szCs w:val="24"/>
        </w:rPr>
        <w:t xml:space="preserve">with those of Pape and Lange (2018), </w:t>
      </w:r>
      <w:r w:rsidR="00695D1D" w:rsidRPr="00247E61">
        <w:rPr>
          <w:rFonts w:ascii="Georgia" w:hAnsi="Georgia" w:cs="Times New Roman"/>
          <w:sz w:val="24"/>
          <w:szCs w:val="24"/>
        </w:rPr>
        <w:t xml:space="preserve">who found that </w:t>
      </w:r>
      <w:r w:rsidR="00325DF1" w:rsidRPr="00247E61">
        <w:rPr>
          <w:rFonts w:ascii="Georgia" w:hAnsi="Georgia" w:cs="Times New Roman"/>
          <w:sz w:val="24"/>
          <w:szCs w:val="24"/>
        </w:rPr>
        <w:t xml:space="preserve">overall </w:t>
      </w:r>
      <w:r w:rsidR="004F1DD0" w:rsidRPr="00247E61">
        <w:rPr>
          <w:rFonts w:ascii="Georgia" w:hAnsi="Georgia" w:cs="Times New Roman"/>
          <w:sz w:val="24"/>
          <w:szCs w:val="24"/>
        </w:rPr>
        <w:t xml:space="preserve">government </w:t>
      </w:r>
      <w:r w:rsidR="00325DF1" w:rsidRPr="00247E61">
        <w:rPr>
          <w:rFonts w:ascii="Georgia" w:hAnsi="Georgia" w:cs="Times New Roman"/>
          <w:sz w:val="24"/>
          <w:szCs w:val="24"/>
        </w:rPr>
        <w:t xml:space="preserve">spending on education </w:t>
      </w:r>
      <w:r w:rsidR="004F1DD0" w:rsidRPr="00247E61">
        <w:rPr>
          <w:rFonts w:ascii="Georgia" w:hAnsi="Georgia" w:cs="Times New Roman"/>
          <w:sz w:val="24"/>
          <w:szCs w:val="24"/>
        </w:rPr>
        <w:t xml:space="preserve">was progressive, while that on </w:t>
      </w:r>
      <w:r w:rsidR="0057605A" w:rsidRPr="00247E61">
        <w:rPr>
          <w:rFonts w:ascii="Georgia" w:hAnsi="Georgia" w:cs="Times New Roman"/>
          <w:sz w:val="24"/>
          <w:szCs w:val="24"/>
        </w:rPr>
        <w:t xml:space="preserve">public </w:t>
      </w:r>
      <w:r w:rsidR="004F1DD0" w:rsidRPr="00247E61">
        <w:rPr>
          <w:rFonts w:ascii="Georgia" w:hAnsi="Georgia" w:cs="Times New Roman"/>
          <w:sz w:val="24"/>
          <w:szCs w:val="24"/>
        </w:rPr>
        <w:t>universit</w:t>
      </w:r>
      <w:r w:rsidR="0057605A" w:rsidRPr="00247E61">
        <w:rPr>
          <w:rFonts w:ascii="Georgia" w:hAnsi="Georgia" w:cs="Times New Roman"/>
          <w:sz w:val="24"/>
          <w:szCs w:val="24"/>
        </w:rPr>
        <w:t>ies</w:t>
      </w:r>
      <w:r w:rsidR="004F1DD0" w:rsidRPr="00247E61">
        <w:rPr>
          <w:rFonts w:ascii="Georgia" w:hAnsi="Georgia" w:cs="Times New Roman"/>
          <w:sz w:val="24"/>
          <w:szCs w:val="24"/>
        </w:rPr>
        <w:t xml:space="preserve"> was regressive.</w:t>
      </w:r>
      <w:r w:rsidR="00081574" w:rsidRPr="00247E61">
        <w:rPr>
          <w:rFonts w:ascii="Georgia" w:hAnsi="Georgia" w:cs="Times New Roman"/>
          <w:sz w:val="24"/>
          <w:szCs w:val="24"/>
        </w:rPr>
        <w:t xml:space="preserve"> </w:t>
      </w:r>
      <w:r w:rsidR="00B2016B" w:rsidRPr="00247E61">
        <w:rPr>
          <w:rFonts w:ascii="Georgia" w:hAnsi="Georgia" w:cs="Times New Roman"/>
          <w:sz w:val="24"/>
          <w:szCs w:val="24"/>
        </w:rPr>
        <w:t xml:space="preserve">The findings of </w:t>
      </w:r>
      <w:r w:rsidR="00F03F9F" w:rsidRPr="00247E61">
        <w:rPr>
          <w:rFonts w:ascii="Georgia" w:hAnsi="Georgia" w:cs="Times New Roman"/>
          <w:sz w:val="24"/>
          <w:szCs w:val="24"/>
        </w:rPr>
        <w:t xml:space="preserve">Pape and Lange (2018) regarding the </w:t>
      </w:r>
      <w:r w:rsidR="00CE0F45" w:rsidRPr="00247E61">
        <w:rPr>
          <w:rFonts w:ascii="Georgia" w:hAnsi="Georgia" w:cs="Times New Roman"/>
          <w:sz w:val="24"/>
          <w:szCs w:val="24"/>
        </w:rPr>
        <w:t xml:space="preserve">degree of progressiveness of public health expenditure </w:t>
      </w:r>
      <w:r w:rsidR="007B2126" w:rsidRPr="00247E61">
        <w:rPr>
          <w:rFonts w:ascii="Georgia" w:hAnsi="Georgia" w:cs="Times New Roman"/>
          <w:sz w:val="24"/>
          <w:szCs w:val="24"/>
        </w:rPr>
        <w:t>in general also coincide with those of Manda et al. (2020). They f</w:t>
      </w:r>
      <w:r w:rsidR="00A36F55" w:rsidRPr="00247E61">
        <w:rPr>
          <w:rFonts w:ascii="Georgia" w:hAnsi="Georgia" w:cs="Times New Roman"/>
          <w:sz w:val="24"/>
          <w:szCs w:val="24"/>
        </w:rPr>
        <w:t>ound tha</w:t>
      </w:r>
      <w:r w:rsidR="00C60ABD" w:rsidRPr="00247E61">
        <w:rPr>
          <w:rFonts w:ascii="Georgia" w:hAnsi="Georgia" w:cs="Times New Roman"/>
          <w:sz w:val="24"/>
          <w:szCs w:val="24"/>
        </w:rPr>
        <w:t>t</w:t>
      </w:r>
      <w:r w:rsidR="00A36F55" w:rsidRPr="00247E61">
        <w:rPr>
          <w:rFonts w:ascii="Georgia" w:hAnsi="Georgia" w:cs="Times New Roman"/>
          <w:sz w:val="24"/>
          <w:szCs w:val="24"/>
        </w:rPr>
        <w:t xml:space="preserve"> </w:t>
      </w:r>
      <w:r w:rsidR="006726A0" w:rsidRPr="00247E61">
        <w:rPr>
          <w:rFonts w:ascii="Georgia" w:hAnsi="Georgia" w:cs="Times New Roman"/>
          <w:sz w:val="24"/>
          <w:szCs w:val="24"/>
        </w:rPr>
        <w:t xml:space="preserve">spending on </w:t>
      </w:r>
      <w:r w:rsidR="00A36F55" w:rsidRPr="00247E61">
        <w:rPr>
          <w:rFonts w:ascii="Georgia" w:hAnsi="Georgia" w:cs="Times New Roman"/>
          <w:sz w:val="24"/>
          <w:szCs w:val="24"/>
        </w:rPr>
        <w:t xml:space="preserve">government health centres and </w:t>
      </w:r>
      <w:r w:rsidR="00C60ABD" w:rsidRPr="00247E61">
        <w:rPr>
          <w:rFonts w:ascii="Georgia" w:hAnsi="Georgia" w:cs="Times New Roman"/>
          <w:sz w:val="24"/>
          <w:szCs w:val="24"/>
        </w:rPr>
        <w:t>government dispensaries w</w:t>
      </w:r>
      <w:r w:rsidR="00C03E99" w:rsidRPr="00247E61">
        <w:rPr>
          <w:rFonts w:ascii="Georgia" w:hAnsi="Georgia" w:cs="Times New Roman"/>
          <w:sz w:val="24"/>
          <w:szCs w:val="24"/>
        </w:rPr>
        <w:t>as more</w:t>
      </w:r>
      <w:r w:rsidR="00C60ABD" w:rsidRPr="00247E61">
        <w:rPr>
          <w:rFonts w:ascii="Georgia" w:hAnsi="Georgia" w:cs="Times New Roman"/>
          <w:sz w:val="24"/>
          <w:szCs w:val="24"/>
        </w:rPr>
        <w:t xml:space="preserve"> progressive</w:t>
      </w:r>
      <w:r w:rsidR="00C03E99" w:rsidRPr="00247E61">
        <w:rPr>
          <w:rFonts w:ascii="Georgia" w:hAnsi="Georgia" w:cs="Times New Roman"/>
          <w:sz w:val="24"/>
          <w:szCs w:val="24"/>
        </w:rPr>
        <w:t xml:space="preserve"> than spending on government hospitals</w:t>
      </w:r>
      <w:r w:rsidR="00F10B1D" w:rsidRPr="00247E61">
        <w:rPr>
          <w:rFonts w:ascii="Georgia" w:hAnsi="Georgia" w:cs="Times New Roman"/>
          <w:sz w:val="24"/>
          <w:szCs w:val="24"/>
        </w:rPr>
        <w:t>.</w:t>
      </w:r>
    </w:p>
    <w:p w14:paraId="4DA215DE" w14:textId="77777777" w:rsidR="001F6D9E" w:rsidRPr="00247E61" w:rsidRDefault="001F6D9E" w:rsidP="00681894">
      <w:pPr>
        <w:spacing w:before="240" w:after="120" w:line="240" w:lineRule="auto"/>
        <w:jc w:val="both"/>
        <w:rPr>
          <w:rFonts w:ascii="Georgia" w:hAnsi="Georgia" w:cs="Times New Roman"/>
          <w:b/>
          <w:bCs/>
          <w:i/>
          <w:iCs/>
          <w:sz w:val="24"/>
          <w:szCs w:val="24"/>
        </w:rPr>
      </w:pPr>
    </w:p>
    <w:p w14:paraId="1D6E00B2" w14:textId="0F57FD21" w:rsidR="001F6D9E" w:rsidRDefault="001F6D9E" w:rsidP="00681894">
      <w:pPr>
        <w:spacing w:before="240" w:after="120" w:line="240" w:lineRule="auto"/>
        <w:jc w:val="both"/>
        <w:rPr>
          <w:rFonts w:ascii="Georgia" w:hAnsi="Georgia" w:cs="Times New Roman"/>
          <w:b/>
          <w:bCs/>
          <w:i/>
          <w:iCs/>
          <w:sz w:val="24"/>
          <w:szCs w:val="24"/>
        </w:rPr>
      </w:pPr>
    </w:p>
    <w:p w14:paraId="3D969475" w14:textId="77777777" w:rsidR="00561E93" w:rsidRPr="00247E61" w:rsidRDefault="00561E93" w:rsidP="00681894">
      <w:pPr>
        <w:spacing w:before="240" w:after="120" w:line="240" w:lineRule="auto"/>
        <w:jc w:val="both"/>
        <w:rPr>
          <w:rFonts w:ascii="Georgia" w:hAnsi="Georgia" w:cs="Times New Roman"/>
          <w:b/>
          <w:bCs/>
          <w:i/>
          <w:iCs/>
          <w:sz w:val="24"/>
          <w:szCs w:val="24"/>
        </w:rPr>
      </w:pPr>
    </w:p>
    <w:p w14:paraId="23ADC4B7" w14:textId="5E2DC867" w:rsidR="00870F78" w:rsidRPr="00247E61" w:rsidRDefault="00870F78" w:rsidP="00681894">
      <w:pPr>
        <w:spacing w:before="240" w:after="120" w:line="240" w:lineRule="auto"/>
        <w:jc w:val="both"/>
        <w:rPr>
          <w:rFonts w:ascii="Georgia" w:hAnsi="Georgia" w:cs="Times New Roman"/>
          <w:b/>
          <w:bCs/>
          <w:i/>
          <w:iCs/>
          <w:sz w:val="24"/>
          <w:szCs w:val="24"/>
        </w:rPr>
      </w:pPr>
      <w:r w:rsidRPr="00247E61">
        <w:rPr>
          <w:rFonts w:ascii="Georgia" w:hAnsi="Georgia" w:cs="Times New Roman"/>
          <w:b/>
          <w:bCs/>
          <w:i/>
          <w:iCs/>
          <w:sz w:val="24"/>
          <w:szCs w:val="24"/>
        </w:rPr>
        <w:t>Education and health access and outcomes</w:t>
      </w:r>
    </w:p>
    <w:p w14:paraId="2BCFD353" w14:textId="74EBB9F7" w:rsidR="00A155E3" w:rsidRPr="00C94B20" w:rsidRDefault="0074692D" w:rsidP="00870F78">
      <w:pPr>
        <w:spacing w:after="120" w:line="240" w:lineRule="auto"/>
        <w:jc w:val="both"/>
        <w:rPr>
          <w:rFonts w:ascii="Georgia" w:hAnsi="Georgia" w:cs="Times New Roman"/>
          <w:bCs/>
          <w:sz w:val="24"/>
          <w:szCs w:val="24"/>
        </w:rPr>
      </w:pPr>
      <w:r w:rsidRPr="00247E61">
        <w:rPr>
          <w:rFonts w:ascii="Georgia" w:hAnsi="Georgia" w:cs="Times New Roman"/>
          <w:b/>
          <w:noProof/>
          <w:sz w:val="24"/>
          <w:szCs w:val="24"/>
          <w:lang w:val="en-US"/>
        </w:rPr>
        <mc:AlternateContent>
          <mc:Choice Requires="wps">
            <w:drawing>
              <wp:anchor distT="45720" distB="45720" distL="114300" distR="114300" simplePos="0" relativeHeight="251658248" behindDoc="0" locked="0" layoutInCell="1" allowOverlap="1" wp14:anchorId="7D105AB7" wp14:editId="497BC05D">
                <wp:simplePos x="0" y="0"/>
                <wp:positionH relativeFrom="margin">
                  <wp:posOffset>4293870</wp:posOffset>
                </wp:positionH>
                <wp:positionV relativeFrom="paragraph">
                  <wp:posOffset>608965</wp:posOffset>
                </wp:positionV>
                <wp:extent cx="2025650" cy="9525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952500"/>
                        </a:xfrm>
                        <a:prstGeom prst="rect">
                          <a:avLst/>
                        </a:prstGeom>
                        <a:solidFill>
                          <a:srgbClr val="FFFFFF"/>
                        </a:solidFill>
                        <a:ln w="9525">
                          <a:solidFill>
                            <a:srgbClr val="000000"/>
                          </a:solidFill>
                          <a:miter lim="800000"/>
                          <a:headEnd/>
                          <a:tailEnd/>
                        </a:ln>
                      </wps:spPr>
                      <wps:txbx>
                        <w:txbxContent>
                          <w:p w14:paraId="47D316BC" w14:textId="3C1B91F5" w:rsidR="003646EB" w:rsidRPr="005638E8" w:rsidRDefault="003646EB" w:rsidP="00F969F9">
                            <w:pPr>
                              <w:shd w:val="clear" w:color="auto" w:fill="FBE4D5" w:themeFill="accent2" w:themeFillTint="33"/>
                              <w:autoSpaceDE w:val="0"/>
                              <w:autoSpaceDN w:val="0"/>
                              <w:adjustRightInd w:val="0"/>
                              <w:spacing w:after="120" w:line="240" w:lineRule="auto"/>
                              <w:jc w:val="both"/>
                              <w:rPr>
                                <w:rFonts w:ascii="Georgia" w:hAnsi="Georgia" w:cs="Times New Roman"/>
                                <w:i/>
                                <w:iCs/>
                              </w:rPr>
                            </w:pPr>
                            <w:r w:rsidRPr="005638E8">
                              <w:rPr>
                                <w:rFonts w:ascii="Georgia" w:hAnsi="Georgia" w:cs="Times New Roman"/>
                                <w:i/>
                                <w:iCs/>
                              </w:rPr>
                              <w:t xml:space="preserve">Access to education and health by individuals hinges on the income and education of their parents. </w:t>
                            </w:r>
                          </w:p>
                          <w:p w14:paraId="13047DF5" w14:textId="518DCBDF" w:rsidR="003646EB" w:rsidRPr="005638E8" w:rsidRDefault="003646EB" w:rsidP="005638E8">
                            <w:pPr>
                              <w:shd w:val="clear" w:color="auto" w:fill="FBE4D5" w:themeFill="accent2" w:themeFillTint="33"/>
                              <w:autoSpaceDE w:val="0"/>
                              <w:autoSpaceDN w:val="0"/>
                              <w:adjustRightInd w:val="0"/>
                              <w:spacing w:after="0" w:line="240" w:lineRule="auto"/>
                              <w:rPr>
                                <w:rFonts w:ascii="Georgia" w:hAnsi="Georgia" w:cs="Times New Roman"/>
                              </w:rPr>
                            </w:pPr>
                            <w:r w:rsidRPr="005638E8">
                              <w:rPr>
                                <w:rFonts w:ascii="Georgia" w:hAnsi="Georgia" w:cs="Times New Roman"/>
                              </w:rPr>
                              <w:t>(KIPPRA, 2020: 220).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05AB7" id="_x0000_s1027" type="#_x0000_t202" style="position:absolute;left:0;text-align:left;margin-left:338.1pt;margin-top:47.95pt;width:159.5pt;height: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">
                <v:textbox>
                  <w:txbxContent>
                    <w:p w14:paraId="47D316BC" w14:textId="3C1B91F5" w:rsidR="003646EB" w:rsidRPr="005638E8" w:rsidRDefault="003646EB" w:rsidP="00F969F9">
                      <w:pPr>
                        <w:shd w:val="clear" w:color="auto" w:fill="FBE4D5" w:themeFill="accent2" w:themeFillTint="33"/>
                        <w:autoSpaceDE w:val="0"/>
                        <w:autoSpaceDN w:val="0"/>
                        <w:adjustRightInd w:val="0"/>
                        <w:spacing w:after="120" w:line="240" w:lineRule="auto"/>
                        <w:jc w:val="both"/>
                        <w:rPr>
                          <w:rFonts w:ascii="Georgia" w:hAnsi="Georgia" w:cs="Times New Roman"/>
                          <w:i/>
                          <w:iCs/>
                        </w:rPr>
                      </w:pPr>
                      <w:r w:rsidRPr="005638E8">
                        <w:rPr>
                          <w:rFonts w:ascii="Georgia" w:hAnsi="Georgia" w:cs="Times New Roman"/>
                          <w:i/>
                          <w:iCs/>
                        </w:rPr>
                        <w:t xml:space="preserve">Access to education and health by individuals hinges on the income and education of their parents. </w:t>
                      </w:r>
                    </w:p>
                    <w:p w14:paraId="13047DF5" w14:textId="518DCBDF" w:rsidR="003646EB" w:rsidRPr="005638E8" w:rsidRDefault="003646EB" w:rsidP="005638E8">
                      <w:pPr>
                        <w:shd w:val="clear" w:color="auto" w:fill="FBE4D5" w:themeFill="accent2" w:themeFillTint="33"/>
                        <w:autoSpaceDE w:val="0"/>
                        <w:autoSpaceDN w:val="0"/>
                        <w:adjustRightInd w:val="0"/>
                        <w:spacing w:after="0" w:line="240" w:lineRule="auto"/>
                        <w:rPr>
                          <w:rFonts w:ascii="Georgia" w:hAnsi="Georgia" w:cs="Times New Roman"/>
                        </w:rPr>
                      </w:pPr>
                      <w:r w:rsidRPr="005638E8">
                        <w:rPr>
                          <w:rFonts w:ascii="Georgia" w:hAnsi="Georgia" w:cs="Times New Roman"/>
                        </w:rPr>
                        <w:t>(KIPPRA, 2020: 220).</w:t>
                      </w:r>
                    </w:p>
                  </w:txbxContent>
                </v:textbox>
                <w10:wrap type="square" anchorx="margin"/>
              </v:shape>
            </w:pict>
          </mc:Fallback>
        </mc:AlternateContent>
      </w:r>
      <w:r w:rsidR="00382E1E" w:rsidRPr="00247E61">
        <w:rPr>
          <w:rFonts w:ascii="Georgia" w:hAnsi="Georgia" w:cs="Times New Roman"/>
          <w:b/>
          <w:sz w:val="24"/>
          <w:szCs w:val="24"/>
        </w:rPr>
        <w:t xml:space="preserve">Access to education is less widespread among poorer </w:t>
      </w:r>
      <w:r w:rsidR="000E0840" w:rsidRPr="00247E61">
        <w:rPr>
          <w:rFonts w:ascii="Georgia" w:hAnsi="Georgia" w:cs="Times New Roman"/>
          <w:b/>
          <w:sz w:val="24"/>
          <w:szCs w:val="24"/>
        </w:rPr>
        <w:t>individuals</w:t>
      </w:r>
      <w:r w:rsidR="000E0840" w:rsidRPr="00247E61">
        <w:rPr>
          <w:rFonts w:ascii="Georgia" w:hAnsi="Georgia" w:cs="Times New Roman"/>
          <w:bCs/>
          <w:sz w:val="24"/>
          <w:szCs w:val="24"/>
        </w:rPr>
        <w:t xml:space="preserve"> </w:t>
      </w:r>
      <w:r w:rsidR="00332EBA" w:rsidRPr="00247E61">
        <w:rPr>
          <w:rFonts w:ascii="Georgia" w:hAnsi="Georgia" w:cs="Times New Roman"/>
          <w:bCs/>
          <w:sz w:val="24"/>
          <w:szCs w:val="24"/>
        </w:rPr>
        <w:t xml:space="preserve">than among richer </w:t>
      </w:r>
      <w:r w:rsidR="00382E1E" w:rsidRPr="00247E61">
        <w:rPr>
          <w:rFonts w:ascii="Georgia" w:hAnsi="Georgia" w:cs="Times New Roman"/>
          <w:bCs/>
          <w:sz w:val="24"/>
          <w:szCs w:val="24"/>
        </w:rPr>
        <w:t xml:space="preserve">people. The percentage of </w:t>
      </w:r>
      <w:r w:rsidR="00202B64" w:rsidRPr="00247E61">
        <w:rPr>
          <w:rFonts w:ascii="Georgia" w:hAnsi="Georgia" w:cs="Times New Roman"/>
          <w:bCs/>
          <w:sz w:val="24"/>
          <w:szCs w:val="24"/>
        </w:rPr>
        <w:t xml:space="preserve">persons </w:t>
      </w:r>
      <w:r w:rsidR="00A405CF" w:rsidRPr="00247E61">
        <w:rPr>
          <w:rFonts w:ascii="Georgia" w:hAnsi="Georgia" w:cs="Times New Roman"/>
          <w:bCs/>
          <w:sz w:val="24"/>
          <w:szCs w:val="24"/>
        </w:rPr>
        <w:t xml:space="preserve">aged </w:t>
      </w:r>
      <w:r w:rsidR="00202B64" w:rsidRPr="00247E61">
        <w:rPr>
          <w:rFonts w:ascii="Georgia" w:hAnsi="Georgia" w:cs="Times New Roman"/>
          <w:bCs/>
          <w:sz w:val="24"/>
          <w:szCs w:val="24"/>
        </w:rPr>
        <w:t>3-</w:t>
      </w:r>
      <w:r w:rsidR="00A405CF" w:rsidRPr="00247E61">
        <w:rPr>
          <w:rFonts w:ascii="Georgia" w:hAnsi="Georgia" w:cs="Times New Roman"/>
          <w:bCs/>
          <w:sz w:val="24"/>
          <w:szCs w:val="24"/>
        </w:rPr>
        <w:t xml:space="preserve">24 years who </w:t>
      </w:r>
      <w:r w:rsidR="00FB3E00" w:rsidRPr="00247E61">
        <w:rPr>
          <w:rFonts w:ascii="Georgia" w:hAnsi="Georgia" w:cs="Times New Roman"/>
          <w:bCs/>
          <w:sz w:val="24"/>
          <w:szCs w:val="24"/>
        </w:rPr>
        <w:t>had</w:t>
      </w:r>
      <w:r w:rsidR="00A405CF" w:rsidRPr="00247E61">
        <w:rPr>
          <w:rFonts w:ascii="Georgia" w:hAnsi="Georgia" w:cs="Times New Roman"/>
          <w:bCs/>
          <w:sz w:val="24"/>
          <w:szCs w:val="24"/>
        </w:rPr>
        <w:t xml:space="preserve"> ever</w:t>
      </w:r>
      <w:r w:rsidR="00045167" w:rsidRPr="00247E61">
        <w:rPr>
          <w:rFonts w:ascii="Georgia" w:hAnsi="Georgia" w:cs="Times New Roman"/>
          <w:bCs/>
          <w:sz w:val="24"/>
          <w:szCs w:val="24"/>
        </w:rPr>
        <w:t xml:space="preserve"> </w:t>
      </w:r>
      <w:r w:rsidR="00A405CF" w:rsidRPr="00247E61">
        <w:rPr>
          <w:rFonts w:ascii="Georgia" w:hAnsi="Georgia" w:cs="Times New Roman"/>
          <w:bCs/>
          <w:sz w:val="24"/>
          <w:szCs w:val="24"/>
        </w:rPr>
        <w:t>attended school</w:t>
      </w:r>
      <w:r w:rsidR="00045167" w:rsidRPr="00247E61">
        <w:rPr>
          <w:rFonts w:ascii="Georgia" w:hAnsi="Georgia" w:cs="Times New Roman"/>
          <w:bCs/>
          <w:sz w:val="24"/>
          <w:szCs w:val="24"/>
        </w:rPr>
        <w:t xml:space="preserve"> was 85% in 2015/16</w:t>
      </w:r>
      <w:r w:rsidR="009E17FB" w:rsidRPr="00247E61">
        <w:rPr>
          <w:rFonts w:ascii="Georgia" w:hAnsi="Georgia" w:cs="Times New Roman"/>
          <w:bCs/>
          <w:sz w:val="24"/>
          <w:szCs w:val="24"/>
        </w:rPr>
        <w:t xml:space="preserve"> for the poorest quintile of the population</w:t>
      </w:r>
      <w:r w:rsidR="00045167" w:rsidRPr="00247E61">
        <w:rPr>
          <w:rFonts w:ascii="Georgia" w:hAnsi="Georgia" w:cs="Times New Roman"/>
          <w:bCs/>
          <w:sz w:val="24"/>
          <w:szCs w:val="24"/>
        </w:rPr>
        <w:t>, compared to 96%</w:t>
      </w:r>
      <w:r w:rsidR="00A405CF" w:rsidRPr="00247E61">
        <w:rPr>
          <w:rFonts w:ascii="Georgia" w:hAnsi="Georgia" w:cs="Times New Roman"/>
          <w:bCs/>
          <w:sz w:val="24"/>
          <w:szCs w:val="24"/>
        </w:rPr>
        <w:t xml:space="preserve"> </w:t>
      </w:r>
      <w:r w:rsidR="00647FD0" w:rsidRPr="00247E61">
        <w:rPr>
          <w:rFonts w:ascii="Georgia" w:hAnsi="Georgia" w:cs="Times New Roman"/>
          <w:bCs/>
          <w:sz w:val="24"/>
          <w:szCs w:val="24"/>
        </w:rPr>
        <w:t xml:space="preserve">for the richest quintile (KIPPRA, 2020: </w:t>
      </w:r>
      <w:r w:rsidR="00FB3E00" w:rsidRPr="00247E61">
        <w:rPr>
          <w:rFonts w:ascii="Georgia" w:hAnsi="Georgia" w:cs="Times New Roman"/>
          <w:bCs/>
          <w:sz w:val="24"/>
          <w:szCs w:val="24"/>
        </w:rPr>
        <w:t>F</w:t>
      </w:r>
      <w:r w:rsidR="00E837A4" w:rsidRPr="00247E61">
        <w:rPr>
          <w:rFonts w:ascii="Georgia" w:hAnsi="Georgia" w:cs="Times New Roman"/>
          <w:bCs/>
          <w:sz w:val="24"/>
          <w:szCs w:val="24"/>
        </w:rPr>
        <w:t>igure 9.1).</w:t>
      </w:r>
      <w:r w:rsidR="001F747A" w:rsidRPr="00247E61">
        <w:rPr>
          <w:rFonts w:ascii="Georgia" w:hAnsi="Georgia" w:cs="Times New Roman"/>
          <w:bCs/>
          <w:sz w:val="24"/>
          <w:szCs w:val="24"/>
        </w:rPr>
        <w:t xml:space="preserve"> </w:t>
      </w:r>
      <w:r w:rsidR="00B209DA" w:rsidRPr="00247E61">
        <w:rPr>
          <w:rFonts w:ascii="Georgia" w:hAnsi="Georgia" w:cs="Times New Roman"/>
          <w:bCs/>
          <w:sz w:val="24"/>
          <w:szCs w:val="24"/>
        </w:rPr>
        <w:t>Net attendance rat</w:t>
      </w:r>
      <w:r w:rsidR="00D115C3" w:rsidRPr="00247E61">
        <w:rPr>
          <w:rFonts w:ascii="Georgia" w:hAnsi="Georgia" w:cs="Times New Roman"/>
          <w:bCs/>
          <w:sz w:val="24"/>
          <w:szCs w:val="24"/>
        </w:rPr>
        <w:t>io</w:t>
      </w:r>
      <w:r w:rsidR="00B209DA" w:rsidRPr="00247E61">
        <w:rPr>
          <w:rFonts w:ascii="Georgia" w:hAnsi="Georgia" w:cs="Times New Roman"/>
          <w:bCs/>
          <w:sz w:val="24"/>
          <w:szCs w:val="24"/>
        </w:rPr>
        <w:t xml:space="preserve"> </w:t>
      </w:r>
      <w:r w:rsidR="00176DA9" w:rsidRPr="00247E61">
        <w:rPr>
          <w:rFonts w:ascii="Georgia" w:hAnsi="Georgia" w:cs="Times New Roman"/>
          <w:bCs/>
          <w:sz w:val="24"/>
          <w:szCs w:val="24"/>
        </w:rPr>
        <w:t xml:space="preserve">of the primary school-age population </w:t>
      </w:r>
      <w:r w:rsidR="00D20CB3" w:rsidRPr="00247E61">
        <w:rPr>
          <w:rFonts w:ascii="Georgia" w:hAnsi="Georgia" w:cs="Times New Roman"/>
          <w:bCs/>
          <w:sz w:val="24"/>
          <w:szCs w:val="24"/>
        </w:rPr>
        <w:t xml:space="preserve">varied from 75% for the poorest wealth quintile to 92% for the richest quintile </w:t>
      </w:r>
      <w:r w:rsidR="00BB4591" w:rsidRPr="00247E61">
        <w:rPr>
          <w:rFonts w:ascii="Georgia" w:hAnsi="Georgia" w:cs="Times New Roman"/>
          <w:bCs/>
          <w:sz w:val="24"/>
          <w:szCs w:val="24"/>
        </w:rPr>
        <w:t>in 20</w:t>
      </w:r>
      <w:r w:rsidR="00237770" w:rsidRPr="00247E61">
        <w:rPr>
          <w:rFonts w:ascii="Georgia" w:hAnsi="Georgia" w:cs="Times New Roman"/>
          <w:bCs/>
          <w:sz w:val="24"/>
          <w:szCs w:val="24"/>
        </w:rPr>
        <w:t>2</w:t>
      </w:r>
      <w:r w:rsidR="00BB4591" w:rsidRPr="00247E61">
        <w:rPr>
          <w:rFonts w:ascii="Georgia" w:hAnsi="Georgia" w:cs="Times New Roman"/>
          <w:bCs/>
          <w:sz w:val="24"/>
          <w:szCs w:val="24"/>
        </w:rPr>
        <w:t>2</w:t>
      </w:r>
      <w:r w:rsidR="00237770" w:rsidRPr="00247E61">
        <w:rPr>
          <w:rFonts w:ascii="Georgia" w:hAnsi="Georgia" w:cs="Times New Roman"/>
          <w:bCs/>
          <w:sz w:val="24"/>
          <w:szCs w:val="24"/>
        </w:rPr>
        <w:t>; the equivalent</w:t>
      </w:r>
      <w:r w:rsidR="00D07781" w:rsidRPr="00247E61">
        <w:rPr>
          <w:rFonts w:ascii="Georgia" w:hAnsi="Georgia" w:cs="Times New Roman"/>
          <w:bCs/>
          <w:sz w:val="24"/>
          <w:szCs w:val="24"/>
        </w:rPr>
        <w:t xml:space="preserve"> rates for secondary education </w:t>
      </w:r>
      <w:r w:rsidR="00F130C8" w:rsidRPr="00247E61">
        <w:rPr>
          <w:rFonts w:ascii="Georgia" w:hAnsi="Georgia" w:cs="Times New Roman"/>
          <w:bCs/>
          <w:sz w:val="24"/>
          <w:szCs w:val="24"/>
        </w:rPr>
        <w:t>v</w:t>
      </w:r>
      <w:r w:rsidR="00D07781" w:rsidRPr="00247E61">
        <w:rPr>
          <w:rFonts w:ascii="Georgia" w:hAnsi="Georgia" w:cs="Times New Roman"/>
          <w:bCs/>
          <w:sz w:val="24"/>
          <w:szCs w:val="24"/>
        </w:rPr>
        <w:t>ar</w:t>
      </w:r>
      <w:r w:rsidR="00F130C8" w:rsidRPr="00247E61">
        <w:rPr>
          <w:rFonts w:ascii="Georgia" w:hAnsi="Georgia" w:cs="Times New Roman"/>
          <w:bCs/>
          <w:sz w:val="24"/>
          <w:szCs w:val="24"/>
        </w:rPr>
        <w:t>i</w:t>
      </w:r>
      <w:r w:rsidR="00D07781" w:rsidRPr="00247E61">
        <w:rPr>
          <w:rFonts w:ascii="Georgia" w:hAnsi="Georgia" w:cs="Times New Roman"/>
          <w:bCs/>
          <w:sz w:val="24"/>
          <w:szCs w:val="24"/>
        </w:rPr>
        <w:t>e</w:t>
      </w:r>
      <w:r w:rsidR="00F130C8" w:rsidRPr="00247E61">
        <w:rPr>
          <w:rFonts w:ascii="Georgia" w:hAnsi="Georgia" w:cs="Times New Roman"/>
          <w:bCs/>
          <w:sz w:val="24"/>
          <w:szCs w:val="24"/>
        </w:rPr>
        <w:t>d</w:t>
      </w:r>
      <w:r w:rsidR="00CA2F42" w:rsidRPr="00247E61">
        <w:rPr>
          <w:rFonts w:ascii="Georgia" w:hAnsi="Georgia" w:cs="Times New Roman"/>
          <w:bCs/>
          <w:sz w:val="24"/>
          <w:szCs w:val="24"/>
        </w:rPr>
        <w:t xml:space="preserve"> from</w:t>
      </w:r>
      <w:r w:rsidR="00D07781" w:rsidRPr="00247E61">
        <w:rPr>
          <w:rFonts w:ascii="Georgia" w:hAnsi="Georgia" w:cs="Times New Roman"/>
          <w:bCs/>
          <w:sz w:val="24"/>
          <w:szCs w:val="24"/>
        </w:rPr>
        <w:t xml:space="preserve"> 27% </w:t>
      </w:r>
      <w:r w:rsidR="00CA2F42" w:rsidRPr="00247E61">
        <w:rPr>
          <w:rFonts w:ascii="Georgia" w:hAnsi="Georgia" w:cs="Times New Roman"/>
          <w:bCs/>
          <w:sz w:val="24"/>
          <w:szCs w:val="24"/>
        </w:rPr>
        <w:t>to</w:t>
      </w:r>
      <w:r w:rsidR="00D07781" w:rsidRPr="00247E61">
        <w:rPr>
          <w:rFonts w:ascii="Georgia" w:hAnsi="Georgia" w:cs="Times New Roman"/>
          <w:bCs/>
          <w:sz w:val="24"/>
          <w:szCs w:val="24"/>
        </w:rPr>
        <w:t xml:space="preserve"> 69% (KNBS, 2023c: </w:t>
      </w:r>
      <w:r w:rsidR="00537FC5" w:rsidRPr="00247E61">
        <w:rPr>
          <w:rFonts w:ascii="Georgia" w:hAnsi="Georgia" w:cs="Times New Roman"/>
          <w:bCs/>
          <w:sz w:val="24"/>
          <w:szCs w:val="24"/>
        </w:rPr>
        <w:t>Table 2.12).</w:t>
      </w:r>
      <w:r w:rsidR="002E30B4" w:rsidRPr="009C5581">
        <w:rPr>
          <w:rFonts w:ascii="Times New Roman" w:hAnsi="Times New Roman" w:cs="Times New Roman"/>
          <w:bCs/>
        </w:rPr>
        <w:t xml:space="preserve"> </w:t>
      </w:r>
      <w:r w:rsidR="002E30B4" w:rsidRPr="00C94B20">
        <w:rPr>
          <w:rFonts w:ascii="Georgia" w:hAnsi="Georgia" w:cs="Times New Roman"/>
          <w:bCs/>
          <w:sz w:val="24"/>
          <w:szCs w:val="24"/>
        </w:rPr>
        <w:t>The secondary-school net attendance rat</w:t>
      </w:r>
      <w:r w:rsidR="00D115C3" w:rsidRPr="00C94B20">
        <w:rPr>
          <w:rFonts w:ascii="Georgia" w:hAnsi="Georgia" w:cs="Times New Roman"/>
          <w:bCs/>
          <w:sz w:val="24"/>
          <w:szCs w:val="24"/>
        </w:rPr>
        <w:t>io</w:t>
      </w:r>
      <w:r w:rsidR="002E30B4" w:rsidRPr="00C94B20">
        <w:rPr>
          <w:rFonts w:ascii="Georgia" w:hAnsi="Georgia" w:cs="Times New Roman"/>
          <w:bCs/>
          <w:sz w:val="24"/>
          <w:szCs w:val="24"/>
        </w:rPr>
        <w:t xml:space="preserve"> </w:t>
      </w:r>
      <w:r w:rsidR="004F4878" w:rsidRPr="00C94B20">
        <w:rPr>
          <w:rFonts w:ascii="Georgia" w:hAnsi="Georgia" w:cs="Times New Roman"/>
          <w:bCs/>
          <w:sz w:val="24"/>
          <w:szCs w:val="24"/>
        </w:rPr>
        <w:t>of girls were consistently higher than for boys</w:t>
      </w:r>
      <w:r w:rsidR="00F130C8" w:rsidRPr="00C94B20">
        <w:rPr>
          <w:rFonts w:ascii="Georgia" w:hAnsi="Georgia" w:cs="Times New Roman"/>
          <w:bCs/>
          <w:sz w:val="24"/>
          <w:szCs w:val="24"/>
        </w:rPr>
        <w:t>, while</w:t>
      </w:r>
      <w:r w:rsidR="00CA2F42" w:rsidRPr="00C94B20">
        <w:rPr>
          <w:rFonts w:ascii="Georgia" w:hAnsi="Georgia" w:cs="Times New Roman"/>
          <w:bCs/>
          <w:sz w:val="24"/>
          <w:szCs w:val="24"/>
        </w:rPr>
        <w:t xml:space="preserve"> there were only marginal </w:t>
      </w:r>
      <w:r w:rsidR="006C5D8E" w:rsidRPr="00C94B20">
        <w:rPr>
          <w:rFonts w:ascii="Georgia" w:hAnsi="Georgia" w:cs="Times New Roman"/>
          <w:bCs/>
          <w:sz w:val="24"/>
          <w:szCs w:val="24"/>
        </w:rPr>
        <w:t>male-female differences in the case of primary education</w:t>
      </w:r>
      <w:r w:rsidR="0042401F" w:rsidRPr="00C94B20">
        <w:rPr>
          <w:rFonts w:ascii="Georgia" w:hAnsi="Georgia" w:cs="Times New Roman"/>
          <w:bCs/>
          <w:sz w:val="24"/>
          <w:szCs w:val="24"/>
        </w:rPr>
        <w:t xml:space="preserve"> (ibid.).</w:t>
      </w:r>
      <w:r w:rsidR="00F130C8" w:rsidRPr="00C94B20">
        <w:rPr>
          <w:rFonts w:ascii="Georgia" w:hAnsi="Georgia" w:cs="Times New Roman"/>
          <w:bCs/>
          <w:sz w:val="24"/>
          <w:szCs w:val="24"/>
        </w:rPr>
        <w:t xml:space="preserve"> </w:t>
      </w:r>
      <w:r w:rsidR="00EE2397" w:rsidRPr="00C94B20">
        <w:rPr>
          <w:rFonts w:ascii="Georgia" w:hAnsi="Georgia" w:cs="Times New Roman"/>
          <w:bCs/>
          <w:sz w:val="24"/>
          <w:szCs w:val="24"/>
        </w:rPr>
        <w:t xml:space="preserve">Across </w:t>
      </w:r>
      <w:r w:rsidR="00ED598E" w:rsidRPr="00C94B20">
        <w:rPr>
          <w:rFonts w:ascii="Georgia" w:hAnsi="Georgia" w:cs="Times New Roman"/>
          <w:bCs/>
          <w:sz w:val="24"/>
          <w:szCs w:val="24"/>
        </w:rPr>
        <w:t xml:space="preserve">the 47 </w:t>
      </w:r>
      <w:r w:rsidR="00EE2397" w:rsidRPr="00C94B20">
        <w:rPr>
          <w:rFonts w:ascii="Georgia" w:hAnsi="Georgia" w:cs="Times New Roman"/>
          <w:bCs/>
          <w:sz w:val="24"/>
          <w:szCs w:val="24"/>
        </w:rPr>
        <w:t xml:space="preserve">counties, </w:t>
      </w:r>
      <w:r w:rsidR="00994404" w:rsidRPr="00C94B20">
        <w:rPr>
          <w:rFonts w:ascii="Georgia" w:hAnsi="Georgia" w:cs="Times New Roman"/>
          <w:bCs/>
          <w:sz w:val="24"/>
          <w:szCs w:val="24"/>
        </w:rPr>
        <w:t>the primary school net attendance rat</w:t>
      </w:r>
      <w:r w:rsidR="00D115C3" w:rsidRPr="00C94B20">
        <w:rPr>
          <w:rFonts w:ascii="Georgia" w:hAnsi="Georgia" w:cs="Times New Roman"/>
          <w:bCs/>
          <w:sz w:val="24"/>
          <w:szCs w:val="24"/>
        </w:rPr>
        <w:t>io</w:t>
      </w:r>
      <w:r w:rsidR="00994404" w:rsidRPr="00C94B20">
        <w:rPr>
          <w:rFonts w:ascii="Georgia" w:hAnsi="Georgia" w:cs="Times New Roman"/>
          <w:bCs/>
          <w:sz w:val="24"/>
          <w:szCs w:val="24"/>
        </w:rPr>
        <w:t xml:space="preserve"> </w:t>
      </w:r>
      <w:r w:rsidR="004246C7" w:rsidRPr="00C94B20">
        <w:rPr>
          <w:rFonts w:ascii="Georgia" w:hAnsi="Georgia" w:cs="Times New Roman"/>
          <w:bCs/>
          <w:sz w:val="24"/>
          <w:szCs w:val="24"/>
        </w:rPr>
        <w:t xml:space="preserve">was lowest </w:t>
      </w:r>
      <w:r w:rsidR="00B81841" w:rsidRPr="00C94B20">
        <w:rPr>
          <w:rFonts w:ascii="Georgia" w:hAnsi="Georgia" w:cs="Times New Roman"/>
          <w:bCs/>
          <w:sz w:val="24"/>
          <w:szCs w:val="24"/>
        </w:rPr>
        <w:t xml:space="preserve">in Turkana (44%) and highest in </w:t>
      </w:r>
      <w:r w:rsidR="006636C8" w:rsidRPr="00C94B20">
        <w:rPr>
          <w:rFonts w:ascii="Georgia" w:hAnsi="Georgia" w:cs="Times New Roman"/>
          <w:bCs/>
          <w:sz w:val="24"/>
          <w:szCs w:val="24"/>
        </w:rPr>
        <w:t>Kiambu (</w:t>
      </w:r>
      <w:r w:rsidR="00651CB4" w:rsidRPr="00C94B20">
        <w:rPr>
          <w:rFonts w:ascii="Georgia" w:hAnsi="Georgia" w:cs="Times New Roman"/>
          <w:bCs/>
          <w:sz w:val="24"/>
          <w:szCs w:val="24"/>
        </w:rPr>
        <w:t>94%)</w:t>
      </w:r>
      <w:r w:rsidR="0089274A" w:rsidRPr="00C94B20">
        <w:rPr>
          <w:rFonts w:ascii="Georgia" w:hAnsi="Georgia" w:cs="Times New Roman"/>
          <w:bCs/>
          <w:sz w:val="24"/>
          <w:szCs w:val="24"/>
        </w:rPr>
        <w:t xml:space="preserve"> in 2022, whereas the secondary school net attendance ratio</w:t>
      </w:r>
      <w:r w:rsidR="00F75EB4" w:rsidRPr="00C94B20">
        <w:rPr>
          <w:rFonts w:ascii="Georgia" w:hAnsi="Georgia" w:cs="Times New Roman"/>
          <w:bCs/>
          <w:sz w:val="24"/>
          <w:szCs w:val="24"/>
        </w:rPr>
        <w:t xml:space="preserve"> varied from only 17% in Tana River to </w:t>
      </w:r>
      <w:r w:rsidR="007533C3" w:rsidRPr="00C94B20">
        <w:rPr>
          <w:rFonts w:ascii="Georgia" w:hAnsi="Georgia" w:cs="Times New Roman"/>
          <w:bCs/>
          <w:sz w:val="24"/>
          <w:szCs w:val="24"/>
        </w:rPr>
        <w:t xml:space="preserve">73% in </w:t>
      </w:r>
      <w:r w:rsidR="00345130" w:rsidRPr="00C94B20">
        <w:rPr>
          <w:rFonts w:ascii="Georgia" w:hAnsi="Georgia" w:cs="Times New Roman"/>
          <w:bCs/>
          <w:sz w:val="24"/>
          <w:szCs w:val="24"/>
        </w:rPr>
        <w:t>Kirinyaga (KNBS, 2023c: Table 2.12C).</w:t>
      </w:r>
      <w:r w:rsidR="006F1D1B" w:rsidRPr="00C94B20">
        <w:rPr>
          <w:rFonts w:ascii="Georgia" w:hAnsi="Georgia" w:cs="Times New Roman"/>
          <w:bCs/>
          <w:sz w:val="24"/>
          <w:szCs w:val="24"/>
        </w:rPr>
        <w:t xml:space="preserve"> </w:t>
      </w:r>
      <w:r w:rsidR="005A63BF" w:rsidRPr="00C94B20">
        <w:rPr>
          <w:rFonts w:ascii="Georgia" w:hAnsi="Georgia" w:cs="Times New Roman"/>
          <w:bCs/>
          <w:sz w:val="24"/>
          <w:szCs w:val="24"/>
        </w:rPr>
        <w:t xml:space="preserve">It must be noted that </w:t>
      </w:r>
      <w:r w:rsidR="0035604F" w:rsidRPr="00C94B20">
        <w:rPr>
          <w:rFonts w:ascii="Georgia" w:hAnsi="Georgia" w:cs="Times New Roman"/>
          <w:bCs/>
          <w:sz w:val="24"/>
          <w:szCs w:val="24"/>
        </w:rPr>
        <w:t>persons</w:t>
      </w:r>
      <w:r w:rsidR="008A1169" w:rsidRPr="00C94B20">
        <w:rPr>
          <w:rFonts w:ascii="Georgia" w:hAnsi="Georgia" w:cs="Times New Roman"/>
          <w:bCs/>
          <w:sz w:val="24"/>
          <w:szCs w:val="24"/>
        </w:rPr>
        <w:t xml:space="preserve"> with disabilities are also disadvantaged in terms of school attendance</w:t>
      </w:r>
      <w:r w:rsidR="001E4C7B" w:rsidRPr="00C94B20">
        <w:rPr>
          <w:rFonts w:ascii="Georgia" w:hAnsi="Georgia" w:cs="Times New Roman"/>
          <w:bCs/>
          <w:sz w:val="24"/>
          <w:szCs w:val="24"/>
        </w:rPr>
        <w:t>, especially in poorer counties</w:t>
      </w:r>
      <w:r w:rsidR="008A1169" w:rsidRPr="00C94B20">
        <w:rPr>
          <w:rFonts w:ascii="Georgia" w:hAnsi="Georgia" w:cs="Times New Roman"/>
          <w:bCs/>
          <w:sz w:val="24"/>
          <w:szCs w:val="24"/>
        </w:rPr>
        <w:t xml:space="preserve"> (Onsomu et al., 2022: 61</w:t>
      </w:r>
      <w:r w:rsidR="00E60D96" w:rsidRPr="00C94B20">
        <w:rPr>
          <w:rFonts w:ascii="Georgia" w:hAnsi="Georgia" w:cs="Times New Roman"/>
          <w:bCs/>
          <w:sz w:val="24"/>
          <w:szCs w:val="24"/>
        </w:rPr>
        <w:t>-62</w:t>
      </w:r>
      <w:r w:rsidR="001E4C7B" w:rsidRPr="00C94B20">
        <w:rPr>
          <w:rFonts w:ascii="Georgia" w:hAnsi="Georgia" w:cs="Times New Roman"/>
          <w:bCs/>
          <w:sz w:val="24"/>
          <w:szCs w:val="24"/>
        </w:rPr>
        <w:t>, 70</w:t>
      </w:r>
      <w:r w:rsidR="008A1169" w:rsidRPr="00C94B20">
        <w:rPr>
          <w:rFonts w:ascii="Georgia" w:hAnsi="Georgia" w:cs="Times New Roman"/>
          <w:bCs/>
          <w:sz w:val="24"/>
          <w:szCs w:val="24"/>
        </w:rPr>
        <w:t>).</w:t>
      </w:r>
      <w:r w:rsidR="001A1156" w:rsidRPr="00C94B20">
        <w:rPr>
          <w:rFonts w:ascii="Georgia" w:hAnsi="Georgia" w:cs="Times New Roman"/>
          <w:bCs/>
          <w:sz w:val="24"/>
          <w:szCs w:val="24"/>
        </w:rPr>
        <w:t xml:space="preserve"> </w:t>
      </w:r>
      <w:r w:rsidR="0082125A" w:rsidRPr="00C94B20">
        <w:rPr>
          <w:rFonts w:ascii="Georgia" w:hAnsi="Georgia" w:cs="Times New Roman"/>
          <w:bCs/>
          <w:sz w:val="24"/>
          <w:szCs w:val="24"/>
        </w:rPr>
        <w:t xml:space="preserve">Different rates of school attendance </w:t>
      </w:r>
      <w:r w:rsidR="00AB5752" w:rsidRPr="00C94B20">
        <w:rPr>
          <w:rFonts w:ascii="Georgia" w:hAnsi="Georgia" w:cs="Times New Roman"/>
          <w:bCs/>
          <w:sz w:val="24"/>
          <w:szCs w:val="24"/>
        </w:rPr>
        <w:t xml:space="preserve">tend to </w:t>
      </w:r>
      <w:r w:rsidR="0082125A" w:rsidRPr="00C94B20">
        <w:rPr>
          <w:rFonts w:ascii="Georgia" w:hAnsi="Georgia" w:cs="Times New Roman"/>
          <w:bCs/>
          <w:sz w:val="24"/>
          <w:szCs w:val="24"/>
        </w:rPr>
        <w:t>lead to d</w:t>
      </w:r>
      <w:r w:rsidR="001A1156" w:rsidRPr="00C94B20">
        <w:rPr>
          <w:rFonts w:ascii="Georgia" w:hAnsi="Georgia" w:cs="Times New Roman"/>
          <w:bCs/>
          <w:sz w:val="24"/>
          <w:szCs w:val="24"/>
        </w:rPr>
        <w:t>ifferences in educational attainment</w:t>
      </w:r>
      <w:r w:rsidR="00745447" w:rsidRPr="00C94B20">
        <w:rPr>
          <w:rFonts w:ascii="Georgia" w:hAnsi="Georgia" w:cs="Times New Roman"/>
          <w:bCs/>
          <w:sz w:val="24"/>
          <w:szCs w:val="24"/>
        </w:rPr>
        <w:t xml:space="preserve">. </w:t>
      </w:r>
      <w:r w:rsidR="00703BEE" w:rsidRPr="00C94B20">
        <w:rPr>
          <w:rFonts w:ascii="Georgia" w:hAnsi="Georgia" w:cs="Times New Roman"/>
          <w:bCs/>
          <w:sz w:val="24"/>
          <w:szCs w:val="24"/>
        </w:rPr>
        <w:t xml:space="preserve">Hence, inequality </w:t>
      </w:r>
      <w:r w:rsidR="00A07EC6" w:rsidRPr="00C94B20">
        <w:rPr>
          <w:rFonts w:ascii="Georgia" w:hAnsi="Georgia" w:cs="Times New Roman"/>
          <w:bCs/>
          <w:sz w:val="24"/>
          <w:szCs w:val="24"/>
        </w:rPr>
        <w:t>o</w:t>
      </w:r>
      <w:r w:rsidR="00703BEE" w:rsidRPr="00C94B20">
        <w:rPr>
          <w:rFonts w:ascii="Georgia" w:hAnsi="Georgia" w:cs="Times New Roman"/>
          <w:bCs/>
          <w:sz w:val="24"/>
          <w:szCs w:val="24"/>
        </w:rPr>
        <w:t xml:space="preserve">f opportunities tends to result in </w:t>
      </w:r>
      <w:r w:rsidR="007678F8" w:rsidRPr="00C94B20">
        <w:rPr>
          <w:rFonts w:ascii="Georgia" w:hAnsi="Georgia" w:cs="Times New Roman"/>
          <w:bCs/>
          <w:sz w:val="24"/>
          <w:szCs w:val="24"/>
        </w:rPr>
        <w:t xml:space="preserve">inequality of education outcomes. </w:t>
      </w:r>
      <w:r w:rsidR="00745447" w:rsidRPr="00C94B20">
        <w:rPr>
          <w:rFonts w:ascii="Georgia" w:hAnsi="Georgia" w:cs="Times New Roman"/>
          <w:bCs/>
          <w:sz w:val="24"/>
          <w:szCs w:val="24"/>
        </w:rPr>
        <w:t xml:space="preserve">For example, </w:t>
      </w:r>
      <w:r w:rsidR="005A0DFF" w:rsidRPr="00C94B20">
        <w:rPr>
          <w:rFonts w:ascii="Georgia" w:hAnsi="Georgia" w:cs="Times New Roman"/>
          <w:bCs/>
          <w:sz w:val="24"/>
          <w:szCs w:val="24"/>
        </w:rPr>
        <w:t xml:space="preserve">only </w:t>
      </w:r>
      <w:r w:rsidR="007678F8" w:rsidRPr="00C94B20">
        <w:rPr>
          <w:rFonts w:ascii="Georgia" w:hAnsi="Georgia" w:cs="Times New Roman"/>
          <w:bCs/>
          <w:sz w:val="24"/>
          <w:szCs w:val="24"/>
        </w:rPr>
        <w:t xml:space="preserve">36% of 15-year olds </w:t>
      </w:r>
      <w:r w:rsidR="00100986" w:rsidRPr="00C94B20">
        <w:rPr>
          <w:rFonts w:ascii="Georgia" w:hAnsi="Georgia" w:cs="Times New Roman"/>
          <w:bCs/>
          <w:sz w:val="24"/>
          <w:szCs w:val="24"/>
        </w:rPr>
        <w:t xml:space="preserve">had </w:t>
      </w:r>
      <w:r w:rsidR="00385A56" w:rsidRPr="00C94B20">
        <w:rPr>
          <w:rFonts w:ascii="Georgia" w:hAnsi="Georgia" w:cs="Times New Roman"/>
          <w:bCs/>
          <w:sz w:val="24"/>
          <w:szCs w:val="24"/>
        </w:rPr>
        <w:t xml:space="preserve">successfully completed primary education </w:t>
      </w:r>
      <w:r w:rsidR="00100986" w:rsidRPr="00C94B20">
        <w:rPr>
          <w:rFonts w:ascii="Georgia" w:hAnsi="Georgia" w:cs="Times New Roman"/>
          <w:bCs/>
          <w:sz w:val="24"/>
          <w:szCs w:val="24"/>
        </w:rPr>
        <w:t>in 20</w:t>
      </w:r>
      <w:r w:rsidR="00081CA4" w:rsidRPr="00C94B20">
        <w:rPr>
          <w:rFonts w:ascii="Georgia" w:hAnsi="Georgia" w:cs="Times New Roman"/>
          <w:bCs/>
          <w:sz w:val="24"/>
          <w:szCs w:val="24"/>
        </w:rPr>
        <w:t>1</w:t>
      </w:r>
      <w:r w:rsidR="00100986" w:rsidRPr="00C94B20">
        <w:rPr>
          <w:rFonts w:ascii="Georgia" w:hAnsi="Georgia" w:cs="Times New Roman"/>
          <w:bCs/>
          <w:sz w:val="24"/>
          <w:szCs w:val="24"/>
        </w:rPr>
        <w:t>5/16</w:t>
      </w:r>
      <w:r w:rsidR="00062D12" w:rsidRPr="00C94B20">
        <w:rPr>
          <w:rFonts w:ascii="Georgia" w:hAnsi="Georgia" w:cs="Times New Roman"/>
          <w:bCs/>
          <w:sz w:val="24"/>
          <w:szCs w:val="24"/>
        </w:rPr>
        <w:t xml:space="preserve"> if the parent had completed primary education</w:t>
      </w:r>
      <w:r w:rsidR="00F22597" w:rsidRPr="00C94B20">
        <w:rPr>
          <w:rFonts w:ascii="Georgia" w:hAnsi="Georgia" w:cs="Times New Roman"/>
          <w:bCs/>
          <w:sz w:val="24"/>
          <w:szCs w:val="24"/>
        </w:rPr>
        <w:t xml:space="preserve"> only</w:t>
      </w:r>
      <w:r w:rsidR="00100986" w:rsidRPr="00C94B20">
        <w:rPr>
          <w:rFonts w:ascii="Georgia" w:hAnsi="Georgia" w:cs="Times New Roman"/>
          <w:bCs/>
          <w:sz w:val="24"/>
          <w:szCs w:val="24"/>
        </w:rPr>
        <w:t xml:space="preserve">, </w:t>
      </w:r>
      <w:r w:rsidR="003E3E96" w:rsidRPr="00C94B20">
        <w:rPr>
          <w:rFonts w:ascii="Georgia" w:hAnsi="Georgia" w:cs="Times New Roman"/>
          <w:bCs/>
          <w:sz w:val="24"/>
          <w:szCs w:val="24"/>
        </w:rPr>
        <w:t xml:space="preserve">while </w:t>
      </w:r>
      <w:r w:rsidR="00274AFA" w:rsidRPr="00C94B20">
        <w:rPr>
          <w:rFonts w:ascii="Georgia" w:hAnsi="Georgia" w:cs="Times New Roman"/>
          <w:bCs/>
          <w:sz w:val="24"/>
          <w:szCs w:val="24"/>
        </w:rPr>
        <w:t xml:space="preserve">that </w:t>
      </w:r>
      <w:r w:rsidR="00355397" w:rsidRPr="00C94B20">
        <w:rPr>
          <w:rFonts w:ascii="Georgia" w:hAnsi="Georgia" w:cs="Times New Roman"/>
          <w:bCs/>
          <w:sz w:val="24"/>
          <w:szCs w:val="24"/>
        </w:rPr>
        <w:t>share was 57% if the parent had attained at least secondary education (</w:t>
      </w:r>
      <w:r w:rsidR="00E339BD" w:rsidRPr="00C94B20">
        <w:rPr>
          <w:rFonts w:ascii="Georgia" w:hAnsi="Georgia" w:cs="Times New Roman"/>
          <w:bCs/>
          <w:sz w:val="24"/>
          <w:szCs w:val="24"/>
        </w:rPr>
        <w:t>KIPPRA, 2020</w:t>
      </w:r>
      <w:r w:rsidR="006E68B5" w:rsidRPr="00C94B20">
        <w:rPr>
          <w:rFonts w:ascii="Georgia" w:hAnsi="Georgia" w:cs="Times New Roman"/>
          <w:bCs/>
          <w:sz w:val="24"/>
          <w:szCs w:val="24"/>
        </w:rPr>
        <w:t xml:space="preserve">: </w:t>
      </w:r>
      <w:r w:rsidR="00170B7D" w:rsidRPr="00C94B20">
        <w:rPr>
          <w:rFonts w:ascii="Georgia" w:hAnsi="Georgia" w:cs="Times New Roman"/>
          <w:bCs/>
          <w:sz w:val="24"/>
          <w:szCs w:val="24"/>
        </w:rPr>
        <w:t>F</w:t>
      </w:r>
      <w:r w:rsidR="006E68B5" w:rsidRPr="00C94B20">
        <w:rPr>
          <w:rFonts w:ascii="Georgia" w:hAnsi="Georgia" w:cs="Times New Roman"/>
          <w:bCs/>
          <w:sz w:val="24"/>
          <w:szCs w:val="24"/>
        </w:rPr>
        <w:t>igure 9.3).</w:t>
      </w:r>
      <w:r w:rsidR="00D0082A" w:rsidRPr="00C94B20">
        <w:rPr>
          <w:rFonts w:ascii="Georgia" w:hAnsi="Georgia" w:cs="Times New Roman"/>
          <w:bCs/>
          <w:sz w:val="24"/>
          <w:szCs w:val="24"/>
        </w:rPr>
        <w:t xml:space="preserve"> </w:t>
      </w:r>
      <w:r w:rsidR="00711199" w:rsidRPr="00C94B20">
        <w:rPr>
          <w:rFonts w:ascii="Georgia" w:hAnsi="Georgia" w:cs="Times New Roman"/>
          <w:bCs/>
          <w:sz w:val="24"/>
          <w:szCs w:val="24"/>
        </w:rPr>
        <w:t xml:space="preserve">Similarly, the </w:t>
      </w:r>
      <w:r w:rsidR="00CD59D1" w:rsidRPr="00C94B20">
        <w:rPr>
          <w:rFonts w:ascii="Georgia" w:hAnsi="Georgia" w:cs="Times New Roman"/>
          <w:bCs/>
          <w:sz w:val="24"/>
          <w:szCs w:val="24"/>
        </w:rPr>
        <w:t xml:space="preserve">proportion of </w:t>
      </w:r>
      <w:r w:rsidR="00A57A13" w:rsidRPr="00C94B20">
        <w:rPr>
          <w:rFonts w:ascii="Georgia" w:hAnsi="Georgia" w:cs="Times New Roman"/>
          <w:bCs/>
          <w:sz w:val="24"/>
          <w:szCs w:val="24"/>
        </w:rPr>
        <w:t>young adults aged 21-23 years</w:t>
      </w:r>
      <w:r w:rsidR="00A57A13" w:rsidRPr="00C94B20" w:rsidDel="00A57A13">
        <w:rPr>
          <w:rFonts w:ascii="Georgia" w:hAnsi="Georgia" w:cs="Times New Roman"/>
          <w:bCs/>
          <w:sz w:val="24"/>
          <w:szCs w:val="24"/>
        </w:rPr>
        <w:t xml:space="preserve"> </w:t>
      </w:r>
      <w:r w:rsidR="00CD59D1" w:rsidRPr="00C94B20">
        <w:rPr>
          <w:rFonts w:ascii="Georgia" w:hAnsi="Georgia" w:cs="Times New Roman"/>
          <w:bCs/>
          <w:sz w:val="24"/>
          <w:szCs w:val="24"/>
        </w:rPr>
        <w:t>with</w:t>
      </w:r>
      <w:r w:rsidR="008458A6" w:rsidRPr="00C94B20">
        <w:rPr>
          <w:rFonts w:ascii="Georgia" w:hAnsi="Georgia" w:cs="Times New Roman"/>
          <w:bCs/>
          <w:sz w:val="24"/>
          <w:szCs w:val="24"/>
        </w:rPr>
        <w:t xml:space="preserve"> tertiary education is </w:t>
      </w:r>
      <w:r w:rsidR="00770075" w:rsidRPr="00C94B20">
        <w:rPr>
          <w:rFonts w:ascii="Georgia" w:hAnsi="Georgia" w:cs="Times New Roman"/>
          <w:bCs/>
          <w:sz w:val="24"/>
          <w:szCs w:val="24"/>
        </w:rPr>
        <w:t xml:space="preserve">higher if they live in higher-income households, </w:t>
      </w:r>
      <w:r w:rsidR="003B0E29" w:rsidRPr="00C94B20">
        <w:rPr>
          <w:rFonts w:ascii="Georgia" w:hAnsi="Georgia" w:cs="Times New Roman"/>
          <w:bCs/>
          <w:sz w:val="24"/>
          <w:szCs w:val="24"/>
        </w:rPr>
        <w:t xml:space="preserve">while the proportion of them </w:t>
      </w:r>
      <w:r w:rsidR="00F930D9" w:rsidRPr="00C94B20">
        <w:rPr>
          <w:rFonts w:ascii="Georgia" w:hAnsi="Georgia" w:cs="Times New Roman"/>
          <w:bCs/>
          <w:sz w:val="24"/>
          <w:szCs w:val="24"/>
        </w:rPr>
        <w:t xml:space="preserve">with only secondary education is inversely related to the </w:t>
      </w:r>
      <w:r w:rsidR="00770075" w:rsidRPr="00C94B20">
        <w:rPr>
          <w:rFonts w:ascii="Georgia" w:hAnsi="Georgia" w:cs="Times New Roman"/>
          <w:bCs/>
          <w:sz w:val="24"/>
          <w:szCs w:val="24"/>
        </w:rPr>
        <w:t>income group of the household to which they belong</w:t>
      </w:r>
      <w:r w:rsidR="00CD3AD9" w:rsidRPr="00C94B20">
        <w:rPr>
          <w:rFonts w:ascii="Georgia" w:hAnsi="Georgia" w:cs="Times New Roman"/>
          <w:bCs/>
          <w:sz w:val="24"/>
          <w:szCs w:val="24"/>
        </w:rPr>
        <w:t xml:space="preserve"> (ibid., Figure 9.6).</w:t>
      </w:r>
    </w:p>
    <w:p w14:paraId="68DC7F6E" w14:textId="546C2824" w:rsidR="00CE7B62" w:rsidRPr="00C94B20" w:rsidRDefault="00755B34" w:rsidP="00870F78">
      <w:pPr>
        <w:spacing w:after="120" w:line="240" w:lineRule="auto"/>
        <w:jc w:val="both"/>
        <w:rPr>
          <w:rFonts w:ascii="Georgia" w:hAnsi="Georgia" w:cs="Times New Roman"/>
          <w:bCs/>
          <w:sz w:val="24"/>
          <w:szCs w:val="24"/>
        </w:rPr>
      </w:pPr>
      <w:r w:rsidRPr="00C94B20">
        <w:rPr>
          <w:rFonts w:ascii="Georgia" w:hAnsi="Georgia" w:cs="Times New Roman"/>
          <w:bCs/>
          <w:sz w:val="24"/>
          <w:szCs w:val="24"/>
        </w:rPr>
        <w:t xml:space="preserve">The </w:t>
      </w:r>
      <w:r w:rsidR="00F414E2" w:rsidRPr="00C94B20">
        <w:rPr>
          <w:rFonts w:ascii="Georgia" w:hAnsi="Georgia" w:cs="Times New Roman"/>
          <w:bCs/>
          <w:sz w:val="24"/>
          <w:szCs w:val="24"/>
        </w:rPr>
        <w:t xml:space="preserve">school attendance </w:t>
      </w:r>
      <w:r w:rsidRPr="00C94B20">
        <w:rPr>
          <w:rFonts w:ascii="Georgia" w:hAnsi="Georgia" w:cs="Times New Roman"/>
          <w:bCs/>
          <w:sz w:val="24"/>
          <w:szCs w:val="24"/>
        </w:rPr>
        <w:t xml:space="preserve">data for 2015/16 show a similar pattern as those for </w:t>
      </w:r>
      <w:r w:rsidR="00F414E2" w:rsidRPr="00C94B20">
        <w:rPr>
          <w:rFonts w:ascii="Georgia" w:hAnsi="Georgia" w:cs="Times New Roman"/>
          <w:bCs/>
          <w:sz w:val="24"/>
          <w:szCs w:val="24"/>
        </w:rPr>
        <w:t xml:space="preserve">enrolment in </w:t>
      </w:r>
      <w:r w:rsidRPr="00C94B20">
        <w:rPr>
          <w:rFonts w:ascii="Georgia" w:hAnsi="Georgia" w:cs="Times New Roman"/>
          <w:bCs/>
          <w:sz w:val="24"/>
          <w:szCs w:val="24"/>
        </w:rPr>
        <w:t>2005/06</w:t>
      </w:r>
      <w:r w:rsidR="00510151" w:rsidRPr="00C94B20">
        <w:rPr>
          <w:rFonts w:ascii="Georgia" w:hAnsi="Georgia" w:cs="Times New Roman"/>
          <w:bCs/>
          <w:sz w:val="24"/>
          <w:szCs w:val="24"/>
        </w:rPr>
        <w:t xml:space="preserve">, when the net primary enrolment rate </w:t>
      </w:r>
      <w:r w:rsidR="0088767F" w:rsidRPr="00C94B20">
        <w:rPr>
          <w:rFonts w:ascii="Georgia" w:hAnsi="Georgia" w:cs="Times New Roman"/>
          <w:bCs/>
          <w:sz w:val="24"/>
          <w:szCs w:val="24"/>
        </w:rPr>
        <w:t>was higher</w:t>
      </w:r>
      <w:r w:rsidR="00B1421A" w:rsidRPr="00C94B20">
        <w:rPr>
          <w:rFonts w:ascii="Georgia" w:hAnsi="Georgia" w:cs="Times New Roman"/>
          <w:bCs/>
          <w:sz w:val="24"/>
          <w:szCs w:val="24"/>
        </w:rPr>
        <w:t xml:space="preserve"> for higher-income quintiles</w:t>
      </w:r>
      <w:r w:rsidRPr="00C94B20">
        <w:rPr>
          <w:rFonts w:ascii="Georgia" w:hAnsi="Georgia" w:cs="Times New Roman"/>
          <w:bCs/>
          <w:sz w:val="24"/>
          <w:szCs w:val="24"/>
        </w:rPr>
        <w:t>.</w:t>
      </w:r>
      <w:r w:rsidR="00B1421A" w:rsidRPr="00C94B20">
        <w:rPr>
          <w:rFonts w:ascii="Georgia" w:hAnsi="Georgia" w:cs="Times New Roman"/>
          <w:bCs/>
          <w:sz w:val="24"/>
          <w:szCs w:val="24"/>
        </w:rPr>
        <w:t xml:space="preserve"> For example, </w:t>
      </w:r>
      <w:r w:rsidR="005031D1" w:rsidRPr="00C94B20">
        <w:rPr>
          <w:rFonts w:ascii="Georgia" w:hAnsi="Georgia" w:cs="Times New Roman"/>
          <w:bCs/>
          <w:sz w:val="24"/>
          <w:szCs w:val="24"/>
        </w:rPr>
        <w:t xml:space="preserve">in 2005/06, </w:t>
      </w:r>
      <w:r w:rsidR="00B1421A" w:rsidRPr="00C94B20">
        <w:rPr>
          <w:rFonts w:ascii="Georgia" w:hAnsi="Georgia" w:cs="Times New Roman"/>
          <w:bCs/>
          <w:sz w:val="24"/>
          <w:szCs w:val="24"/>
        </w:rPr>
        <w:t xml:space="preserve">it was </w:t>
      </w:r>
      <w:r w:rsidR="001F12F4" w:rsidRPr="00C94B20">
        <w:rPr>
          <w:rFonts w:ascii="Georgia" w:hAnsi="Georgia" w:cs="Times New Roman"/>
          <w:bCs/>
          <w:sz w:val="24"/>
          <w:szCs w:val="24"/>
        </w:rPr>
        <w:t>73% for the poorest quintile, relative to 88% for the richest quintile (</w:t>
      </w:r>
      <w:r w:rsidR="00091204" w:rsidRPr="00C94B20">
        <w:rPr>
          <w:rFonts w:ascii="Georgia" w:hAnsi="Georgia" w:cs="Times New Roman"/>
          <w:bCs/>
          <w:sz w:val="24"/>
          <w:szCs w:val="24"/>
        </w:rPr>
        <w:t>Demery &amp; Gaddis, 200</w:t>
      </w:r>
      <w:r w:rsidR="00AC702C" w:rsidRPr="00C94B20">
        <w:rPr>
          <w:rFonts w:ascii="Georgia" w:hAnsi="Georgia" w:cs="Times New Roman"/>
          <w:bCs/>
          <w:sz w:val="24"/>
          <w:szCs w:val="24"/>
        </w:rPr>
        <w:t>9</w:t>
      </w:r>
      <w:r w:rsidR="00091204" w:rsidRPr="00C94B20">
        <w:rPr>
          <w:rFonts w:ascii="Georgia" w:hAnsi="Georgia" w:cs="Times New Roman"/>
          <w:bCs/>
          <w:sz w:val="24"/>
          <w:szCs w:val="24"/>
        </w:rPr>
        <w:t>:</w:t>
      </w:r>
      <w:r w:rsidR="007802BB" w:rsidRPr="00C94B20">
        <w:rPr>
          <w:rFonts w:ascii="Georgia" w:hAnsi="Georgia" w:cs="Times New Roman"/>
          <w:bCs/>
          <w:sz w:val="24"/>
          <w:szCs w:val="24"/>
        </w:rPr>
        <w:t xml:space="preserve"> Table III.2</w:t>
      </w:r>
      <w:r w:rsidR="002E04C0" w:rsidRPr="00C94B20">
        <w:rPr>
          <w:rFonts w:ascii="Georgia" w:hAnsi="Georgia" w:cs="Times New Roman"/>
          <w:bCs/>
          <w:sz w:val="24"/>
          <w:szCs w:val="24"/>
        </w:rPr>
        <w:t>).</w:t>
      </w:r>
      <w:r w:rsidR="00091204" w:rsidRPr="00C94B20">
        <w:rPr>
          <w:rFonts w:ascii="Georgia" w:hAnsi="Georgia" w:cs="Times New Roman"/>
          <w:bCs/>
          <w:sz w:val="24"/>
          <w:szCs w:val="24"/>
        </w:rPr>
        <w:t xml:space="preserve"> </w:t>
      </w:r>
      <w:r w:rsidR="006307DB" w:rsidRPr="00C94B20">
        <w:rPr>
          <w:rFonts w:ascii="Georgia" w:hAnsi="Georgia" w:cs="Times New Roman"/>
          <w:bCs/>
          <w:sz w:val="24"/>
          <w:szCs w:val="24"/>
        </w:rPr>
        <w:t xml:space="preserve">Similarly, the gross secondary enrolment rate </w:t>
      </w:r>
      <w:r w:rsidR="00032DD9" w:rsidRPr="00C94B20">
        <w:rPr>
          <w:rFonts w:ascii="Georgia" w:hAnsi="Georgia" w:cs="Times New Roman"/>
          <w:bCs/>
          <w:sz w:val="24"/>
          <w:szCs w:val="24"/>
        </w:rPr>
        <w:t xml:space="preserve">was respectively 16% and </w:t>
      </w:r>
      <w:r w:rsidR="0091634F" w:rsidRPr="00C94B20">
        <w:rPr>
          <w:rFonts w:ascii="Georgia" w:hAnsi="Georgia" w:cs="Times New Roman"/>
          <w:bCs/>
          <w:sz w:val="24"/>
          <w:szCs w:val="24"/>
        </w:rPr>
        <w:t>84% for the poorest and the richest quintile</w:t>
      </w:r>
      <w:r w:rsidR="00B10683" w:rsidRPr="00C94B20">
        <w:rPr>
          <w:rFonts w:ascii="Georgia" w:hAnsi="Georgia" w:cs="Times New Roman"/>
          <w:bCs/>
          <w:sz w:val="24"/>
          <w:szCs w:val="24"/>
        </w:rPr>
        <w:t xml:space="preserve"> (ibid,; Table III.5).</w:t>
      </w:r>
      <w:r w:rsidRPr="00C94B20">
        <w:rPr>
          <w:rFonts w:ascii="Georgia" w:hAnsi="Georgia" w:cs="Times New Roman"/>
          <w:bCs/>
          <w:sz w:val="24"/>
          <w:szCs w:val="24"/>
        </w:rPr>
        <w:t xml:space="preserve"> </w:t>
      </w:r>
    </w:p>
    <w:p w14:paraId="6DE2B816" w14:textId="77777777" w:rsidR="000F6B8E" w:rsidRPr="00C94B20" w:rsidRDefault="00C479FE" w:rsidP="000F6B8E">
      <w:pPr>
        <w:spacing w:after="120" w:line="240" w:lineRule="auto"/>
        <w:jc w:val="both"/>
        <w:rPr>
          <w:rFonts w:ascii="Georgia" w:hAnsi="Georgia" w:cs="Times New Roman"/>
          <w:bCs/>
          <w:sz w:val="24"/>
          <w:szCs w:val="24"/>
        </w:rPr>
      </w:pPr>
      <w:r w:rsidRPr="00C94B20">
        <w:rPr>
          <w:rFonts w:ascii="Georgia" w:hAnsi="Georgia" w:cs="Times New Roman"/>
          <w:bCs/>
          <w:sz w:val="24"/>
          <w:szCs w:val="24"/>
        </w:rPr>
        <w:t>The degree in which pupils complete their education also depend</w:t>
      </w:r>
      <w:r w:rsidR="00AF68F3" w:rsidRPr="00C94B20">
        <w:rPr>
          <w:rFonts w:ascii="Georgia" w:hAnsi="Georgia" w:cs="Times New Roman"/>
          <w:bCs/>
          <w:sz w:val="24"/>
          <w:szCs w:val="24"/>
        </w:rPr>
        <w:t>s</w:t>
      </w:r>
      <w:r w:rsidRPr="00C94B20">
        <w:rPr>
          <w:rFonts w:ascii="Georgia" w:hAnsi="Georgia" w:cs="Times New Roman"/>
          <w:bCs/>
          <w:sz w:val="24"/>
          <w:szCs w:val="24"/>
        </w:rPr>
        <w:t xml:space="preserve"> on the </w:t>
      </w:r>
      <w:r w:rsidR="00E00F77" w:rsidRPr="00C94B20">
        <w:rPr>
          <w:rFonts w:ascii="Georgia" w:hAnsi="Georgia" w:cs="Times New Roman"/>
          <w:bCs/>
          <w:sz w:val="24"/>
          <w:szCs w:val="24"/>
        </w:rPr>
        <w:t xml:space="preserve">income of the household in which they live. </w:t>
      </w:r>
      <w:r w:rsidR="00F752F0" w:rsidRPr="00C94B20">
        <w:rPr>
          <w:rFonts w:ascii="Georgia" w:hAnsi="Georgia" w:cs="Times New Roman"/>
          <w:bCs/>
          <w:sz w:val="24"/>
          <w:szCs w:val="24"/>
        </w:rPr>
        <w:fldChar w:fldCharType="begin"/>
      </w:r>
      <w:r w:rsidR="00F752F0" w:rsidRPr="00C94B20">
        <w:rPr>
          <w:rFonts w:ascii="Georgia" w:hAnsi="Georgia" w:cs="Times New Roman"/>
          <w:bCs/>
          <w:sz w:val="24"/>
          <w:szCs w:val="24"/>
        </w:rPr>
        <w:instrText xml:space="preserve"> REF _Ref132124632 \h  \* MERGEFORMAT </w:instrText>
      </w:r>
      <w:r w:rsidR="00F752F0" w:rsidRPr="00C94B20">
        <w:rPr>
          <w:rFonts w:ascii="Georgia" w:hAnsi="Georgia" w:cs="Times New Roman"/>
          <w:bCs/>
          <w:sz w:val="24"/>
          <w:szCs w:val="24"/>
        </w:rPr>
      </w:r>
      <w:r w:rsidR="00F752F0" w:rsidRPr="00C94B20">
        <w:rPr>
          <w:rFonts w:ascii="Georgia" w:hAnsi="Georgia" w:cs="Times New Roman"/>
          <w:bCs/>
          <w:sz w:val="24"/>
          <w:szCs w:val="24"/>
        </w:rPr>
        <w:fldChar w:fldCharType="separate"/>
      </w:r>
    </w:p>
    <w:p w14:paraId="4601D955" w14:textId="4A64D7E2" w:rsidR="004261FE" w:rsidRPr="00C94B20" w:rsidRDefault="000F6B8E" w:rsidP="00870F78">
      <w:pPr>
        <w:spacing w:after="120" w:line="240" w:lineRule="auto"/>
        <w:jc w:val="both"/>
        <w:rPr>
          <w:rFonts w:ascii="Georgia" w:hAnsi="Georgia" w:cs="Times New Roman"/>
          <w:bCs/>
          <w:sz w:val="24"/>
          <w:szCs w:val="24"/>
        </w:rPr>
      </w:pPr>
      <w:r w:rsidRPr="00C94B20">
        <w:rPr>
          <w:rFonts w:ascii="Georgia" w:hAnsi="Georgia" w:cs="Times New Roman"/>
          <w:bCs/>
          <w:sz w:val="24"/>
          <w:szCs w:val="24"/>
        </w:rPr>
        <w:t>Figure</w:t>
      </w:r>
      <w:r w:rsidRPr="00C94B20">
        <w:rPr>
          <w:rFonts w:ascii="Georgia" w:hAnsi="Georgia" w:cs="Times New Roman"/>
          <w:bCs/>
          <w:noProof/>
          <w:sz w:val="24"/>
          <w:szCs w:val="24"/>
        </w:rPr>
        <w:t xml:space="preserve"> </w:t>
      </w:r>
      <w:r w:rsidRPr="00F969F9">
        <w:rPr>
          <w:rFonts w:ascii="Georgia" w:hAnsi="Georgia" w:cs="Times New Roman"/>
          <w:bCs/>
          <w:noProof/>
          <w:sz w:val="24"/>
          <w:szCs w:val="24"/>
        </w:rPr>
        <w:t>9</w:t>
      </w:r>
      <w:r w:rsidR="00F752F0" w:rsidRPr="00C94B20">
        <w:rPr>
          <w:rFonts w:ascii="Georgia" w:hAnsi="Georgia" w:cs="Times New Roman"/>
          <w:bCs/>
          <w:sz w:val="24"/>
          <w:szCs w:val="24"/>
        </w:rPr>
        <w:fldChar w:fldCharType="end"/>
      </w:r>
      <w:r w:rsidR="00086E38" w:rsidRPr="00C94B20">
        <w:rPr>
          <w:rFonts w:ascii="Georgia" w:hAnsi="Georgia" w:cs="Times New Roman"/>
          <w:bCs/>
          <w:sz w:val="24"/>
          <w:szCs w:val="24"/>
        </w:rPr>
        <w:t xml:space="preserve"> </w:t>
      </w:r>
      <w:r w:rsidR="00617CF3" w:rsidRPr="00C94B20">
        <w:rPr>
          <w:rFonts w:ascii="Georgia" w:hAnsi="Georgia" w:cs="Times New Roman"/>
          <w:bCs/>
          <w:sz w:val="24"/>
          <w:szCs w:val="24"/>
        </w:rPr>
        <w:t>clearly illustrates that</w:t>
      </w:r>
      <w:r w:rsidR="002422B3" w:rsidRPr="00C94B20">
        <w:rPr>
          <w:rFonts w:ascii="Georgia" w:hAnsi="Georgia" w:cs="Times New Roman"/>
          <w:bCs/>
          <w:sz w:val="24"/>
          <w:szCs w:val="24"/>
        </w:rPr>
        <w:t>,</w:t>
      </w:r>
      <w:r w:rsidR="00617CF3" w:rsidRPr="00C94B20">
        <w:rPr>
          <w:rFonts w:ascii="Georgia" w:hAnsi="Georgia" w:cs="Times New Roman"/>
          <w:bCs/>
          <w:sz w:val="24"/>
          <w:szCs w:val="24"/>
        </w:rPr>
        <w:t xml:space="preserve"> </w:t>
      </w:r>
      <w:r w:rsidR="002422B3" w:rsidRPr="00C94B20">
        <w:rPr>
          <w:rFonts w:ascii="Georgia" w:hAnsi="Georgia" w:cs="Times New Roman"/>
          <w:bCs/>
          <w:sz w:val="24"/>
          <w:szCs w:val="24"/>
        </w:rPr>
        <w:t xml:space="preserve">in 2014, </w:t>
      </w:r>
      <w:r w:rsidR="00B33B93" w:rsidRPr="00C94B20">
        <w:rPr>
          <w:rFonts w:ascii="Georgia" w:hAnsi="Georgia" w:cs="Times New Roman"/>
          <w:bCs/>
          <w:sz w:val="24"/>
          <w:szCs w:val="24"/>
        </w:rPr>
        <w:t xml:space="preserve">the completion rates </w:t>
      </w:r>
      <w:r w:rsidR="002422B3" w:rsidRPr="00C94B20">
        <w:rPr>
          <w:rFonts w:ascii="Georgia" w:hAnsi="Georgia" w:cs="Times New Roman"/>
          <w:bCs/>
          <w:sz w:val="24"/>
          <w:szCs w:val="24"/>
        </w:rPr>
        <w:t xml:space="preserve">of primary, lower secondary and upper secondary education </w:t>
      </w:r>
      <w:r w:rsidR="00E93CE3" w:rsidRPr="00C94B20">
        <w:rPr>
          <w:rFonts w:ascii="Georgia" w:hAnsi="Georgia" w:cs="Times New Roman"/>
          <w:bCs/>
          <w:sz w:val="24"/>
          <w:szCs w:val="24"/>
        </w:rPr>
        <w:t xml:space="preserve">were </w:t>
      </w:r>
      <w:r w:rsidR="00216F00" w:rsidRPr="00C94B20">
        <w:rPr>
          <w:rFonts w:ascii="Georgia" w:hAnsi="Georgia" w:cs="Times New Roman"/>
          <w:bCs/>
          <w:sz w:val="24"/>
          <w:szCs w:val="24"/>
        </w:rPr>
        <w:t xml:space="preserve">higher, the higher the income quintile of the household. </w:t>
      </w:r>
      <w:r w:rsidR="003B4518" w:rsidRPr="00C94B20">
        <w:rPr>
          <w:rFonts w:ascii="Georgia" w:hAnsi="Georgia" w:cs="Times New Roman"/>
          <w:bCs/>
          <w:sz w:val="24"/>
          <w:szCs w:val="24"/>
        </w:rPr>
        <w:t xml:space="preserve">Only </w:t>
      </w:r>
      <w:r w:rsidR="00EF6F41" w:rsidRPr="00C94B20">
        <w:rPr>
          <w:rFonts w:ascii="Georgia" w:hAnsi="Georgia" w:cs="Times New Roman"/>
          <w:bCs/>
          <w:sz w:val="24"/>
          <w:szCs w:val="24"/>
        </w:rPr>
        <w:t>63 out of each 100 c</w:t>
      </w:r>
      <w:r w:rsidR="003624BC" w:rsidRPr="00C94B20">
        <w:rPr>
          <w:rFonts w:ascii="Georgia" w:hAnsi="Georgia" w:cs="Times New Roman"/>
          <w:bCs/>
          <w:sz w:val="24"/>
          <w:szCs w:val="24"/>
        </w:rPr>
        <w:t>hild</w:t>
      </w:r>
      <w:r w:rsidR="00EF6F41" w:rsidRPr="00C94B20">
        <w:rPr>
          <w:rFonts w:ascii="Georgia" w:hAnsi="Georgia" w:cs="Times New Roman"/>
          <w:bCs/>
          <w:sz w:val="24"/>
          <w:szCs w:val="24"/>
        </w:rPr>
        <w:t xml:space="preserve">ren among the </w:t>
      </w:r>
      <w:r w:rsidR="00314E2D" w:rsidRPr="00C94B20">
        <w:rPr>
          <w:rFonts w:ascii="Georgia" w:hAnsi="Georgia" w:cs="Times New Roman"/>
          <w:bCs/>
          <w:sz w:val="24"/>
          <w:szCs w:val="24"/>
        </w:rPr>
        <w:t xml:space="preserve">poorest </w:t>
      </w:r>
      <w:r w:rsidR="007C3601" w:rsidRPr="00C94B20">
        <w:rPr>
          <w:rFonts w:ascii="Georgia" w:hAnsi="Georgia" w:cs="Times New Roman"/>
          <w:bCs/>
          <w:sz w:val="24"/>
          <w:szCs w:val="24"/>
        </w:rPr>
        <w:t>quintile</w:t>
      </w:r>
      <w:r w:rsidR="00314E2D" w:rsidRPr="00C94B20">
        <w:rPr>
          <w:rFonts w:ascii="Georgia" w:hAnsi="Georgia" w:cs="Times New Roman"/>
          <w:bCs/>
          <w:sz w:val="24"/>
          <w:szCs w:val="24"/>
        </w:rPr>
        <w:t xml:space="preserve"> of the </w:t>
      </w:r>
      <w:r w:rsidR="00EF6F41" w:rsidRPr="00C94B20">
        <w:rPr>
          <w:rFonts w:ascii="Georgia" w:hAnsi="Georgia" w:cs="Times New Roman"/>
          <w:bCs/>
          <w:sz w:val="24"/>
          <w:szCs w:val="24"/>
        </w:rPr>
        <w:t xml:space="preserve">population completed primary education in </w:t>
      </w:r>
      <w:r w:rsidR="00DB5B1A" w:rsidRPr="00C94B20">
        <w:rPr>
          <w:rFonts w:ascii="Georgia" w:hAnsi="Georgia" w:cs="Times New Roman"/>
          <w:bCs/>
          <w:sz w:val="24"/>
          <w:szCs w:val="24"/>
        </w:rPr>
        <w:t xml:space="preserve">2014, while </w:t>
      </w:r>
      <w:r w:rsidR="00A92C83" w:rsidRPr="00C94B20">
        <w:rPr>
          <w:rFonts w:ascii="Georgia" w:hAnsi="Georgia" w:cs="Times New Roman"/>
          <w:bCs/>
          <w:sz w:val="24"/>
          <w:szCs w:val="24"/>
        </w:rPr>
        <w:t xml:space="preserve">nearly all </w:t>
      </w:r>
      <w:r w:rsidR="00040BE6" w:rsidRPr="00C94B20">
        <w:rPr>
          <w:rFonts w:ascii="Georgia" w:hAnsi="Georgia" w:cs="Times New Roman"/>
          <w:bCs/>
          <w:sz w:val="24"/>
          <w:szCs w:val="24"/>
        </w:rPr>
        <w:t xml:space="preserve">children among the richest </w:t>
      </w:r>
      <w:r w:rsidR="004D5A71" w:rsidRPr="00C94B20">
        <w:rPr>
          <w:rFonts w:ascii="Georgia" w:hAnsi="Georgia" w:cs="Times New Roman"/>
          <w:bCs/>
          <w:sz w:val="24"/>
          <w:szCs w:val="24"/>
        </w:rPr>
        <w:t xml:space="preserve">quintile of the population </w:t>
      </w:r>
      <w:r w:rsidR="00A92C83" w:rsidRPr="00C94B20">
        <w:rPr>
          <w:rFonts w:ascii="Georgia" w:hAnsi="Georgia" w:cs="Times New Roman"/>
          <w:bCs/>
          <w:sz w:val="24"/>
          <w:szCs w:val="24"/>
        </w:rPr>
        <w:t xml:space="preserve">did </w:t>
      </w:r>
      <w:r w:rsidR="009744C5" w:rsidRPr="00C94B20">
        <w:rPr>
          <w:rFonts w:ascii="Georgia" w:hAnsi="Georgia" w:cs="Times New Roman"/>
          <w:bCs/>
          <w:sz w:val="24"/>
          <w:szCs w:val="24"/>
        </w:rPr>
        <w:t xml:space="preserve">complete </w:t>
      </w:r>
      <w:r w:rsidR="00FD0438" w:rsidRPr="00C94B20">
        <w:rPr>
          <w:rFonts w:ascii="Georgia" w:hAnsi="Georgia" w:cs="Times New Roman"/>
          <w:bCs/>
          <w:sz w:val="24"/>
          <w:szCs w:val="24"/>
        </w:rPr>
        <w:t xml:space="preserve">that level of </w:t>
      </w:r>
      <w:r w:rsidR="007A0797" w:rsidRPr="00C94B20">
        <w:rPr>
          <w:rFonts w:ascii="Georgia" w:hAnsi="Georgia" w:cs="Times New Roman"/>
          <w:bCs/>
          <w:sz w:val="24"/>
          <w:szCs w:val="24"/>
        </w:rPr>
        <w:t xml:space="preserve">education. </w:t>
      </w:r>
      <w:r w:rsidR="00333B4A" w:rsidRPr="00C94B20">
        <w:rPr>
          <w:rFonts w:ascii="Georgia" w:hAnsi="Georgia" w:cs="Times New Roman"/>
          <w:bCs/>
          <w:sz w:val="24"/>
          <w:szCs w:val="24"/>
        </w:rPr>
        <w:t xml:space="preserve">The </w:t>
      </w:r>
      <w:r w:rsidR="007A701E" w:rsidRPr="00C94B20">
        <w:rPr>
          <w:rFonts w:ascii="Georgia" w:hAnsi="Georgia" w:cs="Times New Roman"/>
          <w:bCs/>
          <w:sz w:val="24"/>
          <w:szCs w:val="24"/>
        </w:rPr>
        <w:t xml:space="preserve">quintile differences </w:t>
      </w:r>
      <w:r w:rsidR="00333B4A" w:rsidRPr="00C94B20">
        <w:rPr>
          <w:rFonts w:ascii="Georgia" w:hAnsi="Georgia" w:cs="Times New Roman"/>
          <w:bCs/>
          <w:sz w:val="24"/>
          <w:szCs w:val="24"/>
        </w:rPr>
        <w:t>for lower secondary and, especially, upper secondary education</w:t>
      </w:r>
      <w:r w:rsidR="00FD0438" w:rsidRPr="00C94B20">
        <w:rPr>
          <w:rFonts w:ascii="Georgia" w:hAnsi="Georgia" w:cs="Times New Roman"/>
          <w:bCs/>
          <w:sz w:val="24"/>
          <w:szCs w:val="24"/>
        </w:rPr>
        <w:t xml:space="preserve"> </w:t>
      </w:r>
      <w:r w:rsidR="002779D1" w:rsidRPr="00C94B20">
        <w:rPr>
          <w:rFonts w:ascii="Georgia" w:hAnsi="Georgia" w:cs="Times New Roman"/>
          <w:bCs/>
          <w:sz w:val="24"/>
          <w:szCs w:val="24"/>
        </w:rPr>
        <w:t xml:space="preserve">were even more </w:t>
      </w:r>
      <w:r w:rsidR="007A701E" w:rsidRPr="00C94B20">
        <w:rPr>
          <w:rFonts w:ascii="Georgia" w:hAnsi="Georgia" w:cs="Times New Roman"/>
          <w:bCs/>
          <w:sz w:val="24"/>
          <w:szCs w:val="24"/>
        </w:rPr>
        <w:t>pronounced.</w:t>
      </w:r>
    </w:p>
    <w:p w14:paraId="2449D4FC" w14:textId="77777777" w:rsidR="0008632E" w:rsidRPr="00C94B20" w:rsidRDefault="0008632E" w:rsidP="0008632E">
      <w:pPr>
        <w:spacing w:after="120" w:line="240" w:lineRule="auto"/>
        <w:jc w:val="both"/>
        <w:rPr>
          <w:rFonts w:ascii="Georgia" w:hAnsi="Georgia" w:cs="Times New Roman"/>
          <w:bCs/>
          <w:sz w:val="24"/>
          <w:szCs w:val="24"/>
        </w:rPr>
      </w:pPr>
      <w:r w:rsidRPr="00C94B20">
        <w:rPr>
          <w:rFonts w:ascii="Georgia" w:hAnsi="Georgia" w:cs="Times New Roman"/>
          <w:bCs/>
          <w:sz w:val="24"/>
          <w:szCs w:val="24"/>
        </w:rPr>
        <w:t xml:space="preserve">World Bank (2022a) observes that ‘the main challenges remaining in the education sector are increasing the enrolment in post-primary education, improving learning outcomes and reducing deep inequalities.’ </w:t>
      </w:r>
    </w:p>
    <w:p w14:paraId="1A823E9E" w14:textId="10BAC4F7" w:rsidR="0008632E" w:rsidRPr="00C94B20" w:rsidRDefault="0008632E" w:rsidP="00870F78">
      <w:pPr>
        <w:spacing w:after="120" w:line="240" w:lineRule="auto"/>
        <w:jc w:val="both"/>
        <w:rPr>
          <w:rFonts w:ascii="Georgia" w:hAnsi="Georgia" w:cs="Times New Roman"/>
          <w:bCs/>
          <w:sz w:val="24"/>
          <w:szCs w:val="24"/>
        </w:rPr>
      </w:pPr>
      <w:r w:rsidRPr="00C94B20">
        <w:rPr>
          <w:rFonts w:ascii="Georgia" w:eastAsiaTheme="minorEastAsia" w:hAnsi="Georgia" w:cs="Times New Roman"/>
          <w:sz w:val="24"/>
          <w:szCs w:val="24"/>
        </w:rPr>
        <w:t xml:space="preserve">The public health service delivery system in Kenya comprises community units, primary care dispensaries and health centres, county (first and second) referral hospitals, and national (tertiary care) referral hospitals (Kazungu and Barasa, 2017; Kabia et al., 2022). </w:t>
      </w:r>
      <w:r w:rsidRPr="00C94B20">
        <w:rPr>
          <w:rFonts w:ascii="Georgia" w:hAnsi="Georgia" w:cs="Times New Roman"/>
          <w:sz w:val="24"/>
          <w:szCs w:val="24"/>
          <w:shd w:val="clear" w:color="auto" w:fill="FFFFFF"/>
        </w:rPr>
        <w:t xml:space="preserve">The </w:t>
      </w:r>
      <w:r w:rsidRPr="00C94B20">
        <w:rPr>
          <w:rFonts w:ascii="Georgia" w:hAnsi="Georgia" w:cs="Times New Roman"/>
          <w:b/>
          <w:sz w:val="24"/>
          <w:szCs w:val="24"/>
          <w:shd w:val="clear" w:color="auto" w:fill="FFFFFF"/>
        </w:rPr>
        <w:t>access to health services and health insurance is unequal</w:t>
      </w:r>
      <w:r w:rsidRPr="00C94B20">
        <w:rPr>
          <w:rFonts w:ascii="Georgia" w:hAnsi="Georgia" w:cs="Times New Roman"/>
          <w:bCs/>
          <w:sz w:val="24"/>
          <w:szCs w:val="24"/>
          <w:shd w:val="clear" w:color="auto" w:fill="FFFFFF"/>
        </w:rPr>
        <w:t>, with poorer people having more limited access.</w:t>
      </w:r>
      <w:r w:rsidRPr="00C94B20">
        <w:rPr>
          <w:rFonts w:ascii="Georgia" w:hAnsi="Georgia" w:cs="Times New Roman"/>
          <w:b/>
          <w:sz w:val="24"/>
          <w:szCs w:val="24"/>
          <w:shd w:val="clear" w:color="auto" w:fill="FFFFFF"/>
        </w:rPr>
        <w:t xml:space="preserve"> </w:t>
      </w:r>
      <w:r w:rsidRPr="00C94B20">
        <w:rPr>
          <w:rFonts w:ascii="Georgia" w:hAnsi="Georgia" w:cs="Times New Roman"/>
          <w:bCs/>
          <w:sz w:val="24"/>
          <w:szCs w:val="24"/>
        </w:rPr>
        <w:t xml:space="preserve">Self-reported injured or sick persons in poorer households were less often diagnosed in a health facility than injured or sick members of richer households in 2015/16 (KIPPRA, 2020: 153-154). It is likely that this is also related to the differential degree of coverage of health insurance </w:t>
      </w:r>
      <w:r w:rsidR="00D00D6D" w:rsidRPr="00C94B20">
        <w:rPr>
          <w:rFonts w:ascii="Georgia" w:hAnsi="Georgia" w:cs="Times New Roman"/>
          <w:bCs/>
          <w:sz w:val="24"/>
          <w:szCs w:val="24"/>
        </w:rPr>
        <w:t>in that year</w:t>
      </w:r>
      <w:r w:rsidRPr="00C94B20">
        <w:rPr>
          <w:rFonts w:ascii="Georgia" w:hAnsi="Georgia" w:cs="Times New Roman"/>
          <w:bCs/>
          <w:sz w:val="24"/>
          <w:szCs w:val="24"/>
        </w:rPr>
        <w:t>, which was 42% for the highest income quintile – ten times that of the lowest income quintile (ibid.; xxiii). Targeting of social assistance in health services was also weak, as the percentage of extremely poor persons who reported to have received free medical care was at 23% only marginally higher than for the rest of the population (KIPPRA, 2020: 154).</w:t>
      </w:r>
    </w:p>
    <w:p w14:paraId="36FCE55C" w14:textId="77777777" w:rsidR="00257DE5" w:rsidRPr="009C5581" w:rsidRDefault="00257DE5" w:rsidP="00EE5B37">
      <w:pPr>
        <w:jc w:val="center"/>
        <w:rPr>
          <w:rFonts w:ascii="Times New Roman" w:hAnsi="Times New Roman" w:cs="Times New Roman"/>
          <w:b/>
          <w:bCs/>
        </w:rPr>
      </w:pPr>
      <w:bookmarkStart w:id="61" w:name="_Ref120272658"/>
      <w:bookmarkStart w:id="62" w:name="_Ref132124632"/>
      <w:bookmarkStart w:id="63" w:name="_Toc144414581"/>
    </w:p>
    <w:p w14:paraId="6C623FB3" w14:textId="37B010D2" w:rsidR="00B209AC" w:rsidRPr="009C5581" w:rsidRDefault="00B209AC" w:rsidP="00EE5B37">
      <w:pPr>
        <w:jc w:val="center"/>
        <w:rPr>
          <w:rFonts w:ascii="Times New Roman" w:hAnsi="Times New Roman" w:cs="Times New Roman"/>
        </w:rPr>
      </w:pPr>
      <w:r w:rsidRPr="009C5581">
        <w:rPr>
          <w:rFonts w:ascii="Times New Roman" w:hAnsi="Times New Roman" w:cs="Times New Roman"/>
          <w:b/>
          <w:bCs/>
        </w:rPr>
        <w:t xml:space="preserve">Figure </w:t>
      </w:r>
      <w:r w:rsidR="00B84F08" w:rsidRPr="009C5581">
        <w:rPr>
          <w:rFonts w:ascii="Times New Roman" w:hAnsi="Times New Roman" w:cs="Times New Roman"/>
          <w:b/>
          <w:bCs/>
        </w:rPr>
        <w:fldChar w:fldCharType="begin"/>
      </w:r>
      <w:r w:rsidR="00B84F08" w:rsidRPr="009C5581">
        <w:rPr>
          <w:rFonts w:ascii="Times New Roman" w:hAnsi="Times New Roman" w:cs="Times New Roman"/>
          <w:b/>
          <w:bCs/>
        </w:rPr>
        <w:instrText xml:space="preserve"> SEQ Figure \* ARABIC </w:instrText>
      </w:r>
      <w:r w:rsidR="00B84F08" w:rsidRPr="009C5581">
        <w:rPr>
          <w:rFonts w:ascii="Times New Roman" w:hAnsi="Times New Roman" w:cs="Times New Roman"/>
          <w:b/>
          <w:bCs/>
        </w:rPr>
        <w:fldChar w:fldCharType="separate"/>
      </w:r>
      <w:r w:rsidR="000F6B8E">
        <w:rPr>
          <w:rFonts w:ascii="Times New Roman" w:hAnsi="Times New Roman" w:cs="Times New Roman"/>
          <w:b/>
          <w:bCs/>
          <w:noProof/>
        </w:rPr>
        <w:t>9</w:t>
      </w:r>
      <w:r w:rsidR="00B84F08" w:rsidRPr="009C5581">
        <w:rPr>
          <w:rFonts w:ascii="Times New Roman" w:hAnsi="Times New Roman" w:cs="Times New Roman"/>
          <w:b/>
          <w:bCs/>
        </w:rPr>
        <w:fldChar w:fldCharType="end"/>
      </w:r>
      <w:bookmarkEnd w:id="61"/>
      <w:bookmarkEnd w:id="62"/>
      <w:r w:rsidRPr="009C5581">
        <w:rPr>
          <w:rFonts w:ascii="Times New Roman" w:hAnsi="Times New Roman" w:cs="Times New Roman"/>
        </w:rPr>
        <w:t>: Completion rates</w:t>
      </w:r>
      <w:r w:rsidR="00617CF3" w:rsidRPr="009C5581">
        <w:rPr>
          <w:rFonts w:ascii="Times New Roman" w:hAnsi="Times New Roman" w:cs="Times New Roman"/>
        </w:rPr>
        <w:t xml:space="preserve"> by income quintile</w:t>
      </w:r>
      <w:r w:rsidRPr="009C5581">
        <w:rPr>
          <w:rFonts w:ascii="Times New Roman" w:hAnsi="Times New Roman" w:cs="Times New Roman"/>
        </w:rPr>
        <w:t>, 2014</w:t>
      </w:r>
      <w:bookmarkEnd w:id="63"/>
    </w:p>
    <w:p w14:paraId="737F5B5B" w14:textId="4D825E24" w:rsidR="006C2258" w:rsidRPr="009C5581" w:rsidRDefault="00B209AC" w:rsidP="00763D49">
      <w:pPr>
        <w:spacing w:after="120" w:line="240" w:lineRule="auto"/>
        <w:jc w:val="center"/>
        <w:rPr>
          <w:rFonts w:ascii="Times New Roman" w:hAnsi="Times New Roman" w:cs="Times New Roman"/>
          <w:bCs/>
          <w:sz w:val="16"/>
          <w:szCs w:val="16"/>
        </w:rPr>
      </w:pPr>
      <w:r w:rsidRPr="009C5581">
        <w:rPr>
          <w:noProof/>
          <w:lang w:val="en-US"/>
        </w:rPr>
        <w:drawing>
          <wp:anchor distT="0" distB="0" distL="114300" distR="114300" simplePos="0" relativeHeight="251658249" behindDoc="0" locked="0" layoutInCell="1" allowOverlap="1" wp14:anchorId="4B086823" wp14:editId="4163AA49">
            <wp:simplePos x="0" y="0"/>
            <wp:positionH relativeFrom="column">
              <wp:posOffset>190500</wp:posOffset>
            </wp:positionH>
            <wp:positionV relativeFrom="paragraph">
              <wp:posOffset>-1905</wp:posOffset>
            </wp:positionV>
            <wp:extent cx="5562600" cy="2622550"/>
            <wp:effectExtent l="0" t="0" r="0" b="6350"/>
            <wp:wrapTopAndBottom/>
            <wp:docPr id="5" name="Chart 5">
              <a:extLst xmlns:a="http://schemas.openxmlformats.org/drawingml/2006/main">
                <a:ext uri="{FF2B5EF4-FFF2-40B4-BE49-F238E27FC236}">
                  <a16:creationId xmlns:a16="http://schemas.microsoft.com/office/drawing/2014/main" id="{4566C34D-4794-687D-2E30-09EC4E9F3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0E0D83" w:rsidRPr="009C5581">
        <w:rPr>
          <w:rFonts w:ascii="Times New Roman" w:hAnsi="Times New Roman" w:cs="Times New Roman"/>
          <w:bCs/>
          <w:sz w:val="16"/>
          <w:szCs w:val="16"/>
        </w:rPr>
        <w:t xml:space="preserve">Source: World </w:t>
      </w:r>
      <w:r w:rsidR="00106F87" w:rsidRPr="009C5581">
        <w:rPr>
          <w:rFonts w:ascii="Times New Roman" w:hAnsi="Times New Roman" w:cs="Times New Roman"/>
          <w:bCs/>
          <w:sz w:val="16"/>
          <w:szCs w:val="16"/>
        </w:rPr>
        <w:t>B</w:t>
      </w:r>
      <w:r w:rsidR="000E0D83" w:rsidRPr="009C5581">
        <w:rPr>
          <w:rFonts w:ascii="Times New Roman" w:hAnsi="Times New Roman" w:cs="Times New Roman"/>
          <w:bCs/>
          <w:sz w:val="16"/>
          <w:szCs w:val="16"/>
        </w:rPr>
        <w:t xml:space="preserve">ank, </w:t>
      </w:r>
      <w:r w:rsidR="00106F87" w:rsidRPr="009C5581">
        <w:rPr>
          <w:rFonts w:ascii="Times New Roman" w:hAnsi="Times New Roman" w:cs="Times New Roman"/>
          <w:bCs/>
          <w:sz w:val="16"/>
          <w:szCs w:val="16"/>
        </w:rPr>
        <w:t>Data Bank</w:t>
      </w:r>
      <w:r w:rsidR="000E0D83" w:rsidRPr="009C5581">
        <w:rPr>
          <w:rFonts w:ascii="Times New Roman" w:hAnsi="Times New Roman" w:cs="Times New Roman"/>
          <w:bCs/>
          <w:sz w:val="16"/>
          <w:szCs w:val="16"/>
        </w:rPr>
        <w:t>, Education Statistics</w:t>
      </w:r>
    </w:p>
    <w:p w14:paraId="661AF749" w14:textId="437D3D14" w:rsidR="00F118A6" w:rsidRPr="00C94B20" w:rsidRDefault="006920B7" w:rsidP="0037234C">
      <w:pPr>
        <w:spacing w:after="120" w:line="240" w:lineRule="auto"/>
        <w:jc w:val="both"/>
        <w:rPr>
          <w:rFonts w:ascii="Georgia" w:hAnsi="Georgia" w:cs="Times New Roman"/>
          <w:bCs/>
          <w:sz w:val="24"/>
          <w:szCs w:val="24"/>
        </w:rPr>
      </w:pPr>
      <w:r w:rsidRPr="00C94B20">
        <w:rPr>
          <w:rFonts w:ascii="Georgia" w:eastAsiaTheme="minorEastAsia" w:hAnsi="Georgia" w:cs="Times New Roman"/>
          <w:sz w:val="24"/>
          <w:szCs w:val="24"/>
        </w:rPr>
        <w:t>The findings for 20</w:t>
      </w:r>
      <w:r w:rsidR="00603733" w:rsidRPr="00C94B20">
        <w:rPr>
          <w:rFonts w:ascii="Georgia" w:eastAsiaTheme="minorEastAsia" w:hAnsi="Georgia" w:cs="Times New Roman"/>
          <w:sz w:val="24"/>
          <w:szCs w:val="24"/>
        </w:rPr>
        <w:t>0</w:t>
      </w:r>
      <w:r w:rsidRPr="00C94B20">
        <w:rPr>
          <w:rFonts w:ascii="Georgia" w:eastAsiaTheme="minorEastAsia" w:hAnsi="Georgia" w:cs="Times New Roman"/>
          <w:sz w:val="24"/>
          <w:szCs w:val="24"/>
        </w:rPr>
        <w:t>5/</w:t>
      </w:r>
      <w:r w:rsidR="00603733" w:rsidRPr="00C94B20">
        <w:rPr>
          <w:rFonts w:ascii="Georgia" w:eastAsiaTheme="minorEastAsia" w:hAnsi="Georgia" w:cs="Times New Roman"/>
          <w:sz w:val="24"/>
          <w:szCs w:val="24"/>
        </w:rPr>
        <w:t>0</w:t>
      </w:r>
      <w:r w:rsidRPr="00C94B20">
        <w:rPr>
          <w:rFonts w:ascii="Georgia" w:eastAsiaTheme="minorEastAsia" w:hAnsi="Georgia" w:cs="Times New Roman"/>
          <w:sz w:val="24"/>
          <w:szCs w:val="24"/>
        </w:rPr>
        <w:t xml:space="preserve">6 </w:t>
      </w:r>
      <w:r w:rsidR="00303EA2" w:rsidRPr="00C94B20">
        <w:rPr>
          <w:rFonts w:ascii="Georgia" w:eastAsiaTheme="minorEastAsia" w:hAnsi="Georgia" w:cs="Times New Roman"/>
          <w:sz w:val="24"/>
          <w:szCs w:val="24"/>
        </w:rPr>
        <w:t xml:space="preserve">indicate that </w:t>
      </w:r>
      <w:r w:rsidR="00F82A41" w:rsidRPr="00C94B20">
        <w:rPr>
          <w:rFonts w:ascii="Georgia" w:eastAsiaTheme="minorEastAsia" w:hAnsi="Georgia" w:cs="Times New Roman"/>
          <w:sz w:val="24"/>
          <w:szCs w:val="24"/>
        </w:rPr>
        <w:t xml:space="preserve">poorer sick people </w:t>
      </w:r>
      <w:r w:rsidR="008631C5" w:rsidRPr="00C94B20">
        <w:rPr>
          <w:rFonts w:ascii="Georgia" w:eastAsiaTheme="minorEastAsia" w:hAnsi="Georgia" w:cs="Times New Roman"/>
          <w:sz w:val="24"/>
          <w:szCs w:val="24"/>
        </w:rPr>
        <w:t>s</w:t>
      </w:r>
      <w:r w:rsidR="00B17A16" w:rsidRPr="00C94B20">
        <w:rPr>
          <w:rFonts w:ascii="Georgia" w:eastAsiaTheme="minorEastAsia" w:hAnsi="Georgia" w:cs="Times New Roman"/>
          <w:sz w:val="24"/>
          <w:szCs w:val="24"/>
        </w:rPr>
        <w:t>ought</w:t>
      </w:r>
      <w:r w:rsidR="008631C5" w:rsidRPr="00C94B20">
        <w:rPr>
          <w:rFonts w:ascii="Georgia" w:eastAsiaTheme="minorEastAsia" w:hAnsi="Georgia" w:cs="Times New Roman"/>
          <w:sz w:val="24"/>
          <w:szCs w:val="24"/>
        </w:rPr>
        <w:t xml:space="preserve"> t</w:t>
      </w:r>
      <w:r w:rsidR="00A86458" w:rsidRPr="00C94B20">
        <w:rPr>
          <w:rFonts w:ascii="Georgia" w:eastAsiaTheme="minorEastAsia" w:hAnsi="Georgia" w:cs="Times New Roman"/>
          <w:sz w:val="24"/>
          <w:szCs w:val="24"/>
        </w:rPr>
        <w:t>reatment</w:t>
      </w:r>
      <w:r w:rsidR="00FD705D" w:rsidRPr="00C94B20">
        <w:rPr>
          <w:rFonts w:ascii="Georgia" w:eastAsiaTheme="minorEastAsia" w:hAnsi="Georgia" w:cs="Times New Roman"/>
          <w:sz w:val="24"/>
          <w:szCs w:val="24"/>
        </w:rPr>
        <w:t xml:space="preserve"> less often</w:t>
      </w:r>
      <w:r w:rsidR="00A86458" w:rsidRPr="00C94B20">
        <w:rPr>
          <w:rFonts w:ascii="Georgia" w:eastAsiaTheme="minorEastAsia" w:hAnsi="Georgia" w:cs="Times New Roman"/>
          <w:sz w:val="24"/>
          <w:szCs w:val="24"/>
        </w:rPr>
        <w:t xml:space="preserve"> </w:t>
      </w:r>
      <w:r w:rsidR="008944E3" w:rsidRPr="00C94B20">
        <w:rPr>
          <w:rFonts w:ascii="Georgia" w:eastAsiaTheme="minorEastAsia" w:hAnsi="Georgia" w:cs="Times New Roman"/>
          <w:sz w:val="24"/>
          <w:szCs w:val="24"/>
        </w:rPr>
        <w:t xml:space="preserve">than </w:t>
      </w:r>
      <w:r w:rsidR="00BB3839" w:rsidRPr="00C94B20">
        <w:rPr>
          <w:rFonts w:ascii="Georgia" w:eastAsiaTheme="minorEastAsia" w:hAnsi="Georgia" w:cs="Times New Roman"/>
          <w:sz w:val="24"/>
          <w:szCs w:val="24"/>
        </w:rPr>
        <w:t>richer people</w:t>
      </w:r>
      <w:r w:rsidR="00D030C7" w:rsidRPr="00C94B20">
        <w:rPr>
          <w:rFonts w:ascii="Georgia" w:eastAsiaTheme="minorEastAsia" w:hAnsi="Georgia" w:cs="Times New Roman"/>
          <w:sz w:val="24"/>
          <w:szCs w:val="24"/>
        </w:rPr>
        <w:t xml:space="preserve"> </w:t>
      </w:r>
      <w:r w:rsidR="00917CC3" w:rsidRPr="00C94B20">
        <w:rPr>
          <w:rFonts w:ascii="Georgia" w:eastAsiaTheme="minorEastAsia" w:hAnsi="Georgia" w:cs="Times New Roman"/>
          <w:sz w:val="24"/>
          <w:szCs w:val="24"/>
        </w:rPr>
        <w:t>and th</w:t>
      </w:r>
      <w:r w:rsidR="008277CA" w:rsidRPr="00C94B20">
        <w:rPr>
          <w:rFonts w:ascii="Georgia" w:eastAsiaTheme="minorEastAsia" w:hAnsi="Georgia" w:cs="Times New Roman"/>
          <w:sz w:val="24"/>
          <w:szCs w:val="24"/>
        </w:rPr>
        <w:t>at</w:t>
      </w:r>
      <w:r w:rsidR="00917CC3" w:rsidRPr="00C94B20">
        <w:rPr>
          <w:rFonts w:ascii="Georgia" w:eastAsiaTheme="minorEastAsia" w:hAnsi="Georgia" w:cs="Times New Roman"/>
          <w:sz w:val="24"/>
          <w:szCs w:val="24"/>
        </w:rPr>
        <w:t xml:space="preserve"> </w:t>
      </w:r>
      <w:r w:rsidR="008277CA" w:rsidRPr="00C94B20">
        <w:rPr>
          <w:rFonts w:ascii="Georgia" w:eastAsiaTheme="minorEastAsia" w:hAnsi="Georgia" w:cs="Times New Roman"/>
          <w:sz w:val="24"/>
          <w:szCs w:val="24"/>
        </w:rPr>
        <w:t xml:space="preserve">the </w:t>
      </w:r>
      <w:r w:rsidR="00917CC3" w:rsidRPr="00C94B20">
        <w:rPr>
          <w:rFonts w:ascii="Georgia" w:eastAsiaTheme="minorEastAsia" w:hAnsi="Georgia" w:cs="Times New Roman"/>
          <w:sz w:val="24"/>
          <w:szCs w:val="24"/>
        </w:rPr>
        <w:t xml:space="preserve">proportion of sick persons seeking </w:t>
      </w:r>
      <w:r w:rsidR="008467F0" w:rsidRPr="00C94B20">
        <w:rPr>
          <w:rFonts w:ascii="Georgia" w:eastAsiaTheme="minorEastAsia" w:hAnsi="Georgia" w:cs="Times New Roman"/>
          <w:sz w:val="24"/>
          <w:szCs w:val="24"/>
        </w:rPr>
        <w:t xml:space="preserve">treatment in a hospital among those who </w:t>
      </w:r>
      <w:r w:rsidR="008759C9" w:rsidRPr="00C94B20">
        <w:rPr>
          <w:rFonts w:ascii="Georgia" w:eastAsiaTheme="minorEastAsia" w:hAnsi="Georgia" w:cs="Times New Roman"/>
          <w:sz w:val="24"/>
          <w:szCs w:val="24"/>
        </w:rPr>
        <w:t xml:space="preserve">sought </w:t>
      </w:r>
      <w:r w:rsidR="00C87045" w:rsidRPr="00C94B20">
        <w:rPr>
          <w:rFonts w:ascii="Georgia" w:eastAsiaTheme="minorEastAsia" w:hAnsi="Georgia" w:cs="Times New Roman"/>
          <w:sz w:val="24"/>
          <w:szCs w:val="24"/>
        </w:rPr>
        <w:t>pub</w:t>
      </w:r>
      <w:r w:rsidR="006C2258" w:rsidRPr="00C94B20">
        <w:rPr>
          <w:rFonts w:ascii="Georgia" w:eastAsiaTheme="minorEastAsia" w:hAnsi="Georgia" w:cs="Times New Roman"/>
          <w:sz w:val="24"/>
          <w:szCs w:val="24"/>
        </w:rPr>
        <w:t>l</w:t>
      </w:r>
      <w:r w:rsidR="00C87045" w:rsidRPr="00C94B20">
        <w:rPr>
          <w:rFonts w:ascii="Georgia" w:eastAsiaTheme="minorEastAsia" w:hAnsi="Georgia" w:cs="Times New Roman"/>
          <w:sz w:val="24"/>
          <w:szCs w:val="24"/>
        </w:rPr>
        <w:t xml:space="preserve">ic </w:t>
      </w:r>
      <w:r w:rsidR="00917CC3" w:rsidRPr="00C94B20">
        <w:rPr>
          <w:rFonts w:ascii="Georgia" w:eastAsiaTheme="minorEastAsia" w:hAnsi="Georgia" w:cs="Times New Roman"/>
          <w:sz w:val="24"/>
          <w:szCs w:val="24"/>
        </w:rPr>
        <w:t>treatment increase</w:t>
      </w:r>
      <w:r w:rsidR="00B17A16" w:rsidRPr="00C94B20">
        <w:rPr>
          <w:rFonts w:ascii="Georgia" w:eastAsiaTheme="minorEastAsia" w:hAnsi="Georgia" w:cs="Times New Roman"/>
          <w:sz w:val="24"/>
          <w:szCs w:val="24"/>
        </w:rPr>
        <w:t>d</w:t>
      </w:r>
      <w:r w:rsidR="00917CC3" w:rsidRPr="00C94B20">
        <w:rPr>
          <w:rFonts w:ascii="Georgia" w:eastAsiaTheme="minorEastAsia" w:hAnsi="Georgia" w:cs="Times New Roman"/>
          <w:sz w:val="24"/>
          <w:szCs w:val="24"/>
        </w:rPr>
        <w:t xml:space="preserve"> with income.</w:t>
      </w:r>
      <w:r w:rsidR="00B514FF" w:rsidRPr="00C94B20">
        <w:rPr>
          <w:rFonts w:ascii="Georgia" w:eastAsiaTheme="minorEastAsia" w:hAnsi="Georgia" w:cs="Times New Roman"/>
          <w:sz w:val="24"/>
          <w:szCs w:val="24"/>
        </w:rPr>
        <w:t xml:space="preserve"> That proportion was a</w:t>
      </w:r>
      <w:r w:rsidR="005E6E00" w:rsidRPr="00C94B20">
        <w:rPr>
          <w:rFonts w:ascii="Georgia" w:eastAsiaTheme="minorEastAsia" w:hAnsi="Georgia" w:cs="Times New Roman"/>
          <w:sz w:val="24"/>
          <w:szCs w:val="24"/>
        </w:rPr>
        <w:t>pproximately</w:t>
      </w:r>
      <w:r w:rsidR="00B514FF" w:rsidRPr="00C94B20">
        <w:rPr>
          <w:rFonts w:ascii="Georgia" w:eastAsiaTheme="minorEastAsia" w:hAnsi="Georgia" w:cs="Times New Roman"/>
          <w:sz w:val="24"/>
          <w:szCs w:val="24"/>
        </w:rPr>
        <w:t xml:space="preserve"> 23</w:t>
      </w:r>
      <w:r w:rsidR="005E6E00" w:rsidRPr="00C94B20">
        <w:rPr>
          <w:rFonts w:ascii="Georgia" w:eastAsiaTheme="minorEastAsia" w:hAnsi="Georgia" w:cs="Times New Roman"/>
          <w:sz w:val="24"/>
          <w:szCs w:val="24"/>
        </w:rPr>
        <w:t>%</w:t>
      </w:r>
      <w:r w:rsidR="00B514FF" w:rsidRPr="00C94B20">
        <w:rPr>
          <w:rFonts w:ascii="Georgia" w:eastAsiaTheme="minorEastAsia" w:hAnsi="Georgia" w:cs="Times New Roman"/>
          <w:sz w:val="24"/>
          <w:szCs w:val="24"/>
        </w:rPr>
        <w:t xml:space="preserve"> for the poorest income quintile and</w:t>
      </w:r>
      <w:r w:rsidR="005E6E00" w:rsidRPr="00C94B20">
        <w:rPr>
          <w:rFonts w:ascii="Georgia" w:eastAsiaTheme="minorEastAsia" w:hAnsi="Georgia" w:cs="Times New Roman"/>
          <w:sz w:val="24"/>
          <w:szCs w:val="24"/>
        </w:rPr>
        <w:t xml:space="preserve"> </w:t>
      </w:r>
      <w:r w:rsidR="0048528B" w:rsidRPr="00C94B20">
        <w:rPr>
          <w:rFonts w:ascii="Georgia" w:eastAsiaTheme="minorEastAsia" w:hAnsi="Georgia" w:cs="Times New Roman"/>
          <w:sz w:val="24"/>
          <w:szCs w:val="24"/>
        </w:rPr>
        <w:t xml:space="preserve">about twice as </w:t>
      </w:r>
      <w:r w:rsidR="000A0AD8" w:rsidRPr="00C94B20">
        <w:rPr>
          <w:rFonts w:ascii="Georgia" w:eastAsiaTheme="minorEastAsia" w:hAnsi="Georgia" w:cs="Times New Roman"/>
          <w:sz w:val="24"/>
          <w:szCs w:val="24"/>
        </w:rPr>
        <w:t xml:space="preserve">large </w:t>
      </w:r>
      <w:r w:rsidR="0048528B" w:rsidRPr="00C94B20">
        <w:rPr>
          <w:rFonts w:ascii="Georgia" w:eastAsiaTheme="minorEastAsia" w:hAnsi="Georgia" w:cs="Times New Roman"/>
          <w:sz w:val="24"/>
          <w:szCs w:val="24"/>
        </w:rPr>
        <w:t>for the richest quintile</w:t>
      </w:r>
      <w:r w:rsidR="00917CC3" w:rsidRPr="00C94B20">
        <w:rPr>
          <w:rFonts w:ascii="Georgia" w:eastAsiaTheme="minorEastAsia" w:hAnsi="Georgia" w:cs="Times New Roman"/>
          <w:sz w:val="24"/>
          <w:szCs w:val="24"/>
        </w:rPr>
        <w:t xml:space="preserve"> </w:t>
      </w:r>
      <w:r w:rsidR="00733C35" w:rsidRPr="00C94B20">
        <w:rPr>
          <w:rFonts w:ascii="Georgia" w:hAnsi="Georgia" w:cs="Times New Roman"/>
          <w:bCs/>
          <w:sz w:val="24"/>
          <w:szCs w:val="24"/>
        </w:rPr>
        <w:t>(Demery &amp; Gaddis, 2009: Table I</w:t>
      </w:r>
      <w:r w:rsidR="006C0634" w:rsidRPr="00C94B20">
        <w:rPr>
          <w:rFonts w:ascii="Georgia" w:hAnsi="Georgia" w:cs="Times New Roman"/>
          <w:bCs/>
          <w:sz w:val="24"/>
          <w:szCs w:val="24"/>
        </w:rPr>
        <w:t>V</w:t>
      </w:r>
      <w:r w:rsidR="00733C35" w:rsidRPr="00C94B20">
        <w:rPr>
          <w:rFonts w:ascii="Georgia" w:hAnsi="Georgia" w:cs="Times New Roman"/>
          <w:bCs/>
          <w:sz w:val="24"/>
          <w:szCs w:val="24"/>
        </w:rPr>
        <w:t>.</w:t>
      </w:r>
      <w:r w:rsidR="006C0634" w:rsidRPr="00C94B20">
        <w:rPr>
          <w:rFonts w:ascii="Georgia" w:hAnsi="Georgia" w:cs="Times New Roman"/>
          <w:bCs/>
          <w:sz w:val="24"/>
          <w:szCs w:val="24"/>
        </w:rPr>
        <w:t>3</w:t>
      </w:r>
      <w:r w:rsidR="00733C35" w:rsidRPr="00C94B20">
        <w:rPr>
          <w:rFonts w:ascii="Georgia" w:hAnsi="Georgia" w:cs="Times New Roman"/>
          <w:bCs/>
          <w:sz w:val="24"/>
          <w:szCs w:val="24"/>
        </w:rPr>
        <w:t>).</w:t>
      </w:r>
      <w:r w:rsidR="00DD5ABD" w:rsidRPr="00C94B20">
        <w:rPr>
          <w:rFonts w:ascii="Georgia" w:hAnsi="Georgia" w:cs="Times New Roman"/>
          <w:bCs/>
          <w:sz w:val="24"/>
          <w:szCs w:val="24"/>
        </w:rPr>
        <w:t xml:space="preserve"> </w:t>
      </w:r>
      <w:r w:rsidR="00DD42B7" w:rsidRPr="00C94B20">
        <w:rPr>
          <w:rFonts w:ascii="Georgia" w:hAnsi="Georgia" w:cs="Times New Roman"/>
          <w:bCs/>
          <w:sz w:val="24"/>
          <w:szCs w:val="24"/>
        </w:rPr>
        <w:t>Similarly, three quarters of women age</w:t>
      </w:r>
      <w:r w:rsidR="007A2157" w:rsidRPr="00C94B20">
        <w:rPr>
          <w:rFonts w:ascii="Georgia" w:hAnsi="Georgia" w:cs="Times New Roman"/>
          <w:bCs/>
          <w:sz w:val="24"/>
          <w:szCs w:val="24"/>
        </w:rPr>
        <w:t>d 1</w:t>
      </w:r>
      <w:r w:rsidR="002237A3" w:rsidRPr="00C94B20">
        <w:rPr>
          <w:rFonts w:ascii="Georgia" w:hAnsi="Georgia" w:cs="Times New Roman"/>
          <w:bCs/>
          <w:sz w:val="24"/>
          <w:szCs w:val="24"/>
        </w:rPr>
        <w:t xml:space="preserve">5-49 years </w:t>
      </w:r>
      <w:r w:rsidR="007A2157" w:rsidRPr="00C94B20">
        <w:rPr>
          <w:rFonts w:ascii="Georgia" w:hAnsi="Georgia" w:cs="Times New Roman"/>
          <w:bCs/>
          <w:sz w:val="24"/>
          <w:szCs w:val="24"/>
        </w:rPr>
        <w:t xml:space="preserve">in the lowest wealth quintile </w:t>
      </w:r>
      <w:r w:rsidR="002E5261" w:rsidRPr="00C94B20">
        <w:rPr>
          <w:rFonts w:ascii="Georgia" w:hAnsi="Georgia" w:cs="Times New Roman"/>
          <w:bCs/>
          <w:sz w:val="24"/>
          <w:szCs w:val="24"/>
        </w:rPr>
        <w:t>had at least one problem to assess healthcare in 2022</w:t>
      </w:r>
      <w:r w:rsidR="007A2157" w:rsidRPr="00C94B20">
        <w:rPr>
          <w:rFonts w:ascii="Georgia" w:hAnsi="Georgia" w:cs="Times New Roman"/>
          <w:bCs/>
          <w:sz w:val="24"/>
          <w:szCs w:val="24"/>
        </w:rPr>
        <w:t>, compared to only 30</w:t>
      </w:r>
      <w:r w:rsidR="00344E74" w:rsidRPr="00C94B20">
        <w:rPr>
          <w:rFonts w:ascii="Georgia" w:hAnsi="Georgia" w:cs="Times New Roman"/>
          <w:bCs/>
          <w:sz w:val="24"/>
          <w:szCs w:val="24"/>
        </w:rPr>
        <w:t xml:space="preserve"> of the women in the highest wealth </w:t>
      </w:r>
      <w:r w:rsidR="000656F0" w:rsidRPr="00C94B20">
        <w:rPr>
          <w:rFonts w:ascii="Georgia" w:hAnsi="Georgia" w:cs="Times New Roman"/>
          <w:bCs/>
          <w:sz w:val="24"/>
          <w:szCs w:val="24"/>
        </w:rPr>
        <w:t>quintile (KNBS, 2023c: Table 9.19)</w:t>
      </w:r>
      <w:r w:rsidR="005C38CE" w:rsidRPr="00C94B20">
        <w:rPr>
          <w:rFonts w:ascii="Georgia" w:hAnsi="Georgia" w:cs="Times New Roman"/>
          <w:bCs/>
          <w:sz w:val="24"/>
          <w:szCs w:val="24"/>
        </w:rPr>
        <w:t>.</w:t>
      </w:r>
      <w:r w:rsidR="007A2157" w:rsidRPr="00C94B20">
        <w:rPr>
          <w:rFonts w:ascii="Georgia" w:hAnsi="Georgia" w:cs="Times New Roman"/>
          <w:bCs/>
          <w:sz w:val="24"/>
          <w:szCs w:val="24"/>
        </w:rPr>
        <w:t xml:space="preserve"> </w:t>
      </w:r>
      <w:r w:rsidR="009B0574" w:rsidRPr="00C94B20">
        <w:rPr>
          <w:rFonts w:ascii="Georgia" w:hAnsi="Georgia" w:cs="Times New Roman"/>
          <w:bCs/>
          <w:sz w:val="24"/>
          <w:szCs w:val="24"/>
        </w:rPr>
        <w:t xml:space="preserve">Obtaining money for treatment was the key problem for women and was inversely related to their wealth level. Distance to a health facility was also a more common problem for poorer women than for women in higher wealth quintiles. For that reason, the </w:t>
      </w:r>
      <w:r w:rsidR="00A14A98" w:rsidRPr="00C94B20">
        <w:rPr>
          <w:rFonts w:ascii="Georgia" w:hAnsi="Georgia" w:cs="Times New Roman"/>
          <w:bCs/>
          <w:sz w:val="24"/>
          <w:szCs w:val="24"/>
        </w:rPr>
        <w:t xml:space="preserve">proportion of </w:t>
      </w:r>
      <w:r w:rsidR="009B0574" w:rsidRPr="00C94B20">
        <w:rPr>
          <w:rFonts w:ascii="Georgia" w:hAnsi="Georgia" w:cs="Times New Roman"/>
          <w:bCs/>
          <w:sz w:val="24"/>
          <w:szCs w:val="24"/>
        </w:rPr>
        <w:t xml:space="preserve">women of </w:t>
      </w:r>
      <w:r w:rsidR="001E2B50" w:rsidRPr="00C94B20">
        <w:rPr>
          <w:rFonts w:ascii="Georgia" w:hAnsi="Georgia" w:cs="Times New Roman"/>
          <w:bCs/>
          <w:sz w:val="24"/>
          <w:szCs w:val="24"/>
        </w:rPr>
        <w:t xml:space="preserve">15-49 years </w:t>
      </w:r>
      <w:r w:rsidR="00A14A98" w:rsidRPr="00C94B20">
        <w:rPr>
          <w:rFonts w:ascii="Georgia" w:hAnsi="Georgia" w:cs="Times New Roman"/>
          <w:bCs/>
          <w:sz w:val="24"/>
          <w:szCs w:val="24"/>
        </w:rPr>
        <w:t>who faced at least one problem to access hea</w:t>
      </w:r>
      <w:r w:rsidR="005D1138" w:rsidRPr="00C94B20">
        <w:rPr>
          <w:rFonts w:ascii="Georgia" w:hAnsi="Georgia" w:cs="Times New Roman"/>
          <w:bCs/>
          <w:sz w:val="24"/>
          <w:szCs w:val="24"/>
        </w:rPr>
        <w:t>l</w:t>
      </w:r>
      <w:r w:rsidR="00A14A98" w:rsidRPr="00C94B20">
        <w:rPr>
          <w:rFonts w:ascii="Georgia" w:hAnsi="Georgia" w:cs="Times New Roman"/>
          <w:bCs/>
          <w:sz w:val="24"/>
          <w:szCs w:val="24"/>
        </w:rPr>
        <w:t xml:space="preserve">th care </w:t>
      </w:r>
      <w:r w:rsidR="005D1138" w:rsidRPr="00C94B20">
        <w:rPr>
          <w:rFonts w:ascii="Georgia" w:hAnsi="Georgia" w:cs="Times New Roman"/>
          <w:bCs/>
          <w:sz w:val="24"/>
          <w:szCs w:val="24"/>
        </w:rPr>
        <w:t xml:space="preserve">was relatively high in </w:t>
      </w:r>
      <w:r w:rsidR="001E2B50" w:rsidRPr="00C94B20">
        <w:rPr>
          <w:rFonts w:ascii="Georgia" w:hAnsi="Georgia" w:cs="Times New Roman"/>
          <w:bCs/>
          <w:sz w:val="24"/>
          <w:szCs w:val="24"/>
        </w:rPr>
        <w:t>rural areas</w:t>
      </w:r>
      <w:r w:rsidR="005D1138" w:rsidRPr="00C94B20">
        <w:rPr>
          <w:rFonts w:ascii="Georgia" w:hAnsi="Georgia" w:cs="Times New Roman"/>
          <w:bCs/>
          <w:sz w:val="24"/>
          <w:szCs w:val="24"/>
        </w:rPr>
        <w:t xml:space="preserve"> and in counties such as </w:t>
      </w:r>
      <w:r w:rsidR="003F311C" w:rsidRPr="00C94B20">
        <w:rPr>
          <w:rFonts w:ascii="Georgia" w:hAnsi="Georgia" w:cs="Times New Roman"/>
          <w:bCs/>
          <w:sz w:val="24"/>
          <w:szCs w:val="24"/>
        </w:rPr>
        <w:t>Kwale</w:t>
      </w:r>
      <w:r w:rsidR="00A24358" w:rsidRPr="00C94B20">
        <w:rPr>
          <w:rFonts w:ascii="Georgia" w:hAnsi="Georgia" w:cs="Times New Roman"/>
          <w:bCs/>
          <w:sz w:val="24"/>
          <w:szCs w:val="24"/>
        </w:rPr>
        <w:t xml:space="preserve">, </w:t>
      </w:r>
      <w:r w:rsidR="00AF47A8" w:rsidRPr="00C94B20">
        <w:rPr>
          <w:rFonts w:ascii="Georgia" w:hAnsi="Georgia" w:cs="Times New Roman"/>
          <w:bCs/>
          <w:sz w:val="24"/>
          <w:szCs w:val="24"/>
        </w:rPr>
        <w:t>Tana River, Marsabit and Kisumu (KNBS, 2023c: Table 9.19C).</w:t>
      </w:r>
      <w:r w:rsidR="003E24B3" w:rsidRPr="00C94B20">
        <w:rPr>
          <w:rFonts w:ascii="Georgia" w:hAnsi="Georgia" w:cs="Times New Roman"/>
          <w:bCs/>
          <w:sz w:val="24"/>
          <w:szCs w:val="24"/>
        </w:rPr>
        <w:t xml:space="preserve"> </w:t>
      </w:r>
    </w:p>
    <w:p w14:paraId="2174EBAA" w14:textId="4BA7EEBC" w:rsidR="00F414E2" w:rsidRPr="00C94B20" w:rsidRDefault="002B11CA" w:rsidP="00F118A6">
      <w:pPr>
        <w:spacing w:after="120" w:line="240" w:lineRule="auto"/>
        <w:jc w:val="both"/>
        <w:rPr>
          <w:rFonts w:ascii="Georgia" w:eastAsiaTheme="minorEastAsia" w:hAnsi="Georgia" w:cs="Times New Roman"/>
          <w:sz w:val="24"/>
          <w:szCs w:val="24"/>
        </w:rPr>
      </w:pPr>
      <w:r w:rsidRPr="00C94B20">
        <w:rPr>
          <w:rFonts w:ascii="Georgia" w:eastAsiaTheme="minorEastAsia" w:hAnsi="Georgia" w:cs="Times New Roman"/>
          <w:sz w:val="24"/>
          <w:szCs w:val="24"/>
        </w:rPr>
        <w:t>Regarding health insurance coverage</w:t>
      </w:r>
      <w:r w:rsidR="000617E0" w:rsidRPr="00C94B20">
        <w:rPr>
          <w:rFonts w:ascii="Georgia" w:eastAsiaTheme="minorEastAsia" w:hAnsi="Georgia" w:cs="Times New Roman"/>
          <w:sz w:val="24"/>
          <w:szCs w:val="24"/>
        </w:rPr>
        <w:t xml:space="preserve"> in Kenya</w:t>
      </w:r>
      <w:r w:rsidRPr="00C94B20">
        <w:rPr>
          <w:rFonts w:ascii="Georgia" w:eastAsiaTheme="minorEastAsia" w:hAnsi="Georgia" w:cs="Times New Roman"/>
          <w:sz w:val="24"/>
          <w:szCs w:val="24"/>
        </w:rPr>
        <w:t xml:space="preserve">, there </w:t>
      </w:r>
      <w:r w:rsidR="008C3B4A" w:rsidRPr="00C94B20">
        <w:rPr>
          <w:rFonts w:ascii="Georgia" w:eastAsiaTheme="minorEastAsia" w:hAnsi="Georgia" w:cs="Times New Roman"/>
          <w:sz w:val="24"/>
          <w:szCs w:val="24"/>
        </w:rPr>
        <w:t>is evidence that this</w:t>
      </w:r>
      <w:r w:rsidR="002D0155" w:rsidRPr="00C94B20">
        <w:rPr>
          <w:rFonts w:ascii="Georgia" w:eastAsiaTheme="minorEastAsia" w:hAnsi="Georgia" w:cs="Times New Roman"/>
          <w:sz w:val="24"/>
          <w:szCs w:val="24"/>
        </w:rPr>
        <w:t xml:space="preserve"> </w:t>
      </w:r>
      <w:r w:rsidR="00CA5BE4" w:rsidRPr="00C94B20">
        <w:rPr>
          <w:rFonts w:ascii="Georgia" w:eastAsiaTheme="minorEastAsia" w:hAnsi="Georgia" w:cs="Times New Roman"/>
          <w:sz w:val="24"/>
          <w:szCs w:val="24"/>
        </w:rPr>
        <w:t>increased from 8% to 20% in 2009-2014</w:t>
      </w:r>
      <w:r w:rsidR="00836E10" w:rsidRPr="00C94B20">
        <w:rPr>
          <w:rFonts w:ascii="Georgia" w:eastAsiaTheme="minorEastAsia" w:hAnsi="Georgia" w:cs="Times New Roman"/>
          <w:sz w:val="24"/>
          <w:szCs w:val="24"/>
        </w:rPr>
        <w:t xml:space="preserve"> </w:t>
      </w:r>
      <w:r w:rsidR="009D3641" w:rsidRPr="00C94B20">
        <w:rPr>
          <w:rFonts w:ascii="Georgia" w:eastAsiaTheme="minorEastAsia" w:hAnsi="Georgia" w:cs="Times New Roman"/>
          <w:sz w:val="24"/>
          <w:szCs w:val="24"/>
        </w:rPr>
        <w:t xml:space="preserve">and that the degree of coverage </w:t>
      </w:r>
      <w:r w:rsidR="008C3B4A" w:rsidRPr="00C94B20">
        <w:rPr>
          <w:rFonts w:ascii="Georgia" w:eastAsiaTheme="minorEastAsia" w:hAnsi="Georgia" w:cs="Times New Roman"/>
          <w:sz w:val="24"/>
          <w:szCs w:val="24"/>
        </w:rPr>
        <w:t xml:space="preserve">became less unequal </w:t>
      </w:r>
      <w:r w:rsidR="00E23DD2" w:rsidRPr="00C94B20">
        <w:rPr>
          <w:rFonts w:ascii="Georgia" w:eastAsiaTheme="minorEastAsia" w:hAnsi="Georgia" w:cs="Times New Roman"/>
          <w:sz w:val="24"/>
          <w:szCs w:val="24"/>
        </w:rPr>
        <w:t>in that period</w:t>
      </w:r>
      <w:r w:rsidR="00342B87" w:rsidRPr="00C94B20">
        <w:rPr>
          <w:rFonts w:ascii="Georgia" w:eastAsiaTheme="minorEastAsia" w:hAnsi="Georgia" w:cs="Times New Roman"/>
          <w:sz w:val="24"/>
          <w:szCs w:val="24"/>
        </w:rPr>
        <w:t>, but that it remained pro-rich</w:t>
      </w:r>
      <w:r w:rsidR="008C3B4A" w:rsidRPr="00C94B20">
        <w:rPr>
          <w:rFonts w:ascii="Georgia" w:eastAsiaTheme="minorEastAsia" w:hAnsi="Georgia" w:cs="Times New Roman"/>
          <w:sz w:val="24"/>
          <w:szCs w:val="24"/>
        </w:rPr>
        <w:t xml:space="preserve"> (</w:t>
      </w:r>
      <w:r w:rsidR="000617E0" w:rsidRPr="00C94B20">
        <w:rPr>
          <w:rFonts w:ascii="Georgia" w:eastAsiaTheme="minorEastAsia" w:hAnsi="Georgia" w:cs="Times New Roman"/>
          <w:sz w:val="24"/>
          <w:szCs w:val="24"/>
        </w:rPr>
        <w:t>Kazungu and Barasa, 2017</w:t>
      </w:r>
      <w:r w:rsidR="00F814F9" w:rsidRPr="00C94B20">
        <w:rPr>
          <w:rFonts w:ascii="Georgia" w:eastAsiaTheme="minorEastAsia" w:hAnsi="Georgia" w:cs="Times New Roman"/>
          <w:sz w:val="24"/>
          <w:szCs w:val="24"/>
        </w:rPr>
        <w:t xml:space="preserve">). </w:t>
      </w:r>
      <w:r w:rsidR="00650A2E" w:rsidRPr="00C94B20">
        <w:rPr>
          <w:rFonts w:ascii="Georgia" w:eastAsiaTheme="minorEastAsia" w:hAnsi="Georgia" w:cs="Times New Roman"/>
          <w:sz w:val="24"/>
          <w:szCs w:val="24"/>
        </w:rPr>
        <w:t>According to MoH (2020:</w:t>
      </w:r>
      <w:r w:rsidR="002F15E0" w:rsidRPr="00C94B20">
        <w:rPr>
          <w:rFonts w:ascii="Georgia" w:eastAsiaTheme="minorEastAsia" w:hAnsi="Georgia" w:cs="Times New Roman"/>
          <w:sz w:val="24"/>
          <w:szCs w:val="24"/>
        </w:rPr>
        <w:t xml:space="preserve"> 1</w:t>
      </w:r>
      <w:r w:rsidR="00650A2E" w:rsidRPr="00C94B20">
        <w:rPr>
          <w:rFonts w:ascii="Georgia" w:eastAsiaTheme="minorEastAsia" w:hAnsi="Georgia" w:cs="Times New Roman"/>
          <w:sz w:val="24"/>
          <w:szCs w:val="24"/>
        </w:rPr>
        <w:t>8</w:t>
      </w:r>
      <w:r w:rsidR="002F15E0" w:rsidRPr="00C94B20">
        <w:rPr>
          <w:rFonts w:ascii="Georgia" w:eastAsiaTheme="minorEastAsia" w:hAnsi="Georgia" w:cs="Times New Roman"/>
          <w:sz w:val="24"/>
          <w:szCs w:val="24"/>
        </w:rPr>
        <w:t>-19</w:t>
      </w:r>
      <w:r w:rsidR="00650A2E" w:rsidRPr="00C94B20">
        <w:rPr>
          <w:rFonts w:ascii="Georgia" w:eastAsiaTheme="minorEastAsia" w:hAnsi="Georgia" w:cs="Times New Roman"/>
          <w:sz w:val="24"/>
          <w:szCs w:val="24"/>
        </w:rPr>
        <w:t xml:space="preserve">), </w:t>
      </w:r>
      <w:r w:rsidR="007C3298" w:rsidRPr="00C94B20">
        <w:rPr>
          <w:rFonts w:ascii="Georgia" w:eastAsiaTheme="minorEastAsia" w:hAnsi="Georgia" w:cs="Times New Roman"/>
          <w:sz w:val="24"/>
          <w:szCs w:val="24"/>
        </w:rPr>
        <w:t>overall, 17% of the Kenyan households had a form of health insurance</w:t>
      </w:r>
      <w:r w:rsidR="002F15E0" w:rsidRPr="00C94B20">
        <w:rPr>
          <w:rFonts w:ascii="Georgia" w:eastAsiaTheme="minorEastAsia" w:hAnsi="Georgia" w:cs="Times New Roman"/>
          <w:sz w:val="24"/>
          <w:szCs w:val="24"/>
        </w:rPr>
        <w:t xml:space="preserve"> in 2013</w:t>
      </w:r>
      <w:r w:rsidR="007C3298" w:rsidRPr="00C94B20">
        <w:rPr>
          <w:rFonts w:ascii="Georgia" w:eastAsiaTheme="minorEastAsia" w:hAnsi="Georgia" w:cs="Times New Roman"/>
          <w:sz w:val="24"/>
          <w:szCs w:val="24"/>
        </w:rPr>
        <w:t xml:space="preserve">, but </w:t>
      </w:r>
      <w:r w:rsidR="000307C4" w:rsidRPr="00C94B20">
        <w:rPr>
          <w:rFonts w:ascii="Georgia" w:eastAsiaTheme="minorEastAsia" w:hAnsi="Georgia" w:cs="Times New Roman"/>
          <w:sz w:val="24"/>
          <w:szCs w:val="24"/>
        </w:rPr>
        <w:t xml:space="preserve">only 3% of the </w:t>
      </w:r>
      <w:r w:rsidR="008A4C33" w:rsidRPr="00C94B20">
        <w:rPr>
          <w:rFonts w:ascii="Georgia" w:eastAsiaTheme="minorEastAsia" w:hAnsi="Georgia" w:cs="Times New Roman"/>
          <w:sz w:val="24"/>
          <w:szCs w:val="24"/>
        </w:rPr>
        <w:t xml:space="preserve">poorest quintile of the </w:t>
      </w:r>
      <w:r w:rsidR="000307C4" w:rsidRPr="00C94B20">
        <w:rPr>
          <w:rFonts w:ascii="Georgia" w:eastAsiaTheme="minorEastAsia" w:hAnsi="Georgia" w:cs="Times New Roman"/>
          <w:sz w:val="24"/>
          <w:szCs w:val="24"/>
        </w:rPr>
        <w:t xml:space="preserve">population </w:t>
      </w:r>
      <w:r w:rsidR="00615A0D" w:rsidRPr="00C94B20">
        <w:rPr>
          <w:rFonts w:ascii="Georgia" w:eastAsiaTheme="minorEastAsia" w:hAnsi="Georgia" w:cs="Times New Roman"/>
          <w:sz w:val="24"/>
          <w:szCs w:val="24"/>
        </w:rPr>
        <w:t xml:space="preserve">was covered by health insurance, compared to </w:t>
      </w:r>
      <w:r w:rsidR="002402C9" w:rsidRPr="00C94B20">
        <w:rPr>
          <w:rFonts w:ascii="Georgia" w:eastAsiaTheme="minorEastAsia" w:hAnsi="Georgia" w:cs="Times New Roman"/>
          <w:sz w:val="24"/>
          <w:szCs w:val="24"/>
        </w:rPr>
        <w:t>42% for the richest quintile</w:t>
      </w:r>
      <w:r w:rsidR="000617E0" w:rsidRPr="00C94B20">
        <w:rPr>
          <w:rFonts w:ascii="Georgia" w:eastAsiaTheme="minorEastAsia" w:hAnsi="Georgia" w:cs="Times New Roman"/>
          <w:sz w:val="24"/>
          <w:szCs w:val="24"/>
        </w:rPr>
        <w:t>.</w:t>
      </w:r>
      <w:r w:rsidR="00C05F58" w:rsidRPr="00C94B20">
        <w:rPr>
          <w:rFonts w:ascii="Georgia" w:eastAsiaTheme="minorEastAsia" w:hAnsi="Georgia" w:cs="Times New Roman"/>
          <w:sz w:val="24"/>
          <w:szCs w:val="24"/>
        </w:rPr>
        <w:t xml:space="preserve"> </w:t>
      </w:r>
      <w:r w:rsidR="00E73FE0" w:rsidRPr="00C94B20">
        <w:rPr>
          <w:rFonts w:ascii="Georgia" w:eastAsiaTheme="minorEastAsia" w:hAnsi="Georgia" w:cs="Times New Roman"/>
          <w:sz w:val="24"/>
          <w:szCs w:val="24"/>
        </w:rPr>
        <w:t>The degree of health insurance coverage was 26% in 2022</w:t>
      </w:r>
      <w:r w:rsidR="00F35484" w:rsidRPr="00C94B20">
        <w:rPr>
          <w:rFonts w:ascii="Georgia" w:eastAsiaTheme="minorEastAsia" w:hAnsi="Georgia" w:cs="Times New Roman"/>
          <w:sz w:val="24"/>
          <w:szCs w:val="24"/>
        </w:rPr>
        <w:t xml:space="preserve"> and ranged from 5% for the lowest wealth quintile to 58% for the highest quintile</w:t>
      </w:r>
      <w:r w:rsidR="00E73FE0" w:rsidRPr="00C94B20">
        <w:rPr>
          <w:rFonts w:ascii="Georgia" w:eastAsiaTheme="minorEastAsia" w:hAnsi="Georgia" w:cs="Times New Roman"/>
          <w:sz w:val="24"/>
          <w:szCs w:val="24"/>
        </w:rPr>
        <w:t xml:space="preserve"> (</w:t>
      </w:r>
      <w:r w:rsidR="00946EE9" w:rsidRPr="00C94B20">
        <w:rPr>
          <w:rFonts w:ascii="Georgia" w:eastAsiaTheme="minorEastAsia" w:hAnsi="Georgia" w:cs="Times New Roman"/>
          <w:sz w:val="24"/>
          <w:szCs w:val="24"/>
        </w:rPr>
        <w:t>KNBS, 2023c</w:t>
      </w:r>
      <w:r w:rsidR="008F5A83" w:rsidRPr="00C94B20">
        <w:rPr>
          <w:rFonts w:ascii="Georgia" w:eastAsiaTheme="minorEastAsia" w:hAnsi="Georgia" w:cs="Times New Roman"/>
          <w:sz w:val="24"/>
          <w:szCs w:val="24"/>
        </w:rPr>
        <w:t xml:space="preserve">: </w:t>
      </w:r>
      <w:r w:rsidR="00081896" w:rsidRPr="00C94B20">
        <w:rPr>
          <w:rFonts w:ascii="Georgia" w:hAnsi="Georgia" w:cs="Times New Roman"/>
          <w:bCs/>
          <w:sz w:val="24"/>
          <w:szCs w:val="24"/>
        </w:rPr>
        <w:t>Table 2.19</w:t>
      </w:r>
      <w:r w:rsidR="00946EE9" w:rsidRPr="00C94B20">
        <w:rPr>
          <w:rFonts w:ascii="Georgia" w:eastAsiaTheme="minorEastAsia" w:hAnsi="Georgia" w:cs="Times New Roman"/>
          <w:sz w:val="24"/>
          <w:szCs w:val="24"/>
        </w:rPr>
        <w:t>).</w:t>
      </w:r>
      <w:r w:rsidR="00081896" w:rsidRPr="00C94B20">
        <w:rPr>
          <w:rFonts w:ascii="Georgia" w:hAnsi="Georgia" w:cs="Times New Roman"/>
          <w:bCs/>
          <w:sz w:val="24"/>
          <w:szCs w:val="24"/>
        </w:rPr>
        <w:t xml:space="preserve"> The coverage was 40% in urban areas, but less than 20% in rural areas; </w:t>
      </w:r>
      <w:r w:rsidR="00EC43F3" w:rsidRPr="00C94B20">
        <w:rPr>
          <w:rFonts w:ascii="Georgia" w:hAnsi="Georgia" w:cs="Times New Roman"/>
          <w:bCs/>
          <w:sz w:val="24"/>
          <w:szCs w:val="24"/>
        </w:rPr>
        <w:t>it</w:t>
      </w:r>
      <w:r w:rsidR="00081896" w:rsidRPr="00C94B20">
        <w:rPr>
          <w:rFonts w:ascii="Georgia" w:hAnsi="Georgia" w:cs="Times New Roman"/>
          <w:bCs/>
          <w:sz w:val="24"/>
          <w:szCs w:val="24"/>
        </w:rPr>
        <w:t xml:space="preserve"> was extremely low in counties such as Tana River, Garissa, Mandera, Mars</w:t>
      </w:r>
      <w:r w:rsidR="00C90865" w:rsidRPr="00C94B20">
        <w:rPr>
          <w:rFonts w:ascii="Georgia" w:hAnsi="Georgia" w:cs="Times New Roman"/>
          <w:bCs/>
          <w:sz w:val="24"/>
          <w:szCs w:val="24"/>
        </w:rPr>
        <w:t>a</w:t>
      </w:r>
      <w:r w:rsidR="00081896" w:rsidRPr="00C94B20">
        <w:rPr>
          <w:rFonts w:ascii="Georgia" w:hAnsi="Georgia" w:cs="Times New Roman"/>
          <w:bCs/>
          <w:sz w:val="24"/>
          <w:szCs w:val="24"/>
        </w:rPr>
        <w:t>bit and West Pokot, whereas over 46% of the population of Nairobi ha</w:t>
      </w:r>
      <w:r w:rsidR="00EC43F3" w:rsidRPr="00C94B20">
        <w:rPr>
          <w:rFonts w:ascii="Georgia" w:hAnsi="Georgia" w:cs="Times New Roman"/>
          <w:bCs/>
          <w:sz w:val="24"/>
          <w:szCs w:val="24"/>
        </w:rPr>
        <w:t>d</w:t>
      </w:r>
      <w:r w:rsidR="00081896" w:rsidRPr="00C94B20">
        <w:rPr>
          <w:rFonts w:ascii="Georgia" w:hAnsi="Georgia" w:cs="Times New Roman"/>
          <w:bCs/>
          <w:sz w:val="24"/>
          <w:szCs w:val="24"/>
        </w:rPr>
        <w:t xml:space="preserve"> any form of health insurance (KNBS 2023c: Table 2.19C).</w:t>
      </w:r>
      <w:r w:rsidR="00886E99" w:rsidRPr="00C94B20">
        <w:rPr>
          <w:rFonts w:ascii="Georgia" w:hAnsi="Georgia" w:cs="Times New Roman"/>
          <w:bCs/>
          <w:sz w:val="24"/>
          <w:szCs w:val="24"/>
        </w:rPr>
        <w:t xml:space="preserve"> </w:t>
      </w:r>
    </w:p>
    <w:p w14:paraId="43720268" w14:textId="77777777" w:rsidR="00553FE4" w:rsidRPr="00C94B20" w:rsidRDefault="00F414E2" w:rsidP="00553FE4">
      <w:pPr>
        <w:spacing w:before="240" w:after="120" w:line="240" w:lineRule="auto"/>
        <w:jc w:val="both"/>
        <w:rPr>
          <w:rFonts w:ascii="Georgia" w:eastAsia="Times New Roman" w:hAnsi="Georgia" w:cs="Times New Roman"/>
          <w:color w:val="000000" w:themeColor="text1"/>
          <w:sz w:val="24"/>
          <w:szCs w:val="24"/>
        </w:rPr>
      </w:pPr>
      <w:r w:rsidRPr="00C94B20">
        <w:rPr>
          <w:rFonts w:ascii="Georgia" w:eastAsiaTheme="minorEastAsia" w:hAnsi="Georgia" w:cs="Times New Roman"/>
          <w:sz w:val="24"/>
          <w:szCs w:val="24"/>
        </w:rPr>
        <w:t>In sum, despite some improvements in the access to education and health services, substantial efforts are required to address the remaining inequalities in the access to these social services</w:t>
      </w:r>
      <w:r w:rsidR="00794B4C" w:rsidRPr="00C94B20">
        <w:rPr>
          <w:rFonts w:ascii="Georgia" w:eastAsiaTheme="minorEastAsia" w:hAnsi="Georgia" w:cs="Times New Roman"/>
          <w:sz w:val="24"/>
          <w:szCs w:val="24"/>
        </w:rPr>
        <w:t xml:space="preserve"> and to reduce gaps in the outcomes in these areas between people from different income groups.</w:t>
      </w:r>
      <w:r w:rsidRPr="00C94B20">
        <w:rPr>
          <w:rFonts w:ascii="Georgia" w:eastAsiaTheme="minorEastAsia" w:hAnsi="Georgia" w:cs="Times New Roman"/>
          <w:sz w:val="24"/>
          <w:szCs w:val="24"/>
        </w:rPr>
        <w:t xml:space="preserve"> </w:t>
      </w:r>
      <w:bookmarkStart w:id="64" w:name="_Toc129341288"/>
    </w:p>
    <w:p w14:paraId="07D33829" w14:textId="6BC09097" w:rsidR="00553FE4" w:rsidRPr="00C94B20" w:rsidRDefault="00553FE4" w:rsidP="00553FE4">
      <w:pPr>
        <w:pStyle w:val="Heading2"/>
        <w:numPr>
          <w:ilvl w:val="1"/>
          <w:numId w:val="1"/>
        </w:numPr>
        <w:spacing w:before="240" w:after="120" w:line="240" w:lineRule="auto"/>
        <w:ind w:left="567" w:hanging="567"/>
        <w:rPr>
          <w:rFonts w:ascii="Georgia" w:eastAsia="Constantia" w:hAnsi="Georgia" w:cs="Times New Roman"/>
          <w:color w:val="000000" w:themeColor="text1"/>
          <w:sz w:val="24"/>
          <w:szCs w:val="24"/>
          <w:lang w:eastAsia="en-GB"/>
        </w:rPr>
      </w:pPr>
      <w:bookmarkStart w:id="65" w:name="_Toc145928783"/>
      <w:r w:rsidRPr="00C94B20">
        <w:rPr>
          <w:rFonts w:ascii="Georgia" w:eastAsia="Constantia" w:hAnsi="Georgia" w:cs="Times New Roman"/>
          <w:color w:val="000000" w:themeColor="text1"/>
          <w:sz w:val="24"/>
          <w:szCs w:val="24"/>
          <w:lang w:eastAsia="en-GB"/>
        </w:rPr>
        <w:t>Gender</w:t>
      </w:r>
      <w:bookmarkEnd w:id="65"/>
      <w:r w:rsidRPr="00C94B20">
        <w:rPr>
          <w:rFonts w:ascii="Georgia" w:eastAsia="Constantia" w:hAnsi="Georgia" w:cs="Times New Roman"/>
          <w:color w:val="000000" w:themeColor="text1"/>
          <w:sz w:val="24"/>
          <w:szCs w:val="24"/>
          <w:lang w:eastAsia="en-GB"/>
        </w:rPr>
        <w:t xml:space="preserve"> </w:t>
      </w:r>
    </w:p>
    <w:bookmarkEnd w:id="64"/>
    <w:p w14:paraId="31AD3366" w14:textId="569DE91F" w:rsidR="00B82BB2" w:rsidRPr="00C94B20" w:rsidRDefault="00AC1220" w:rsidP="00B82BB2">
      <w:pPr>
        <w:spacing w:after="120" w:line="240" w:lineRule="auto"/>
        <w:jc w:val="both"/>
        <w:rPr>
          <w:rFonts w:ascii="Georgia" w:hAnsi="Georgia" w:cs="Times New Roman"/>
          <w:sz w:val="24"/>
          <w:szCs w:val="24"/>
        </w:rPr>
      </w:pPr>
      <w:r w:rsidRPr="00C94B20">
        <w:rPr>
          <w:rFonts w:ascii="Georgia" w:eastAsiaTheme="minorEastAsia" w:hAnsi="Georgia" w:cs="Times New Roman"/>
          <w:sz w:val="24"/>
          <w:szCs w:val="24"/>
        </w:rPr>
        <w:t>This part of the inequality diagnostic will deepen the analysis of inequality from the gender perspective. It will cover both inequality of opportunities and inequality of outcomes.</w:t>
      </w:r>
      <w:r w:rsidR="00DA172F" w:rsidRPr="00C94B20">
        <w:rPr>
          <w:rFonts w:ascii="Georgia" w:eastAsiaTheme="minorEastAsia" w:hAnsi="Georgia" w:cs="Times New Roman"/>
          <w:sz w:val="24"/>
          <w:szCs w:val="24"/>
        </w:rPr>
        <w:t xml:space="preserve"> </w:t>
      </w:r>
      <w:r w:rsidR="00F6633B" w:rsidRPr="00C94B20">
        <w:rPr>
          <w:rFonts w:ascii="Georgia" w:eastAsiaTheme="minorEastAsia" w:hAnsi="Georgia" w:cs="Times New Roman"/>
          <w:sz w:val="24"/>
          <w:szCs w:val="24"/>
        </w:rPr>
        <w:t xml:space="preserve">According to household survey data, </w:t>
      </w:r>
      <w:r w:rsidR="00E568B6" w:rsidRPr="00C94B20">
        <w:rPr>
          <w:rFonts w:ascii="Georgia" w:eastAsiaTheme="minorEastAsia" w:hAnsi="Georgia" w:cs="Times New Roman"/>
          <w:sz w:val="24"/>
          <w:szCs w:val="24"/>
        </w:rPr>
        <w:t xml:space="preserve">per capita expenditure </w:t>
      </w:r>
      <w:r w:rsidR="001941F4" w:rsidRPr="00C94B20">
        <w:rPr>
          <w:rFonts w:ascii="Georgia" w:eastAsiaTheme="minorEastAsia" w:hAnsi="Georgia" w:cs="Times New Roman"/>
          <w:sz w:val="24"/>
          <w:szCs w:val="24"/>
        </w:rPr>
        <w:t>was somewhat less un</w:t>
      </w:r>
      <w:r w:rsidR="00F6633B" w:rsidRPr="00C94B20">
        <w:rPr>
          <w:rFonts w:ascii="Georgia" w:eastAsiaTheme="minorEastAsia" w:hAnsi="Georgia" w:cs="Times New Roman"/>
          <w:sz w:val="24"/>
          <w:szCs w:val="24"/>
        </w:rPr>
        <w:t>equal</w:t>
      </w:r>
      <w:r w:rsidR="001941F4" w:rsidRPr="00C94B20">
        <w:rPr>
          <w:rFonts w:ascii="Georgia" w:eastAsiaTheme="minorEastAsia" w:hAnsi="Georgia" w:cs="Times New Roman"/>
          <w:sz w:val="24"/>
          <w:szCs w:val="24"/>
        </w:rPr>
        <w:t>l</w:t>
      </w:r>
      <w:r w:rsidR="00F6633B" w:rsidRPr="00C94B20">
        <w:rPr>
          <w:rFonts w:ascii="Georgia" w:eastAsiaTheme="minorEastAsia" w:hAnsi="Georgia" w:cs="Times New Roman"/>
          <w:sz w:val="24"/>
          <w:szCs w:val="24"/>
        </w:rPr>
        <w:t xml:space="preserve">y </w:t>
      </w:r>
      <w:r w:rsidR="001941F4" w:rsidRPr="00C94B20">
        <w:rPr>
          <w:rFonts w:ascii="Georgia" w:eastAsiaTheme="minorEastAsia" w:hAnsi="Georgia" w:cs="Times New Roman"/>
          <w:sz w:val="24"/>
          <w:szCs w:val="24"/>
        </w:rPr>
        <w:t xml:space="preserve">distributed </w:t>
      </w:r>
      <w:r w:rsidR="00F6633B" w:rsidRPr="00C94B20">
        <w:rPr>
          <w:rFonts w:ascii="Georgia" w:eastAsiaTheme="minorEastAsia" w:hAnsi="Georgia" w:cs="Times New Roman"/>
          <w:sz w:val="24"/>
          <w:szCs w:val="24"/>
        </w:rPr>
        <w:t xml:space="preserve">among female-headed households </w:t>
      </w:r>
      <w:r w:rsidR="00ED3B1B" w:rsidRPr="00C94B20">
        <w:rPr>
          <w:rFonts w:ascii="Georgia" w:eastAsiaTheme="minorEastAsia" w:hAnsi="Georgia" w:cs="Times New Roman"/>
          <w:sz w:val="24"/>
          <w:szCs w:val="24"/>
        </w:rPr>
        <w:t>than among male-headed households in 1994 and 2005/06,</w:t>
      </w:r>
      <w:r w:rsidR="007D478E" w:rsidRPr="00C94B20">
        <w:rPr>
          <w:rFonts w:ascii="Georgia" w:eastAsiaTheme="minorEastAsia" w:hAnsi="Georgia" w:cs="Times New Roman"/>
          <w:sz w:val="24"/>
          <w:szCs w:val="24"/>
        </w:rPr>
        <w:t xml:space="preserve"> but the opposite was the case in 2015/</w:t>
      </w:r>
      <w:r w:rsidR="00B314F3" w:rsidRPr="00C94B20">
        <w:rPr>
          <w:rFonts w:ascii="Georgia" w:eastAsiaTheme="minorEastAsia" w:hAnsi="Georgia" w:cs="Times New Roman"/>
          <w:sz w:val="24"/>
          <w:szCs w:val="24"/>
        </w:rPr>
        <w:t>16 (</w:t>
      </w:r>
      <w:r w:rsidR="00E65FEB" w:rsidRPr="00C94B20">
        <w:rPr>
          <w:rFonts w:ascii="Georgia" w:eastAsiaTheme="minorEastAsia" w:hAnsi="Georgia" w:cs="Times New Roman"/>
          <w:sz w:val="24"/>
          <w:szCs w:val="24"/>
        </w:rPr>
        <w:fldChar w:fldCharType="begin"/>
      </w:r>
      <w:r w:rsidR="00E65FEB" w:rsidRPr="00C94B20">
        <w:rPr>
          <w:rFonts w:ascii="Georgia" w:eastAsiaTheme="minorEastAsia" w:hAnsi="Georgia" w:cs="Times New Roman"/>
          <w:sz w:val="24"/>
          <w:szCs w:val="24"/>
        </w:rPr>
        <w:instrText xml:space="preserve"> REF _Ref134799850 \h  \* MERGEFORMAT </w:instrText>
      </w:r>
      <w:r w:rsidR="00E65FEB" w:rsidRPr="00C94B20">
        <w:rPr>
          <w:rFonts w:ascii="Georgia" w:eastAsiaTheme="minorEastAsia" w:hAnsi="Georgia" w:cs="Times New Roman"/>
          <w:sz w:val="24"/>
          <w:szCs w:val="24"/>
        </w:rPr>
      </w:r>
      <w:r w:rsidR="00E65FEB" w:rsidRPr="00C94B20">
        <w:rPr>
          <w:rFonts w:ascii="Georgia" w:eastAsiaTheme="minorEastAsia" w:hAnsi="Georgia" w:cs="Times New Roman"/>
          <w:sz w:val="24"/>
          <w:szCs w:val="24"/>
        </w:rPr>
        <w:fldChar w:fldCharType="separate"/>
      </w:r>
      <w:r w:rsidR="000F6B8E" w:rsidRPr="00C94B20">
        <w:rPr>
          <w:rFonts w:ascii="Georgia" w:hAnsi="Georgia" w:cs="Times New Roman"/>
          <w:sz w:val="24"/>
          <w:szCs w:val="24"/>
        </w:rPr>
        <w:t xml:space="preserve">Table </w:t>
      </w:r>
      <w:r w:rsidR="000F6B8E" w:rsidRPr="00C94B20">
        <w:rPr>
          <w:rFonts w:ascii="Georgia" w:hAnsi="Georgia" w:cs="Times New Roman"/>
          <w:noProof/>
          <w:sz w:val="24"/>
          <w:szCs w:val="24"/>
        </w:rPr>
        <w:t>5</w:t>
      </w:r>
      <w:r w:rsidR="00E65FEB" w:rsidRPr="00C94B20">
        <w:rPr>
          <w:rFonts w:ascii="Georgia" w:eastAsiaTheme="minorEastAsia" w:hAnsi="Georgia" w:cs="Times New Roman"/>
          <w:sz w:val="24"/>
          <w:szCs w:val="24"/>
        </w:rPr>
        <w:fldChar w:fldCharType="end"/>
      </w:r>
      <w:r w:rsidR="00E65FEB" w:rsidRPr="00C94B20">
        <w:rPr>
          <w:rFonts w:ascii="Georgia" w:eastAsiaTheme="minorEastAsia" w:hAnsi="Georgia" w:cs="Times New Roman"/>
          <w:sz w:val="24"/>
          <w:szCs w:val="24"/>
        </w:rPr>
        <w:t>).</w:t>
      </w:r>
      <w:r w:rsidR="002A6C2E" w:rsidRPr="00C94B20">
        <w:rPr>
          <w:rFonts w:ascii="Georgia" w:eastAsiaTheme="minorEastAsia" w:hAnsi="Georgia" w:cs="Times New Roman"/>
          <w:sz w:val="24"/>
          <w:szCs w:val="24"/>
        </w:rPr>
        <w:t xml:space="preserve"> </w:t>
      </w:r>
      <w:r w:rsidR="00504E0C" w:rsidRPr="00C94B20">
        <w:rPr>
          <w:rFonts w:ascii="Georgia" w:eastAsiaTheme="minorEastAsia" w:hAnsi="Georgia" w:cs="Times New Roman"/>
          <w:sz w:val="24"/>
          <w:szCs w:val="24"/>
        </w:rPr>
        <w:t xml:space="preserve">This holds for all the three inequality indices in the table, </w:t>
      </w:r>
      <w:r w:rsidR="009C5960" w:rsidRPr="00C94B20">
        <w:rPr>
          <w:rFonts w:ascii="Georgia" w:eastAsiaTheme="minorEastAsia" w:hAnsi="Georgia" w:cs="Times New Roman"/>
          <w:sz w:val="24"/>
          <w:szCs w:val="24"/>
        </w:rPr>
        <w:t>except for the Palma ratio in 2015/16</w:t>
      </w:r>
      <w:r w:rsidR="00A913AF" w:rsidRPr="00C94B20">
        <w:rPr>
          <w:rFonts w:ascii="Georgia" w:eastAsiaTheme="minorEastAsia" w:hAnsi="Georgia" w:cs="Times New Roman"/>
          <w:sz w:val="24"/>
          <w:szCs w:val="24"/>
        </w:rPr>
        <w:t>, which did not reveal a difference between male- and female-headed households</w:t>
      </w:r>
      <w:r w:rsidR="007135FE" w:rsidRPr="00C94B20">
        <w:rPr>
          <w:rFonts w:ascii="Georgia" w:eastAsiaTheme="minorEastAsia" w:hAnsi="Georgia" w:cs="Times New Roman"/>
          <w:sz w:val="24"/>
          <w:szCs w:val="24"/>
        </w:rPr>
        <w:t xml:space="preserve"> in terms of </w:t>
      </w:r>
      <w:r w:rsidR="00A171ED" w:rsidRPr="00C94B20">
        <w:rPr>
          <w:rFonts w:ascii="Georgia" w:eastAsiaTheme="minorEastAsia" w:hAnsi="Georgia" w:cs="Times New Roman"/>
          <w:sz w:val="24"/>
          <w:szCs w:val="24"/>
        </w:rPr>
        <w:t>the distribution of per capita expenditure</w:t>
      </w:r>
      <w:r w:rsidR="009C5960" w:rsidRPr="00C94B20">
        <w:rPr>
          <w:rFonts w:ascii="Georgia" w:eastAsiaTheme="minorEastAsia" w:hAnsi="Georgia" w:cs="Times New Roman"/>
          <w:sz w:val="24"/>
          <w:szCs w:val="24"/>
        </w:rPr>
        <w:t>.</w:t>
      </w:r>
    </w:p>
    <w:p w14:paraId="5C998EFE" w14:textId="4D5F1847" w:rsidR="00B82BB2" w:rsidRPr="009C5581" w:rsidRDefault="00B82BB2" w:rsidP="00C34229">
      <w:pPr>
        <w:spacing w:after="0"/>
        <w:rPr>
          <w:rFonts w:ascii="Times New Roman" w:hAnsi="Times New Roman" w:cs="Times New Roman"/>
          <w:sz w:val="20"/>
          <w:szCs w:val="20"/>
        </w:rPr>
      </w:pPr>
      <w:bookmarkStart w:id="66" w:name="_Ref134799850"/>
      <w:bookmarkStart w:id="67" w:name="_Toc137745024"/>
      <w:r w:rsidRPr="009C5581">
        <w:rPr>
          <w:rFonts w:ascii="Times New Roman" w:hAnsi="Times New Roman" w:cs="Times New Roman"/>
          <w:b/>
          <w:bCs/>
          <w:sz w:val="20"/>
          <w:szCs w:val="20"/>
        </w:rPr>
        <w:t xml:space="preserve">Table </w:t>
      </w:r>
      <w:r w:rsidRPr="009C5581">
        <w:rPr>
          <w:rFonts w:ascii="Times New Roman" w:hAnsi="Times New Roman" w:cs="Times New Roman"/>
          <w:b/>
          <w:bCs/>
          <w:sz w:val="20"/>
          <w:szCs w:val="20"/>
        </w:rPr>
        <w:fldChar w:fldCharType="begin"/>
      </w:r>
      <w:r w:rsidRPr="009C5581">
        <w:rPr>
          <w:rFonts w:ascii="Times New Roman" w:hAnsi="Times New Roman" w:cs="Times New Roman"/>
          <w:b/>
          <w:bCs/>
          <w:sz w:val="20"/>
          <w:szCs w:val="20"/>
        </w:rPr>
        <w:instrText xml:space="preserve"> SEQ Table \* ARABIC </w:instrText>
      </w:r>
      <w:r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5</w:t>
      </w:r>
      <w:r w:rsidRPr="009C5581">
        <w:rPr>
          <w:rFonts w:ascii="Times New Roman" w:hAnsi="Times New Roman" w:cs="Times New Roman"/>
          <w:b/>
          <w:bCs/>
          <w:sz w:val="20"/>
          <w:szCs w:val="20"/>
        </w:rPr>
        <w:fldChar w:fldCharType="end"/>
      </w:r>
      <w:bookmarkEnd w:id="66"/>
      <w:r w:rsidRPr="009C5581">
        <w:rPr>
          <w:rFonts w:ascii="Times New Roman" w:hAnsi="Times New Roman" w:cs="Times New Roman"/>
          <w:sz w:val="20"/>
          <w:szCs w:val="20"/>
        </w:rPr>
        <w:t xml:space="preserve">: </w:t>
      </w:r>
      <w:r w:rsidR="003963D2" w:rsidRPr="009C5581">
        <w:rPr>
          <w:rFonts w:ascii="Times New Roman" w:hAnsi="Times New Roman" w:cs="Times New Roman"/>
          <w:sz w:val="20"/>
          <w:szCs w:val="20"/>
        </w:rPr>
        <w:t>Inequality indices</w:t>
      </w:r>
      <w:r w:rsidRPr="009C5581">
        <w:rPr>
          <w:rFonts w:ascii="Times New Roman" w:hAnsi="Times New Roman" w:cs="Times New Roman"/>
          <w:sz w:val="20"/>
          <w:szCs w:val="20"/>
        </w:rPr>
        <w:t xml:space="preserve"> of per capita expenditure,</w:t>
      </w:r>
      <w:r w:rsidR="000D1643" w:rsidRPr="009C5581">
        <w:rPr>
          <w:rFonts w:ascii="Times New Roman" w:hAnsi="Times New Roman" w:cs="Times New Roman"/>
          <w:sz w:val="20"/>
          <w:szCs w:val="20"/>
        </w:rPr>
        <w:t xml:space="preserve"> by gender,</w:t>
      </w:r>
      <w:r w:rsidRPr="009C5581">
        <w:rPr>
          <w:rFonts w:ascii="Times New Roman" w:hAnsi="Times New Roman" w:cs="Times New Roman"/>
          <w:sz w:val="20"/>
          <w:szCs w:val="20"/>
        </w:rPr>
        <w:t xml:space="preserve"> </w:t>
      </w:r>
      <w:r w:rsidR="008E17F0" w:rsidRPr="009C5581">
        <w:rPr>
          <w:rFonts w:ascii="Times New Roman" w:hAnsi="Times New Roman" w:cs="Times New Roman"/>
          <w:sz w:val="20"/>
          <w:szCs w:val="20"/>
        </w:rPr>
        <w:t xml:space="preserve">1994, </w:t>
      </w:r>
      <w:r w:rsidRPr="009C5581">
        <w:rPr>
          <w:rFonts w:ascii="Times New Roman" w:hAnsi="Times New Roman" w:cs="Times New Roman"/>
          <w:sz w:val="20"/>
          <w:szCs w:val="20"/>
        </w:rPr>
        <w:t>2005/06 and 2015/16</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942"/>
        <w:gridCol w:w="942"/>
        <w:gridCol w:w="946"/>
        <w:gridCol w:w="943"/>
        <w:gridCol w:w="943"/>
        <w:gridCol w:w="943"/>
        <w:gridCol w:w="943"/>
        <w:gridCol w:w="943"/>
        <w:gridCol w:w="943"/>
      </w:tblGrid>
      <w:tr w:rsidR="00386A3B" w:rsidRPr="009C5581" w14:paraId="4AE2AC87" w14:textId="77777777" w:rsidTr="00A82686">
        <w:trPr>
          <w:trHeight w:val="20"/>
          <w:jc w:val="center"/>
        </w:trPr>
        <w:tc>
          <w:tcPr>
            <w:tcW w:w="705" w:type="pct"/>
            <w:vMerge w:val="restart"/>
            <w:shd w:val="clear" w:color="auto" w:fill="auto"/>
            <w:noWrap/>
            <w:vAlign w:val="bottom"/>
            <w:hideMark/>
          </w:tcPr>
          <w:p w14:paraId="7E16D13E" w14:textId="77777777" w:rsidR="00386A3B" w:rsidRPr="009C5581" w:rsidRDefault="00386A3B" w:rsidP="00EF4F0A">
            <w:pPr>
              <w:spacing w:after="120" w:line="240" w:lineRule="auto"/>
              <w:rPr>
                <w:rFonts w:ascii="Times New Roman" w:eastAsia="Times New Roman" w:hAnsi="Times New Roman" w:cs="Times New Roman"/>
                <w:b/>
                <w:bCs/>
                <w:sz w:val="16"/>
                <w:szCs w:val="16"/>
              </w:rPr>
            </w:pPr>
            <w:r w:rsidRPr="009C5581">
              <w:rPr>
                <w:rFonts w:ascii="Times New Roman" w:eastAsia="Times New Roman" w:hAnsi="Times New Roman" w:cs="Times New Roman"/>
                <w:b/>
                <w:bCs/>
                <w:sz w:val="16"/>
                <w:szCs w:val="16"/>
              </w:rPr>
              <w:t>Gender of household head</w:t>
            </w:r>
            <w:r w:rsidRPr="009C5581">
              <w:rPr>
                <w:rFonts w:ascii="Times New Roman" w:eastAsia="Times New Roman" w:hAnsi="Times New Roman" w:cs="Times New Roman"/>
                <w:color w:val="000000"/>
                <w:sz w:val="16"/>
                <w:szCs w:val="16"/>
              </w:rPr>
              <w:t xml:space="preserve"> </w:t>
            </w:r>
          </w:p>
        </w:tc>
        <w:tc>
          <w:tcPr>
            <w:tcW w:w="1433" w:type="pct"/>
            <w:gridSpan w:val="3"/>
            <w:vAlign w:val="center"/>
          </w:tcPr>
          <w:p w14:paraId="4C6637E0"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Gini coefficient</w:t>
            </w:r>
          </w:p>
        </w:tc>
        <w:tc>
          <w:tcPr>
            <w:tcW w:w="1431" w:type="pct"/>
            <w:gridSpan w:val="3"/>
            <w:vAlign w:val="center"/>
          </w:tcPr>
          <w:p w14:paraId="087A6C10"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Theil coefficient</w:t>
            </w:r>
          </w:p>
        </w:tc>
        <w:tc>
          <w:tcPr>
            <w:tcW w:w="1431" w:type="pct"/>
            <w:gridSpan w:val="3"/>
            <w:vAlign w:val="center"/>
          </w:tcPr>
          <w:p w14:paraId="5B905390"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Palma ratio</w:t>
            </w:r>
          </w:p>
        </w:tc>
      </w:tr>
      <w:tr w:rsidR="00386A3B" w:rsidRPr="009C5581" w14:paraId="7F7DD7EB" w14:textId="77777777" w:rsidTr="00EF4F0A">
        <w:trPr>
          <w:trHeight w:val="20"/>
          <w:jc w:val="center"/>
        </w:trPr>
        <w:tc>
          <w:tcPr>
            <w:tcW w:w="705" w:type="pct"/>
            <w:vMerge/>
            <w:shd w:val="clear" w:color="auto" w:fill="auto"/>
            <w:noWrap/>
            <w:vAlign w:val="bottom"/>
            <w:hideMark/>
          </w:tcPr>
          <w:p w14:paraId="7501A27D" w14:textId="77777777" w:rsidR="00386A3B" w:rsidRPr="009C5581" w:rsidRDefault="00386A3B" w:rsidP="00A82686">
            <w:pPr>
              <w:spacing w:after="0" w:line="240" w:lineRule="auto"/>
              <w:rPr>
                <w:rFonts w:ascii="Times New Roman" w:eastAsia="Times New Roman" w:hAnsi="Times New Roman" w:cs="Times New Roman"/>
                <w:color w:val="000000"/>
                <w:sz w:val="16"/>
                <w:szCs w:val="16"/>
              </w:rPr>
            </w:pPr>
          </w:p>
        </w:tc>
        <w:tc>
          <w:tcPr>
            <w:tcW w:w="477" w:type="pct"/>
            <w:shd w:val="clear" w:color="auto" w:fill="auto"/>
            <w:noWrap/>
            <w:vAlign w:val="center"/>
          </w:tcPr>
          <w:p w14:paraId="5AC38161"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1994</w:t>
            </w:r>
          </w:p>
        </w:tc>
        <w:tc>
          <w:tcPr>
            <w:tcW w:w="477" w:type="pct"/>
            <w:vAlign w:val="center"/>
          </w:tcPr>
          <w:p w14:paraId="19475CB4"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2005/06</w:t>
            </w:r>
          </w:p>
        </w:tc>
        <w:tc>
          <w:tcPr>
            <w:tcW w:w="479" w:type="pct"/>
            <w:shd w:val="clear" w:color="auto" w:fill="auto"/>
            <w:noWrap/>
            <w:vAlign w:val="center"/>
            <w:hideMark/>
          </w:tcPr>
          <w:p w14:paraId="61BC1F89"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2015/16</w:t>
            </w:r>
          </w:p>
        </w:tc>
        <w:tc>
          <w:tcPr>
            <w:tcW w:w="477" w:type="pct"/>
            <w:vAlign w:val="center"/>
          </w:tcPr>
          <w:p w14:paraId="0912A2D0"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1994</w:t>
            </w:r>
          </w:p>
        </w:tc>
        <w:tc>
          <w:tcPr>
            <w:tcW w:w="477" w:type="pct"/>
            <w:vAlign w:val="center"/>
          </w:tcPr>
          <w:p w14:paraId="2AFCC973"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2005/06</w:t>
            </w:r>
          </w:p>
        </w:tc>
        <w:tc>
          <w:tcPr>
            <w:tcW w:w="477" w:type="pct"/>
            <w:vAlign w:val="center"/>
          </w:tcPr>
          <w:p w14:paraId="3EC909FC"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2015/16</w:t>
            </w:r>
          </w:p>
        </w:tc>
        <w:tc>
          <w:tcPr>
            <w:tcW w:w="477" w:type="pct"/>
            <w:vAlign w:val="center"/>
          </w:tcPr>
          <w:p w14:paraId="4190CDC8"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1994</w:t>
            </w:r>
          </w:p>
        </w:tc>
        <w:tc>
          <w:tcPr>
            <w:tcW w:w="477" w:type="pct"/>
            <w:vAlign w:val="center"/>
          </w:tcPr>
          <w:p w14:paraId="6B334533"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2005/06</w:t>
            </w:r>
          </w:p>
        </w:tc>
        <w:tc>
          <w:tcPr>
            <w:tcW w:w="477" w:type="pct"/>
            <w:vAlign w:val="center"/>
          </w:tcPr>
          <w:p w14:paraId="28F2A3AC"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2015/16</w:t>
            </w:r>
          </w:p>
        </w:tc>
      </w:tr>
      <w:tr w:rsidR="00386A3B" w:rsidRPr="009C5581" w14:paraId="58165F5B" w14:textId="77777777" w:rsidTr="00A82686">
        <w:trPr>
          <w:trHeight w:val="20"/>
          <w:jc w:val="center"/>
        </w:trPr>
        <w:tc>
          <w:tcPr>
            <w:tcW w:w="705" w:type="pct"/>
            <w:shd w:val="clear" w:color="auto" w:fill="auto"/>
            <w:noWrap/>
            <w:vAlign w:val="bottom"/>
            <w:hideMark/>
          </w:tcPr>
          <w:p w14:paraId="19D15BCB" w14:textId="77777777" w:rsidR="00386A3B" w:rsidRPr="009C5581" w:rsidRDefault="00386A3B" w:rsidP="00A82686">
            <w:pPr>
              <w:spacing w:after="0" w:line="240" w:lineRule="auto"/>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Male</w:t>
            </w:r>
          </w:p>
        </w:tc>
        <w:tc>
          <w:tcPr>
            <w:tcW w:w="477" w:type="pct"/>
            <w:shd w:val="clear" w:color="auto" w:fill="auto"/>
            <w:noWrap/>
            <w:vAlign w:val="bottom"/>
          </w:tcPr>
          <w:p w14:paraId="0FBB3352"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46.9</w:t>
            </w:r>
          </w:p>
        </w:tc>
        <w:tc>
          <w:tcPr>
            <w:tcW w:w="477" w:type="pct"/>
            <w:vAlign w:val="bottom"/>
          </w:tcPr>
          <w:p w14:paraId="1BAC8996"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47.1</w:t>
            </w:r>
          </w:p>
        </w:tc>
        <w:tc>
          <w:tcPr>
            <w:tcW w:w="479" w:type="pct"/>
            <w:shd w:val="clear" w:color="auto" w:fill="auto"/>
            <w:noWrap/>
            <w:vAlign w:val="bottom"/>
          </w:tcPr>
          <w:p w14:paraId="45270D31"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39.9</w:t>
            </w:r>
          </w:p>
        </w:tc>
        <w:tc>
          <w:tcPr>
            <w:tcW w:w="477" w:type="pct"/>
          </w:tcPr>
          <w:p w14:paraId="0631F881"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47.5</w:t>
            </w:r>
          </w:p>
        </w:tc>
        <w:tc>
          <w:tcPr>
            <w:tcW w:w="477" w:type="pct"/>
          </w:tcPr>
          <w:p w14:paraId="46172F53"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45.8</w:t>
            </w:r>
          </w:p>
        </w:tc>
        <w:tc>
          <w:tcPr>
            <w:tcW w:w="477" w:type="pct"/>
          </w:tcPr>
          <w:p w14:paraId="027F616B"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28.7</w:t>
            </w:r>
          </w:p>
        </w:tc>
        <w:tc>
          <w:tcPr>
            <w:tcW w:w="477" w:type="pct"/>
          </w:tcPr>
          <w:p w14:paraId="6BC8E650"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2.9</w:t>
            </w:r>
          </w:p>
        </w:tc>
        <w:tc>
          <w:tcPr>
            <w:tcW w:w="477" w:type="pct"/>
          </w:tcPr>
          <w:p w14:paraId="15387DDC"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2.9</w:t>
            </w:r>
          </w:p>
        </w:tc>
        <w:tc>
          <w:tcPr>
            <w:tcW w:w="477" w:type="pct"/>
          </w:tcPr>
          <w:p w14:paraId="33410F9A"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2.0</w:t>
            </w:r>
          </w:p>
        </w:tc>
      </w:tr>
      <w:tr w:rsidR="00386A3B" w:rsidRPr="009C5581" w14:paraId="00ADC5CD" w14:textId="77777777" w:rsidTr="00A82686">
        <w:trPr>
          <w:trHeight w:val="20"/>
          <w:jc w:val="center"/>
        </w:trPr>
        <w:tc>
          <w:tcPr>
            <w:tcW w:w="705" w:type="pct"/>
            <w:shd w:val="clear" w:color="auto" w:fill="auto"/>
            <w:noWrap/>
            <w:vAlign w:val="bottom"/>
            <w:hideMark/>
          </w:tcPr>
          <w:p w14:paraId="447C65F5" w14:textId="77777777" w:rsidR="00386A3B" w:rsidRPr="009C5581" w:rsidRDefault="00386A3B" w:rsidP="00A82686">
            <w:pPr>
              <w:spacing w:after="0" w:line="240" w:lineRule="auto"/>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Female</w:t>
            </w:r>
          </w:p>
        </w:tc>
        <w:tc>
          <w:tcPr>
            <w:tcW w:w="477" w:type="pct"/>
            <w:shd w:val="clear" w:color="auto" w:fill="auto"/>
            <w:noWrap/>
            <w:vAlign w:val="bottom"/>
          </w:tcPr>
          <w:p w14:paraId="7360449D"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42.7</w:t>
            </w:r>
          </w:p>
        </w:tc>
        <w:tc>
          <w:tcPr>
            <w:tcW w:w="477" w:type="pct"/>
            <w:vAlign w:val="bottom"/>
          </w:tcPr>
          <w:p w14:paraId="4F35285B"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46.3</w:t>
            </w:r>
          </w:p>
        </w:tc>
        <w:tc>
          <w:tcPr>
            <w:tcW w:w="479" w:type="pct"/>
            <w:shd w:val="clear" w:color="auto" w:fill="auto"/>
            <w:noWrap/>
            <w:vAlign w:val="bottom"/>
          </w:tcPr>
          <w:p w14:paraId="455A057F"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41.4</w:t>
            </w:r>
          </w:p>
        </w:tc>
        <w:tc>
          <w:tcPr>
            <w:tcW w:w="477" w:type="pct"/>
          </w:tcPr>
          <w:p w14:paraId="2991BC32"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34.0</w:t>
            </w:r>
          </w:p>
        </w:tc>
        <w:tc>
          <w:tcPr>
            <w:tcW w:w="477" w:type="pct"/>
          </w:tcPr>
          <w:p w14:paraId="56ED8296"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43.5</w:t>
            </w:r>
          </w:p>
        </w:tc>
        <w:tc>
          <w:tcPr>
            <w:tcW w:w="477" w:type="pct"/>
          </w:tcPr>
          <w:p w14:paraId="70B785B6"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29.8</w:t>
            </w:r>
          </w:p>
        </w:tc>
        <w:tc>
          <w:tcPr>
            <w:tcW w:w="477" w:type="pct"/>
          </w:tcPr>
          <w:p w14:paraId="4B91936C"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2.2</w:t>
            </w:r>
          </w:p>
        </w:tc>
        <w:tc>
          <w:tcPr>
            <w:tcW w:w="477" w:type="pct"/>
          </w:tcPr>
          <w:p w14:paraId="2AD17D43"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2.8</w:t>
            </w:r>
          </w:p>
        </w:tc>
        <w:tc>
          <w:tcPr>
            <w:tcW w:w="477" w:type="pct"/>
          </w:tcPr>
          <w:p w14:paraId="41BF43D0" w14:textId="77777777" w:rsidR="00386A3B" w:rsidRPr="009C5581" w:rsidRDefault="00386A3B" w:rsidP="00A82686">
            <w:pPr>
              <w:spacing w:after="0" w:line="240" w:lineRule="auto"/>
              <w:jc w:val="center"/>
              <w:rPr>
                <w:rFonts w:ascii="Times New Roman" w:eastAsia="Times New Roman" w:hAnsi="Times New Roman" w:cs="Times New Roman"/>
                <w:color w:val="000000"/>
                <w:sz w:val="16"/>
                <w:szCs w:val="16"/>
              </w:rPr>
            </w:pPr>
            <w:r w:rsidRPr="009C5581">
              <w:rPr>
                <w:rFonts w:ascii="Times New Roman" w:eastAsia="Times New Roman" w:hAnsi="Times New Roman" w:cs="Times New Roman"/>
                <w:color w:val="000000"/>
                <w:sz w:val="16"/>
                <w:szCs w:val="16"/>
              </w:rPr>
              <w:t>2.0</w:t>
            </w:r>
          </w:p>
        </w:tc>
      </w:tr>
      <w:tr w:rsidR="00386A3B" w:rsidRPr="009C5581" w14:paraId="6621EDC4" w14:textId="77777777" w:rsidTr="00A82686">
        <w:trPr>
          <w:trHeight w:val="20"/>
          <w:jc w:val="center"/>
        </w:trPr>
        <w:tc>
          <w:tcPr>
            <w:tcW w:w="705" w:type="pct"/>
            <w:shd w:val="clear" w:color="auto" w:fill="auto"/>
            <w:noWrap/>
            <w:vAlign w:val="bottom"/>
          </w:tcPr>
          <w:p w14:paraId="53F367A8" w14:textId="77777777" w:rsidR="00386A3B" w:rsidRPr="009C5581" w:rsidRDefault="00386A3B" w:rsidP="00A82686">
            <w:pPr>
              <w:spacing w:after="0" w:line="240" w:lineRule="auto"/>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Total</w:t>
            </w:r>
          </w:p>
        </w:tc>
        <w:tc>
          <w:tcPr>
            <w:tcW w:w="477" w:type="pct"/>
            <w:shd w:val="clear" w:color="auto" w:fill="auto"/>
            <w:noWrap/>
            <w:vAlign w:val="bottom"/>
          </w:tcPr>
          <w:p w14:paraId="3BDC8427"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46.0</w:t>
            </w:r>
          </w:p>
        </w:tc>
        <w:tc>
          <w:tcPr>
            <w:tcW w:w="477" w:type="pct"/>
            <w:vAlign w:val="bottom"/>
          </w:tcPr>
          <w:p w14:paraId="15C6AA22"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47.0</w:t>
            </w:r>
          </w:p>
        </w:tc>
        <w:tc>
          <w:tcPr>
            <w:tcW w:w="479" w:type="pct"/>
            <w:shd w:val="clear" w:color="auto" w:fill="auto"/>
            <w:noWrap/>
            <w:vAlign w:val="bottom"/>
          </w:tcPr>
          <w:p w14:paraId="0179854A"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40.4</w:t>
            </w:r>
          </w:p>
        </w:tc>
        <w:tc>
          <w:tcPr>
            <w:tcW w:w="477" w:type="pct"/>
          </w:tcPr>
          <w:p w14:paraId="2DFB1E6F"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44.6</w:t>
            </w:r>
          </w:p>
        </w:tc>
        <w:tc>
          <w:tcPr>
            <w:tcW w:w="477" w:type="pct"/>
          </w:tcPr>
          <w:p w14:paraId="15CB44CC"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45.4</w:t>
            </w:r>
          </w:p>
        </w:tc>
        <w:tc>
          <w:tcPr>
            <w:tcW w:w="477" w:type="pct"/>
          </w:tcPr>
          <w:p w14:paraId="321AF521"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29.1</w:t>
            </w:r>
          </w:p>
        </w:tc>
        <w:tc>
          <w:tcPr>
            <w:tcW w:w="477" w:type="pct"/>
          </w:tcPr>
          <w:p w14:paraId="4F3AB8DC"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2.8</w:t>
            </w:r>
          </w:p>
        </w:tc>
        <w:tc>
          <w:tcPr>
            <w:tcW w:w="477" w:type="pct"/>
          </w:tcPr>
          <w:p w14:paraId="1AD2A528"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2.9</w:t>
            </w:r>
          </w:p>
        </w:tc>
        <w:tc>
          <w:tcPr>
            <w:tcW w:w="477" w:type="pct"/>
          </w:tcPr>
          <w:p w14:paraId="1E16A76E" w14:textId="77777777" w:rsidR="00386A3B" w:rsidRPr="009C5581" w:rsidRDefault="00386A3B" w:rsidP="00A82686">
            <w:pPr>
              <w:spacing w:after="0" w:line="240" w:lineRule="auto"/>
              <w:jc w:val="center"/>
              <w:rPr>
                <w:rFonts w:ascii="Times New Roman" w:eastAsia="Times New Roman" w:hAnsi="Times New Roman" w:cs="Times New Roman"/>
                <w:b/>
                <w:bCs/>
                <w:color w:val="000000"/>
                <w:sz w:val="16"/>
                <w:szCs w:val="16"/>
              </w:rPr>
            </w:pPr>
            <w:r w:rsidRPr="009C5581">
              <w:rPr>
                <w:rFonts w:ascii="Times New Roman" w:eastAsia="Times New Roman" w:hAnsi="Times New Roman" w:cs="Times New Roman"/>
                <w:b/>
                <w:bCs/>
                <w:color w:val="000000"/>
                <w:sz w:val="16"/>
                <w:szCs w:val="16"/>
              </w:rPr>
              <w:t>2.0</w:t>
            </w:r>
          </w:p>
        </w:tc>
      </w:tr>
    </w:tbl>
    <w:p w14:paraId="2911801B" w14:textId="20C71D0C" w:rsidR="00B82BB2" w:rsidRPr="009C5581" w:rsidRDefault="00B82BB2" w:rsidP="00EF4F0A">
      <w:pPr>
        <w:tabs>
          <w:tab w:val="left" w:pos="2427"/>
        </w:tabs>
        <w:spacing w:after="120" w:line="240" w:lineRule="auto"/>
        <w:rPr>
          <w:rFonts w:ascii="Times New Roman" w:hAnsi="Times New Roman" w:cs="Times New Roman"/>
          <w:sz w:val="16"/>
          <w:szCs w:val="16"/>
        </w:rPr>
      </w:pPr>
      <w:r w:rsidRPr="009C5581">
        <w:rPr>
          <w:rFonts w:ascii="Times New Roman" w:hAnsi="Times New Roman" w:cs="Times New Roman"/>
          <w:sz w:val="16"/>
          <w:szCs w:val="16"/>
        </w:rPr>
        <w:t>Source: KNBS (2020b: Table 4.2)</w:t>
      </w:r>
    </w:p>
    <w:p w14:paraId="0BD0F6A2" w14:textId="3D4174AA" w:rsidR="006D5B9E" w:rsidRPr="00C94B20" w:rsidRDefault="00C94B20" w:rsidP="00D57E65">
      <w:pPr>
        <w:spacing w:after="120" w:line="240" w:lineRule="auto"/>
        <w:jc w:val="both"/>
        <w:rPr>
          <w:rFonts w:ascii="Georgia" w:hAnsi="Georgia" w:cs="Times New Roman"/>
          <w:sz w:val="24"/>
          <w:szCs w:val="24"/>
        </w:rPr>
      </w:pPr>
      <w:r w:rsidRPr="00C94B20">
        <w:rPr>
          <w:rFonts w:ascii="Georgia" w:hAnsi="Georgia" w:cs="Times New Roman"/>
          <w:noProof/>
          <w:sz w:val="24"/>
          <w:szCs w:val="24"/>
          <w:lang w:val="en-US"/>
        </w:rPr>
        <mc:AlternateContent>
          <mc:Choice Requires="wps">
            <w:drawing>
              <wp:anchor distT="45720" distB="45720" distL="114300" distR="114300" simplePos="0" relativeHeight="251660298" behindDoc="0" locked="0" layoutInCell="1" allowOverlap="1" wp14:anchorId="53197879" wp14:editId="7DA23D02">
                <wp:simplePos x="0" y="0"/>
                <wp:positionH relativeFrom="margin">
                  <wp:posOffset>3855720</wp:posOffset>
                </wp:positionH>
                <wp:positionV relativeFrom="paragraph">
                  <wp:posOffset>44450</wp:posOffset>
                </wp:positionV>
                <wp:extent cx="2371725" cy="698500"/>
                <wp:effectExtent l="0" t="0" r="28575"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98500"/>
                        </a:xfrm>
                        <a:prstGeom prst="rect">
                          <a:avLst/>
                        </a:prstGeom>
                        <a:solidFill>
                          <a:srgbClr val="FFFFFF"/>
                        </a:solidFill>
                        <a:ln w="9525">
                          <a:solidFill>
                            <a:srgbClr val="000000"/>
                          </a:solidFill>
                          <a:miter lim="800000"/>
                          <a:headEnd/>
                          <a:tailEnd/>
                        </a:ln>
                      </wps:spPr>
                      <wps:txbx>
                        <w:txbxContent>
                          <w:p w14:paraId="64919226" w14:textId="596A263B" w:rsidR="003646EB" w:rsidRPr="00C94B20" w:rsidRDefault="003646EB" w:rsidP="00C94B20">
                            <w:pPr>
                              <w:shd w:val="clear" w:color="auto" w:fill="FBE4D5" w:themeFill="accent2" w:themeFillTint="33"/>
                              <w:rPr>
                                <w:rFonts w:ascii="Georgia" w:hAnsi="Georgia"/>
                                <w:sz w:val="24"/>
                                <w:szCs w:val="24"/>
                              </w:rPr>
                            </w:pPr>
                            <w:r w:rsidRPr="00C94B20">
                              <w:rPr>
                                <w:rFonts w:ascii="Georgia" w:hAnsi="Georgia" w:cs="Times New Roman"/>
                                <w:i/>
                                <w:iCs/>
                                <w:sz w:val="24"/>
                                <w:szCs w:val="24"/>
                              </w:rPr>
                              <w:t>‘one of the crucial dimensions of inequality in Kenya is gender inequality’</w:t>
                            </w:r>
                            <w:r w:rsidRPr="00C94B20">
                              <w:rPr>
                                <w:rFonts w:ascii="Georgia" w:hAnsi="Georgia" w:cs="Times New Roman"/>
                                <w:sz w:val="24"/>
                                <w:szCs w:val="24"/>
                              </w:rPr>
                              <w:t xml:space="preserve"> (KNBS, 2020b: 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97879" id="_x0000_s1028" type="#_x0000_t202" style="position:absolute;left:0;text-align:left;margin-left:303.6pt;margin-top:3.5pt;width:186.75pt;height:55pt;z-index:251660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">
                <v:textbox>
                  <w:txbxContent>
                    <w:p w14:paraId="64919226" w14:textId="596A263B" w:rsidR="003646EB" w:rsidRPr="00C94B20" w:rsidRDefault="003646EB" w:rsidP="00C94B20">
                      <w:pPr>
                        <w:shd w:val="clear" w:color="auto" w:fill="FBE4D5" w:themeFill="accent2" w:themeFillTint="33"/>
                        <w:rPr>
                          <w:rFonts w:ascii="Georgia" w:hAnsi="Georgia"/>
                          <w:sz w:val="24"/>
                          <w:szCs w:val="24"/>
                        </w:rPr>
                      </w:pPr>
                      <w:r w:rsidRPr="00C94B20">
                        <w:rPr>
                          <w:rFonts w:ascii="Georgia" w:hAnsi="Georgia" w:cs="Times New Roman"/>
                          <w:i/>
                          <w:iCs/>
                          <w:sz w:val="24"/>
                          <w:szCs w:val="24"/>
                        </w:rPr>
                        <w:t>‘one of the crucial dimensions of inequality in Kenya is gender inequality’</w:t>
                      </w:r>
                      <w:r w:rsidRPr="00C94B20">
                        <w:rPr>
                          <w:rFonts w:ascii="Georgia" w:hAnsi="Georgia" w:cs="Times New Roman"/>
                          <w:sz w:val="24"/>
                          <w:szCs w:val="24"/>
                        </w:rPr>
                        <w:t xml:space="preserve"> (KNBS, 2020b: 103)</w:t>
                      </w:r>
                    </w:p>
                  </w:txbxContent>
                </v:textbox>
                <w10:wrap type="square" anchorx="margin"/>
              </v:shape>
            </w:pict>
          </mc:Fallback>
        </mc:AlternateContent>
      </w:r>
      <w:r w:rsidR="0054359F" w:rsidRPr="00C94B20">
        <w:rPr>
          <w:rFonts w:ascii="Georgia" w:eastAsiaTheme="minorEastAsia" w:hAnsi="Georgia" w:cs="Times New Roman"/>
          <w:sz w:val="24"/>
          <w:szCs w:val="24"/>
        </w:rPr>
        <w:t>Welfare of ho</w:t>
      </w:r>
      <w:r w:rsidR="005E6962" w:rsidRPr="00C94B20">
        <w:rPr>
          <w:rFonts w:ascii="Georgia" w:eastAsiaTheme="minorEastAsia" w:hAnsi="Georgia" w:cs="Times New Roman"/>
          <w:sz w:val="24"/>
          <w:szCs w:val="24"/>
        </w:rPr>
        <w:t>useholds thus appear</w:t>
      </w:r>
      <w:r w:rsidR="0054359F" w:rsidRPr="00C94B20">
        <w:rPr>
          <w:rFonts w:ascii="Georgia" w:eastAsiaTheme="minorEastAsia" w:hAnsi="Georgia" w:cs="Times New Roman"/>
          <w:sz w:val="24"/>
          <w:szCs w:val="24"/>
        </w:rPr>
        <w:t>s</w:t>
      </w:r>
      <w:r w:rsidR="005E6962" w:rsidRPr="00C94B20">
        <w:rPr>
          <w:rFonts w:ascii="Georgia" w:eastAsiaTheme="minorEastAsia" w:hAnsi="Georgia" w:cs="Times New Roman"/>
          <w:sz w:val="24"/>
          <w:szCs w:val="24"/>
        </w:rPr>
        <w:t xml:space="preserve"> to be</w:t>
      </w:r>
      <w:r w:rsidR="0054359F" w:rsidRPr="00C94B20">
        <w:rPr>
          <w:rFonts w:ascii="Georgia" w:eastAsiaTheme="minorEastAsia" w:hAnsi="Georgia" w:cs="Times New Roman"/>
          <w:sz w:val="24"/>
          <w:szCs w:val="24"/>
        </w:rPr>
        <w:t xml:space="preserve"> less </w:t>
      </w:r>
      <w:r w:rsidR="005F6EF4" w:rsidRPr="00C94B20">
        <w:rPr>
          <w:rFonts w:ascii="Georgia" w:eastAsiaTheme="minorEastAsia" w:hAnsi="Georgia" w:cs="Times New Roman"/>
          <w:sz w:val="24"/>
          <w:szCs w:val="24"/>
        </w:rPr>
        <w:t>un</w:t>
      </w:r>
      <w:r w:rsidR="0054359F" w:rsidRPr="00C94B20">
        <w:rPr>
          <w:rFonts w:ascii="Georgia" w:eastAsiaTheme="minorEastAsia" w:hAnsi="Georgia" w:cs="Times New Roman"/>
          <w:sz w:val="24"/>
          <w:szCs w:val="24"/>
        </w:rPr>
        <w:t>equa</w:t>
      </w:r>
      <w:r w:rsidR="005B5229" w:rsidRPr="00C94B20">
        <w:rPr>
          <w:rFonts w:ascii="Georgia" w:eastAsiaTheme="minorEastAsia" w:hAnsi="Georgia" w:cs="Times New Roman"/>
          <w:sz w:val="24"/>
          <w:szCs w:val="24"/>
        </w:rPr>
        <w:t>l</w:t>
      </w:r>
      <w:r w:rsidR="0054359F" w:rsidRPr="00C94B20">
        <w:rPr>
          <w:rFonts w:ascii="Georgia" w:eastAsiaTheme="minorEastAsia" w:hAnsi="Georgia" w:cs="Times New Roman"/>
          <w:sz w:val="24"/>
          <w:szCs w:val="24"/>
        </w:rPr>
        <w:t>ly distr</w:t>
      </w:r>
      <w:r w:rsidR="005B5229" w:rsidRPr="00C94B20">
        <w:rPr>
          <w:rFonts w:ascii="Georgia" w:eastAsiaTheme="minorEastAsia" w:hAnsi="Georgia" w:cs="Times New Roman"/>
          <w:sz w:val="24"/>
          <w:szCs w:val="24"/>
        </w:rPr>
        <w:t>ibuted</w:t>
      </w:r>
      <w:r w:rsidR="00994636" w:rsidRPr="00C94B20">
        <w:rPr>
          <w:rFonts w:ascii="Georgia" w:eastAsiaTheme="minorEastAsia" w:hAnsi="Georgia" w:cs="Times New Roman"/>
          <w:sz w:val="24"/>
          <w:szCs w:val="24"/>
        </w:rPr>
        <w:t xml:space="preserve"> if </w:t>
      </w:r>
      <w:r w:rsidR="005F6EF4" w:rsidRPr="00C94B20">
        <w:rPr>
          <w:rFonts w:ascii="Georgia" w:eastAsiaTheme="minorEastAsia" w:hAnsi="Georgia" w:cs="Times New Roman"/>
          <w:sz w:val="24"/>
          <w:szCs w:val="24"/>
        </w:rPr>
        <w:t xml:space="preserve">households </w:t>
      </w:r>
      <w:r w:rsidR="00AF7BB5" w:rsidRPr="00C94B20">
        <w:rPr>
          <w:rFonts w:ascii="Georgia" w:eastAsiaTheme="minorEastAsia" w:hAnsi="Georgia" w:cs="Times New Roman"/>
          <w:sz w:val="24"/>
          <w:szCs w:val="24"/>
        </w:rPr>
        <w:t xml:space="preserve">are </w:t>
      </w:r>
      <w:r w:rsidR="00994636" w:rsidRPr="00C94B20">
        <w:rPr>
          <w:rFonts w:ascii="Georgia" w:eastAsiaTheme="minorEastAsia" w:hAnsi="Georgia" w:cs="Times New Roman"/>
          <w:sz w:val="24"/>
          <w:szCs w:val="24"/>
        </w:rPr>
        <w:t>headed by women.</w:t>
      </w:r>
      <w:r w:rsidR="00AF7BB5" w:rsidRPr="00C94B20">
        <w:rPr>
          <w:rFonts w:ascii="Georgia" w:eastAsiaTheme="minorEastAsia" w:hAnsi="Georgia" w:cs="Times New Roman"/>
          <w:sz w:val="24"/>
          <w:szCs w:val="24"/>
        </w:rPr>
        <w:t xml:space="preserve"> </w:t>
      </w:r>
      <w:r w:rsidR="008D23E9" w:rsidRPr="00C94B20">
        <w:rPr>
          <w:rFonts w:ascii="Georgia" w:eastAsiaTheme="minorEastAsia" w:hAnsi="Georgia" w:cs="Times New Roman"/>
          <w:sz w:val="24"/>
          <w:szCs w:val="24"/>
        </w:rPr>
        <w:t>Further analysis shows that t</w:t>
      </w:r>
      <w:r w:rsidR="0028118F" w:rsidRPr="00C94B20">
        <w:rPr>
          <w:rFonts w:ascii="Georgia" w:eastAsiaTheme="minorEastAsia" w:hAnsi="Georgia" w:cs="Times New Roman"/>
          <w:sz w:val="24"/>
          <w:szCs w:val="24"/>
        </w:rPr>
        <w:t xml:space="preserve">he inequality </w:t>
      </w:r>
      <w:r w:rsidR="00A275CA" w:rsidRPr="00C94B20">
        <w:rPr>
          <w:rFonts w:ascii="Georgia" w:eastAsiaTheme="minorEastAsia" w:hAnsi="Georgia" w:cs="Times New Roman"/>
          <w:sz w:val="24"/>
          <w:szCs w:val="24"/>
        </w:rPr>
        <w:t xml:space="preserve">among all households in Kenya </w:t>
      </w:r>
      <w:r w:rsidR="00541A85" w:rsidRPr="00C94B20">
        <w:rPr>
          <w:rFonts w:ascii="Georgia" w:eastAsiaTheme="minorEastAsia" w:hAnsi="Georgia" w:cs="Times New Roman"/>
          <w:sz w:val="24"/>
          <w:szCs w:val="24"/>
        </w:rPr>
        <w:t xml:space="preserve">as measured by the Theil coefficient is mainly </w:t>
      </w:r>
      <w:r w:rsidR="00E74176" w:rsidRPr="00C94B20">
        <w:rPr>
          <w:rFonts w:ascii="Georgia" w:eastAsiaTheme="minorEastAsia" w:hAnsi="Georgia" w:cs="Times New Roman"/>
          <w:sz w:val="24"/>
          <w:szCs w:val="24"/>
        </w:rPr>
        <w:t xml:space="preserve">attributed to </w:t>
      </w:r>
      <w:r w:rsidR="00541A85" w:rsidRPr="00C94B20">
        <w:rPr>
          <w:rFonts w:ascii="Georgia" w:eastAsiaTheme="minorEastAsia" w:hAnsi="Georgia" w:cs="Times New Roman"/>
          <w:sz w:val="24"/>
          <w:szCs w:val="24"/>
        </w:rPr>
        <w:t xml:space="preserve">the </w:t>
      </w:r>
      <w:r w:rsidR="00536556" w:rsidRPr="00C94B20">
        <w:rPr>
          <w:rFonts w:ascii="Georgia" w:eastAsiaTheme="minorEastAsia" w:hAnsi="Georgia" w:cs="Times New Roman"/>
          <w:sz w:val="24"/>
          <w:szCs w:val="24"/>
        </w:rPr>
        <w:t xml:space="preserve">within-group inequality of male and female-headed households, </w:t>
      </w:r>
      <w:r w:rsidR="00E30359" w:rsidRPr="00C94B20">
        <w:rPr>
          <w:rFonts w:ascii="Georgia" w:eastAsiaTheme="minorEastAsia" w:hAnsi="Georgia" w:cs="Times New Roman"/>
          <w:sz w:val="24"/>
          <w:szCs w:val="24"/>
        </w:rPr>
        <w:t>though</w:t>
      </w:r>
      <w:r w:rsidR="00536556" w:rsidRPr="00C94B20">
        <w:rPr>
          <w:rFonts w:ascii="Georgia" w:eastAsiaTheme="minorEastAsia" w:hAnsi="Georgia" w:cs="Times New Roman"/>
          <w:sz w:val="24"/>
          <w:szCs w:val="24"/>
        </w:rPr>
        <w:t xml:space="preserve"> gender also explains a</w:t>
      </w:r>
      <w:r w:rsidR="00E74176" w:rsidRPr="00C94B20">
        <w:rPr>
          <w:rFonts w:ascii="Georgia" w:eastAsiaTheme="minorEastAsia" w:hAnsi="Georgia" w:cs="Times New Roman"/>
          <w:sz w:val="24"/>
          <w:szCs w:val="24"/>
        </w:rPr>
        <w:t xml:space="preserve"> </w:t>
      </w:r>
      <w:r w:rsidR="00883ADF" w:rsidRPr="00C94B20">
        <w:rPr>
          <w:rFonts w:ascii="Georgia" w:eastAsiaTheme="minorEastAsia" w:hAnsi="Georgia" w:cs="Times New Roman"/>
          <w:sz w:val="24"/>
          <w:szCs w:val="24"/>
        </w:rPr>
        <w:t xml:space="preserve">small </w:t>
      </w:r>
      <w:r w:rsidR="00E74176" w:rsidRPr="00C94B20">
        <w:rPr>
          <w:rFonts w:ascii="Georgia" w:eastAsiaTheme="minorEastAsia" w:hAnsi="Georgia" w:cs="Times New Roman"/>
          <w:sz w:val="24"/>
          <w:szCs w:val="24"/>
        </w:rPr>
        <w:t>part of overall inequality</w:t>
      </w:r>
      <w:r w:rsidR="00A257D6" w:rsidRPr="00C94B20">
        <w:rPr>
          <w:rFonts w:ascii="Georgia" w:eastAsiaTheme="minorEastAsia" w:hAnsi="Georgia" w:cs="Times New Roman"/>
          <w:sz w:val="24"/>
          <w:szCs w:val="24"/>
        </w:rPr>
        <w:t xml:space="preserve"> (KNBS, 2020b: Table 4.6)</w:t>
      </w:r>
      <w:r w:rsidR="00E74176" w:rsidRPr="00C94B20">
        <w:rPr>
          <w:rFonts w:ascii="Georgia" w:eastAsiaTheme="minorEastAsia" w:hAnsi="Georgia" w:cs="Times New Roman"/>
          <w:sz w:val="24"/>
          <w:szCs w:val="24"/>
        </w:rPr>
        <w:t>.</w:t>
      </w:r>
      <w:r w:rsidR="00FA67A1" w:rsidRPr="00C94B20">
        <w:rPr>
          <w:rFonts w:ascii="Georgia" w:eastAsiaTheme="minorEastAsia" w:hAnsi="Georgia" w:cs="Times New Roman"/>
          <w:sz w:val="24"/>
          <w:szCs w:val="24"/>
        </w:rPr>
        <w:t xml:space="preserve"> </w:t>
      </w:r>
      <w:r w:rsidR="00F81E19" w:rsidRPr="00C94B20">
        <w:rPr>
          <w:rFonts w:ascii="Georgia" w:hAnsi="Georgia" w:cs="Times New Roman"/>
          <w:sz w:val="24"/>
          <w:szCs w:val="24"/>
        </w:rPr>
        <w:t xml:space="preserve">It is possible to distinguish </w:t>
      </w:r>
      <w:r w:rsidR="007C64B5" w:rsidRPr="00C94B20">
        <w:rPr>
          <w:rFonts w:ascii="Georgia" w:hAnsi="Georgia" w:cs="Times New Roman"/>
          <w:sz w:val="24"/>
          <w:szCs w:val="24"/>
        </w:rPr>
        <w:t xml:space="preserve">also </w:t>
      </w:r>
      <w:r w:rsidR="00F81E19" w:rsidRPr="00C94B20">
        <w:rPr>
          <w:rFonts w:ascii="Georgia" w:hAnsi="Georgia" w:cs="Times New Roman"/>
          <w:sz w:val="24"/>
          <w:szCs w:val="24"/>
        </w:rPr>
        <w:t xml:space="preserve">several </w:t>
      </w:r>
      <w:r w:rsidR="007C64B5" w:rsidRPr="00C94B20">
        <w:rPr>
          <w:rFonts w:ascii="Georgia" w:hAnsi="Georgia" w:cs="Times New Roman"/>
          <w:sz w:val="24"/>
          <w:szCs w:val="24"/>
        </w:rPr>
        <w:t xml:space="preserve">other </w:t>
      </w:r>
      <w:r w:rsidR="00F81E19" w:rsidRPr="00C94B20">
        <w:rPr>
          <w:rFonts w:ascii="Georgia" w:hAnsi="Georgia" w:cs="Times New Roman"/>
          <w:sz w:val="24"/>
          <w:szCs w:val="24"/>
        </w:rPr>
        <w:t>aspects of gender inequality</w:t>
      </w:r>
      <w:r w:rsidR="004641EA" w:rsidRPr="00C94B20">
        <w:rPr>
          <w:rFonts w:ascii="Georgia" w:hAnsi="Georgia" w:cs="Times New Roman"/>
          <w:sz w:val="24"/>
          <w:szCs w:val="24"/>
        </w:rPr>
        <w:t xml:space="preserve">, </w:t>
      </w:r>
      <w:r w:rsidR="000C6A2E" w:rsidRPr="00C94B20">
        <w:rPr>
          <w:rFonts w:ascii="Georgia" w:hAnsi="Georgia" w:cs="Times New Roman"/>
          <w:sz w:val="24"/>
          <w:szCs w:val="24"/>
        </w:rPr>
        <w:t>such as those related to the targets of SDG 5</w:t>
      </w:r>
      <w:r w:rsidR="00B968B3" w:rsidRPr="00C94B20">
        <w:rPr>
          <w:rFonts w:ascii="Georgia" w:hAnsi="Georgia" w:cs="Times New Roman"/>
          <w:sz w:val="24"/>
          <w:szCs w:val="24"/>
        </w:rPr>
        <w:t xml:space="preserve"> or the 12 </w:t>
      </w:r>
      <w:r w:rsidR="00ED6EAA" w:rsidRPr="00C94B20">
        <w:rPr>
          <w:rFonts w:ascii="Georgia" w:hAnsi="Georgia" w:cs="Times New Roman"/>
          <w:sz w:val="24"/>
          <w:szCs w:val="24"/>
        </w:rPr>
        <w:t>Critical Areas of Concern of the Bejing Platform for Action.</w:t>
      </w:r>
      <w:r w:rsidR="00A94DB1" w:rsidRPr="00C94B20">
        <w:rPr>
          <w:rStyle w:val="FootnoteReference"/>
          <w:rFonts w:ascii="Georgia" w:hAnsi="Georgia" w:cs="Times New Roman"/>
          <w:sz w:val="24"/>
          <w:szCs w:val="24"/>
        </w:rPr>
        <w:footnoteReference w:id="33"/>
      </w:r>
      <w:r w:rsidR="00ED6EAA" w:rsidRPr="00C94B20">
        <w:rPr>
          <w:rFonts w:ascii="Georgia" w:hAnsi="Georgia" w:cs="Times New Roman"/>
          <w:sz w:val="24"/>
          <w:szCs w:val="24"/>
        </w:rPr>
        <w:t xml:space="preserve"> </w:t>
      </w:r>
      <w:r w:rsidR="001A536A" w:rsidRPr="00C94B20">
        <w:rPr>
          <w:rFonts w:ascii="Georgia" w:hAnsi="Georgia" w:cs="Times New Roman"/>
          <w:sz w:val="24"/>
          <w:szCs w:val="24"/>
        </w:rPr>
        <w:t>It is beyond the scope of this study to cover all of them. Selected e</w:t>
      </w:r>
      <w:r w:rsidR="00F81E19" w:rsidRPr="00C94B20">
        <w:rPr>
          <w:rFonts w:ascii="Georgia" w:hAnsi="Georgia" w:cs="Times New Roman"/>
          <w:sz w:val="24"/>
          <w:szCs w:val="24"/>
        </w:rPr>
        <w:t>xamples</w:t>
      </w:r>
      <w:r w:rsidR="001E289B" w:rsidRPr="00C94B20">
        <w:rPr>
          <w:rFonts w:ascii="Georgia" w:hAnsi="Georgia" w:cs="Times New Roman"/>
          <w:sz w:val="24"/>
          <w:szCs w:val="24"/>
        </w:rPr>
        <w:t xml:space="preserve"> of relevant aspects</w:t>
      </w:r>
      <w:r w:rsidR="00F81E19" w:rsidRPr="00C94B20">
        <w:rPr>
          <w:rFonts w:ascii="Georgia" w:hAnsi="Georgia" w:cs="Times New Roman"/>
          <w:sz w:val="24"/>
          <w:szCs w:val="24"/>
        </w:rPr>
        <w:t xml:space="preserve"> are gender inequality in the labour market (access to employment and remuneration), gender gaps in access to social services (education, health) and social protection (assistance, insurance), gender differences in education attainment and health outcomes, gender inequality in poverty, and gender differences in political representation. Regarding the latter, the </w:t>
      </w:r>
      <w:r w:rsidR="00F81E19" w:rsidRPr="00C94B20">
        <w:rPr>
          <w:rFonts w:ascii="Georgia" w:hAnsi="Georgia" w:cs="Times New Roman"/>
          <w:b/>
          <w:bCs/>
          <w:sz w:val="24"/>
          <w:szCs w:val="24"/>
        </w:rPr>
        <w:t>gender disparity in political participation</w:t>
      </w:r>
      <w:r w:rsidR="00F81E19" w:rsidRPr="00C94B20">
        <w:rPr>
          <w:rFonts w:ascii="Georgia" w:hAnsi="Georgia" w:cs="Times New Roman"/>
          <w:sz w:val="24"/>
          <w:szCs w:val="24"/>
        </w:rPr>
        <w:t xml:space="preserve"> is reflected by the very low rate of participation of women in the National and County Assemblies of Kenya in 2013 and 2017, which was </w:t>
      </w:r>
      <w:r w:rsidR="00581111" w:rsidRPr="00C94B20">
        <w:rPr>
          <w:rFonts w:ascii="Georgia" w:hAnsi="Georgia" w:cs="Times New Roman"/>
          <w:sz w:val="24"/>
          <w:szCs w:val="24"/>
        </w:rPr>
        <w:t xml:space="preserve">on average </w:t>
      </w:r>
      <w:r w:rsidR="00F81E19" w:rsidRPr="00C94B20">
        <w:rPr>
          <w:rFonts w:ascii="Georgia" w:hAnsi="Georgia" w:cs="Times New Roman"/>
          <w:sz w:val="24"/>
          <w:szCs w:val="24"/>
        </w:rPr>
        <w:t>less than 8% (KNBS, 2020b: 119).</w:t>
      </w:r>
      <w:r w:rsidR="00411DB7" w:rsidRPr="00C94B20">
        <w:rPr>
          <w:rFonts w:ascii="Georgia" w:hAnsi="Georgia" w:cs="Times New Roman"/>
          <w:sz w:val="24"/>
          <w:szCs w:val="24"/>
        </w:rPr>
        <w:t xml:space="preserve"> The </w:t>
      </w:r>
      <w:r w:rsidR="00B64BC8" w:rsidRPr="00C94B20">
        <w:rPr>
          <w:rFonts w:ascii="Georgia" w:hAnsi="Georgia" w:cs="Times New Roman"/>
          <w:sz w:val="24"/>
          <w:szCs w:val="24"/>
        </w:rPr>
        <w:t xml:space="preserve">share of women among the elected members of the National Assembly was </w:t>
      </w:r>
      <w:r w:rsidR="00882D25" w:rsidRPr="00C94B20">
        <w:rPr>
          <w:rFonts w:ascii="Georgia" w:hAnsi="Georgia" w:cs="Times New Roman"/>
          <w:sz w:val="24"/>
          <w:szCs w:val="24"/>
        </w:rPr>
        <w:t>6% in 2013, 8</w:t>
      </w:r>
      <w:r w:rsidR="00CE2FC9" w:rsidRPr="00C94B20">
        <w:rPr>
          <w:rFonts w:ascii="Georgia" w:hAnsi="Georgia" w:cs="Times New Roman"/>
          <w:sz w:val="24"/>
          <w:szCs w:val="24"/>
        </w:rPr>
        <w:t xml:space="preserve">% in 2017 and </w:t>
      </w:r>
      <w:r w:rsidR="00882D25" w:rsidRPr="00C94B20">
        <w:rPr>
          <w:rFonts w:ascii="Georgia" w:hAnsi="Georgia" w:cs="Times New Roman"/>
          <w:sz w:val="24"/>
          <w:szCs w:val="24"/>
        </w:rPr>
        <w:t>10%</w:t>
      </w:r>
      <w:r w:rsidR="00CE2FC9" w:rsidRPr="00C94B20">
        <w:rPr>
          <w:rFonts w:ascii="Georgia" w:hAnsi="Georgia" w:cs="Times New Roman"/>
          <w:sz w:val="24"/>
          <w:szCs w:val="24"/>
        </w:rPr>
        <w:t xml:space="preserve"> in 20</w:t>
      </w:r>
      <w:r w:rsidR="00882D25" w:rsidRPr="00C94B20">
        <w:rPr>
          <w:rFonts w:ascii="Georgia" w:hAnsi="Georgia" w:cs="Times New Roman"/>
          <w:sz w:val="24"/>
          <w:szCs w:val="24"/>
        </w:rPr>
        <w:t>22</w:t>
      </w:r>
      <w:r w:rsidR="00F8580E" w:rsidRPr="00C94B20">
        <w:rPr>
          <w:rFonts w:ascii="Georgia" w:hAnsi="Georgia" w:cs="Times New Roman"/>
          <w:sz w:val="24"/>
          <w:szCs w:val="24"/>
        </w:rPr>
        <w:t>.</w:t>
      </w:r>
      <w:r w:rsidR="00F8580E" w:rsidRPr="00C94B20">
        <w:rPr>
          <w:rStyle w:val="FootnoteReference"/>
          <w:rFonts w:ascii="Georgia" w:hAnsi="Georgia" w:cs="Times New Roman"/>
          <w:sz w:val="24"/>
          <w:szCs w:val="24"/>
        </w:rPr>
        <w:footnoteReference w:id="34"/>
      </w:r>
      <w:r w:rsidR="00F435BC" w:rsidRPr="00C94B20">
        <w:rPr>
          <w:rFonts w:ascii="Georgia" w:hAnsi="Georgia" w:cs="Times New Roman"/>
          <w:sz w:val="24"/>
          <w:szCs w:val="24"/>
        </w:rPr>
        <w:t xml:space="preserve"> Similarly, the </w:t>
      </w:r>
      <w:r w:rsidR="00312FEA" w:rsidRPr="00C94B20">
        <w:rPr>
          <w:rFonts w:ascii="Georgia" w:hAnsi="Georgia" w:cs="Times New Roman"/>
          <w:sz w:val="24"/>
          <w:szCs w:val="24"/>
        </w:rPr>
        <w:t>corresponding shares</w:t>
      </w:r>
      <w:r w:rsidR="00FD4EC3" w:rsidRPr="00C94B20">
        <w:rPr>
          <w:rFonts w:ascii="Georgia" w:hAnsi="Georgia" w:cs="Times New Roman"/>
          <w:sz w:val="24"/>
          <w:szCs w:val="24"/>
        </w:rPr>
        <w:t xml:space="preserve"> of</w:t>
      </w:r>
      <w:r w:rsidR="00312FEA" w:rsidRPr="00C94B20">
        <w:rPr>
          <w:rFonts w:ascii="Georgia" w:hAnsi="Georgia" w:cs="Times New Roman"/>
          <w:sz w:val="24"/>
          <w:szCs w:val="24"/>
        </w:rPr>
        <w:t xml:space="preserve"> </w:t>
      </w:r>
      <w:r w:rsidR="00D729CD" w:rsidRPr="00C94B20">
        <w:rPr>
          <w:rFonts w:ascii="Georgia" w:hAnsi="Georgia" w:cs="Times New Roman"/>
          <w:sz w:val="24"/>
          <w:szCs w:val="24"/>
        </w:rPr>
        <w:t xml:space="preserve">women </w:t>
      </w:r>
      <w:r w:rsidR="00FD4EC3" w:rsidRPr="00C94B20">
        <w:rPr>
          <w:rFonts w:ascii="Georgia" w:hAnsi="Georgia" w:cs="Times New Roman"/>
          <w:sz w:val="24"/>
          <w:szCs w:val="24"/>
        </w:rPr>
        <w:t>in case of</w:t>
      </w:r>
      <w:r w:rsidR="00312FEA" w:rsidRPr="00C94B20">
        <w:rPr>
          <w:rFonts w:ascii="Georgia" w:hAnsi="Georgia" w:cs="Times New Roman"/>
          <w:sz w:val="24"/>
          <w:szCs w:val="24"/>
        </w:rPr>
        <w:t xml:space="preserve"> the County Assemblies are 6, 7 and 8 </w:t>
      </w:r>
      <w:r w:rsidR="00BC0A82" w:rsidRPr="00C94B20">
        <w:rPr>
          <w:rFonts w:ascii="Georgia" w:hAnsi="Georgia" w:cs="Times New Roman"/>
          <w:sz w:val="24"/>
          <w:szCs w:val="24"/>
        </w:rPr>
        <w:t>percent.</w:t>
      </w:r>
      <w:r w:rsidR="00BC0A82" w:rsidRPr="00C94B20">
        <w:rPr>
          <w:rStyle w:val="FootnoteReference"/>
          <w:rFonts w:ascii="Georgia" w:hAnsi="Georgia" w:cs="Times New Roman"/>
          <w:sz w:val="24"/>
          <w:szCs w:val="24"/>
        </w:rPr>
        <w:footnoteReference w:id="35"/>
      </w:r>
      <w:r w:rsidR="00882D25" w:rsidRPr="00C94B20">
        <w:rPr>
          <w:rFonts w:ascii="Georgia" w:hAnsi="Georgia" w:cs="Times New Roman"/>
          <w:sz w:val="24"/>
          <w:szCs w:val="24"/>
        </w:rPr>
        <w:t xml:space="preserve"> </w:t>
      </w:r>
      <w:r w:rsidR="00A91390" w:rsidRPr="00C94B20">
        <w:rPr>
          <w:rFonts w:ascii="Georgia" w:hAnsi="Georgia" w:cs="Times New Roman"/>
          <w:sz w:val="24"/>
          <w:szCs w:val="24"/>
        </w:rPr>
        <w:t>H</w:t>
      </w:r>
      <w:r w:rsidR="00661356" w:rsidRPr="00C94B20">
        <w:rPr>
          <w:rFonts w:ascii="Georgia" w:hAnsi="Georgia" w:cs="Times New Roman"/>
          <w:sz w:val="24"/>
          <w:szCs w:val="24"/>
        </w:rPr>
        <w:t>ence,</w:t>
      </w:r>
      <w:r w:rsidR="00553C96" w:rsidRPr="00C94B20">
        <w:rPr>
          <w:rFonts w:ascii="Georgia" w:hAnsi="Georgia" w:cs="Times New Roman"/>
          <w:sz w:val="24"/>
          <w:szCs w:val="24"/>
        </w:rPr>
        <w:t xml:space="preserve"> despite the</w:t>
      </w:r>
      <w:r w:rsidR="003D27C8" w:rsidRPr="00C94B20">
        <w:rPr>
          <w:rFonts w:ascii="Georgia" w:hAnsi="Georgia" w:cs="Times New Roman"/>
          <w:sz w:val="24"/>
          <w:szCs w:val="24"/>
        </w:rPr>
        <w:t xml:space="preserve"> small</w:t>
      </w:r>
      <w:r w:rsidR="00553C96" w:rsidRPr="00C94B20">
        <w:rPr>
          <w:rFonts w:ascii="Georgia" w:hAnsi="Georgia" w:cs="Times New Roman"/>
          <w:sz w:val="24"/>
          <w:szCs w:val="24"/>
        </w:rPr>
        <w:t xml:space="preserve"> improvement,</w:t>
      </w:r>
      <w:r w:rsidR="00661356" w:rsidRPr="00C94B20">
        <w:rPr>
          <w:rFonts w:ascii="Georgia" w:hAnsi="Georgia" w:cs="Times New Roman"/>
          <w:sz w:val="24"/>
          <w:szCs w:val="24"/>
        </w:rPr>
        <w:t xml:space="preserve"> the target </w:t>
      </w:r>
      <w:r w:rsidR="00B10633" w:rsidRPr="00C94B20">
        <w:rPr>
          <w:rFonts w:ascii="Georgia" w:hAnsi="Georgia" w:cs="Times New Roman"/>
          <w:sz w:val="24"/>
          <w:szCs w:val="24"/>
        </w:rPr>
        <w:t xml:space="preserve">of </w:t>
      </w:r>
      <w:r w:rsidR="00ED4CC0" w:rsidRPr="00C94B20">
        <w:rPr>
          <w:rFonts w:ascii="Georgia" w:hAnsi="Georgia" w:cs="Times New Roman"/>
          <w:sz w:val="24"/>
          <w:szCs w:val="24"/>
        </w:rPr>
        <w:t xml:space="preserve">each gender holding </w:t>
      </w:r>
      <w:r w:rsidR="00B10633" w:rsidRPr="00C94B20">
        <w:rPr>
          <w:rFonts w:ascii="Georgia" w:hAnsi="Georgia" w:cs="Times New Roman"/>
          <w:sz w:val="24"/>
          <w:szCs w:val="24"/>
        </w:rPr>
        <w:t xml:space="preserve">at least a third of the seats in </w:t>
      </w:r>
      <w:r w:rsidR="00356A47" w:rsidRPr="00C94B20">
        <w:rPr>
          <w:rFonts w:ascii="Georgia" w:hAnsi="Georgia" w:cs="Times New Roman"/>
          <w:sz w:val="24"/>
          <w:szCs w:val="24"/>
        </w:rPr>
        <w:t>N</w:t>
      </w:r>
      <w:r w:rsidR="00B10633" w:rsidRPr="00C94B20">
        <w:rPr>
          <w:rFonts w:ascii="Georgia" w:hAnsi="Georgia" w:cs="Times New Roman"/>
          <w:sz w:val="24"/>
          <w:szCs w:val="24"/>
        </w:rPr>
        <w:t xml:space="preserve">ational </w:t>
      </w:r>
      <w:r w:rsidR="000373D2" w:rsidRPr="00C94B20">
        <w:rPr>
          <w:rFonts w:ascii="Georgia" w:hAnsi="Georgia" w:cs="Times New Roman"/>
          <w:sz w:val="24"/>
          <w:szCs w:val="24"/>
        </w:rPr>
        <w:t xml:space="preserve">and </w:t>
      </w:r>
      <w:r w:rsidR="00356A47" w:rsidRPr="00C94B20">
        <w:rPr>
          <w:rFonts w:ascii="Georgia" w:hAnsi="Georgia" w:cs="Times New Roman"/>
          <w:sz w:val="24"/>
          <w:szCs w:val="24"/>
        </w:rPr>
        <w:t>C</w:t>
      </w:r>
      <w:r w:rsidR="000373D2" w:rsidRPr="00C94B20">
        <w:rPr>
          <w:rFonts w:ascii="Georgia" w:hAnsi="Georgia" w:cs="Times New Roman"/>
          <w:sz w:val="24"/>
          <w:szCs w:val="24"/>
        </w:rPr>
        <w:t xml:space="preserve">ountry </w:t>
      </w:r>
      <w:r w:rsidR="00356A47" w:rsidRPr="00C94B20">
        <w:rPr>
          <w:rFonts w:ascii="Georgia" w:hAnsi="Georgia" w:cs="Times New Roman"/>
          <w:sz w:val="24"/>
          <w:szCs w:val="24"/>
        </w:rPr>
        <w:t>A</w:t>
      </w:r>
      <w:r w:rsidR="000373D2" w:rsidRPr="00C94B20">
        <w:rPr>
          <w:rFonts w:ascii="Georgia" w:hAnsi="Georgia" w:cs="Times New Roman"/>
          <w:sz w:val="24"/>
          <w:szCs w:val="24"/>
        </w:rPr>
        <w:t>ssemb</w:t>
      </w:r>
      <w:r w:rsidR="00356A47" w:rsidRPr="00C94B20">
        <w:rPr>
          <w:rFonts w:ascii="Georgia" w:hAnsi="Georgia" w:cs="Times New Roman"/>
          <w:sz w:val="24"/>
          <w:szCs w:val="24"/>
        </w:rPr>
        <w:t>l</w:t>
      </w:r>
      <w:r w:rsidR="000373D2" w:rsidRPr="00C94B20">
        <w:rPr>
          <w:rFonts w:ascii="Georgia" w:hAnsi="Georgia" w:cs="Times New Roman"/>
          <w:sz w:val="24"/>
          <w:szCs w:val="24"/>
        </w:rPr>
        <w:t>ies</w:t>
      </w:r>
      <w:r w:rsidR="00B10633" w:rsidRPr="00C94B20">
        <w:rPr>
          <w:rFonts w:ascii="Georgia" w:hAnsi="Georgia" w:cs="Times New Roman"/>
          <w:sz w:val="24"/>
          <w:szCs w:val="24"/>
        </w:rPr>
        <w:t xml:space="preserve"> </w:t>
      </w:r>
      <w:r w:rsidR="00C7674D" w:rsidRPr="00C94B20">
        <w:rPr>
          <w:rFonts w:ascii="Georgia" w:hAnsi="Georgia" w:cs="Times New Roman"/>
          <w:sz w:val="24"/>
          <w:szCs w:val="24"/>
        </w:rPr>
        <w:t>according</w:t>
      </w:r>
      <w:r w:rsidR="00B10633" w:rsidRPr="00C94B20">
        <w:rPr>
          <w:rFonts w:ascii="Georgia" w:hAnsi="Georgia" w:cs="Times New Roman"/>
          <w:sz w:val="24"/>
          <w:szCs w:val="24"/>
        </w:rPr>
        <w:t xml:space="preserve"> to the ‘not more than two third gender rule’ </w:t>
      </w:r>
      <w:r w:rsidR="0072025F" w:rsidRPr="00C94B20">
        <w:rPr>
          <w:rFonts w:ascii="Georgia" w:hAnsi="Georgia" w:cs="Times New Roman"/>
          <w:sz w:val="24"/>
          <w:szCs w:val="24"/>
        </w:rPr>
        <w:t xml:space="preserve">formulated in the 2010 </w:t>
      </w:r>
      <w:r w:rsidR="007753EB" w:rsidRPr="00C94B20">
        <w:rPr>
          <w:rFonts w:ascii="Georgia" w:hAnsi="Georgia" w:cs="Times New Roman"/>
          <w:sz w:val="24"/>
          <w:szCs w:val="24"/>
        </w:rPr>
        <w:t>C</w:t>
      </w:r>
      <w:r w:rsidR="0072025F" w:rsidRPr="00C94B20">
        <w:rPr>
          <w:rFonts w:ascii="Georgia" w:hAnsi="Georgia" w:cs="Times New Roman"/>
          <w:sz w:val="24"/>
          <w:szCs w:val="24"/>
        </w:rPr>
        <w:t xml:space="preserve">onstitution </w:t>
      </w:r>
      <w:r w:rsidR="00BA3861" w:rsidRPr="00C94B20">
        <w:rPr>
          <w:rFonts w:ascii="Georgia" w:hAnsi="Georgia" w:cs="Times New Roman"/>
          <w:sz w:val="24"/>
          <w:szCs w:val="24"/>
        </w:rPr>
        <w:t>(</w:t>
      </w:r>
      <w:r w:rsidR="008E6799" w:rsidRPr="00C94B20">
        <w:rPr>
          <w:rFonts w:ascii="Georgia" w:hAnsi="Georgia" w:cs="Times New Roman"/>
          <w:sz w:val="24"/>
          <w:szCs w:val="24"/>
        </w:rPr>
        <w:t xml:space="preserve">and in line with the SDG 5 targets) </w:t>
      </w:r>
      <w:r w:rsidR="00553C96" w:rsidRPr="00C94B20">
        <w:rPr>
          <w:rFonts w:ascii="Georgia" w:hAnsi="Georgia" w:cs="Times New Roman"/>
          <w:sz w:val="24"/>
          <w:szCs w:val="24"/>
        </w:rPr>
        <w:t>wa</w:t>
      </w:r>
      <w:r w:rsidR="00DF60D6" w:rsidRPr="00C94B20">
        <w:rPr>
          <w:rFonts w:ascii="Georgia" w:hAnsi="Georgia" w:cs="Times New Roman"/>
          <w:sz w:val="24"/>
          <w:szCs w:val="24"/>
        </w:rPr>
        <w:t>s not met.</w:t>
      </w:r>
      <w:r w:rsidR="003E24B3" w:rsidRPr="00C94B20">
        <w:rPr>
          <w:rFonts w:ascii="Georgia" w:hAnsi="Georgia" w:cs="Times New Roman"/>
          <w:sz w:val="24"/>
          <w:szCs w:val="24"/>
        </w:rPr>
        <w:t xml:space="preserve"> </w:t>
      </w:r>
    </w:p>
    <w:p w14:paraId="4BBD70C0" w14:textId="203C32E4" w:rsidR="00D57E65" w:rsidRPr="00C94B20" w:rsidRDefault="00F81E19" w:rsidP="00170FEF">
      <w:pPr>
        <w:spacing w:after="120" w:line="240" w:lineRule="auto"/>
        <w:jc w:val="both"/>
        <w:rPr>
          <w:rFonts w:ascii="Georgia" w:hAnsi="Georgia" w:cs="Times New Roman"/>
          <w:sz w:val="24"/>
          <w:szCs w:val="24"/>
        </w:rPr>
      </w:pPr>
      <w:r w:rsidRPr="00C94B20">
        <w:rPr>
          <w:rFonts w:ascii="Georgia" w:hAnsi="Georgia" w:cs="Times New Roman"/>
          <w:b/>
          <w:bCs/>
          <w:sz w:val="24"/>
          <w:szCs w:val="24"/>
        </w:rPr>
        <w:t>Gender inequality in the labour market</w:t>
      </w:r>
      <w:r w:rsidRPr="00C94B20">
        <w:rPr>
          <w:rFonts w:ascii="Georgia" w:hAnsi="Georgia" w:cs="Times New Roman"/>
          <w:sz w:val="24"/>
          <w:szCs w:val="24"/>
        </w:rPr>
        <w:t xml:space="preserve"> was discussed in Section 1.1. Omanyo (2021) found that there is earnings discrimination against women.</w:t>
      </w:r>
      <w:r w:rsidR="00646C43" w:rsidRPr="00C94B20">
        <w:rPr>
          <w:rFonts w:ascii="Georgia" w:hAnsi="Georgia" w:cs="Times New Roman"/>
          <w:sz w:val="24"/>
          <w:szCs w:val="24"/>
        </w:rPr>
        <w:t xml:space="preserve"> Earlier studies </w:t>
      </w:r>
      <w:r w:rsidR="00DB1450" w:rsidRPr="00C94B20">
        <w:rPr>
          <w:rFonts w:ascii="Georgia" w:hAnsi="Georgia" w:cs="Times New Roman"/>
          <w:sz w:val="24"/>
          <w:szCs w:val="24"/>
        </w:rPr>
        <w:t xml:space="preserve">yielded </w:t>
      </w:r>
      <w:r w:rsidR="00646C43" w:rsidRPr="00C94B20">
        <w:rPr>
          <w:rFonts w:ascii="Georgia" w:hAnsi="Georgia" w:cs="Times New Roman"/>
          <w:sz w:val="24"/>
          <w:szCs w:val="24"/>
        </w:rPr>
        <w:t>similar results</w:t>
      </w:r>
      <w:r w:rsidR="00DB1450" w:rsidRPr="00C94B20">
        <w:rPr>
          <w:rFonts w:ascii="Georgia" w:hAnsi="Georgia" w:cs="Times New Roman"/>
          <w:sz w:val="24"/>
          <w:szCs w:val="24"/>
        </w:rPr>
        <w:t xml:space="preserve"> (KNBS, 2020b: </w:t>
      </w:r>
      <w:r w:rsidR="004030C7" w:rsidRPr="00C94B20">
        <w:rPr>
          <w:rFonts w:ascii="Georgia" w:hAnsi="Georgia" w:cs="Times New Roman"/>
          <w:sz w:val="24"/>
          <w:szCs w:val="24"/>
        </w:rPr>
        <w:t>104</w:t>
      </w:r>
      <w:r w:rsidR="00DB1450" w:rsidRPr="00C94B20">
        <w:rPr>
          <w:rFonts w:ascii="Georgia" w:hAnsi="Georgia" w:cs="Times New Roman"/>
          <w:sz w:val="24"/>
          <w:szCs w:val="24"/>
        </w:rPr>
        <w:t>)</w:t>
      </w:r>
      <w:r w:rsidR="004030C7" w:rsidRPr="00C94B20">
        <w:rPr>
          <w:rFonts w:ascii="Georgia" w:hAnsi="Georgia" w:cs="Times New Roman"/>
          <w:sz w:val="24"/>
          <w:szCs w:val="24"/>
        </w:rPr>
        <w:t>.</w:t>
      </w:r>
      <w:r w:rsidR="00E80EC9" w:rsidRPr="00C94B20">
        <w:rPr>
          <w:rFonts w:ascii="Georgia" w:hAnsi="Georgia" w:cs="Times New Roman"/>
          <w:sz w:val="24"/>
          <w:szCs w:val="24"/>
        </w:rPr>
        <w:t xml:space="preserve"> </w:t>
      </w:r>
      <w:r w:rsidR="00852B10" w:rsidRPr="00C94B20">
        <w:rPr>
          <w:rFonts w:ascii="Georgia" w:hAnsi="Georgia" w:cs="Times New Roman"/>
          <w:sz w:val="24"/>
          <w:szCs w:val="24"/>
        </w:rPr>
        <w:t xml:space="preserve">Data of various </w:t>
      </w:r>
      <w:r w:rsidR="00390297" w:rsidRPr="00C94B20">
        <w:rPr>
          <w:rFonts w:ascii="Georgia" w:hAnsi="Georgia" w:cs="Times New Roman"/>
          <w:sz w:val="24"/>
          <w:szCs w:val="24"/>
        </w:rPr>
        <w:t xml:space="preserve">household surveys conducted since 1997 indicate that real monthly earnings of men are </w:t>
      </w:r>
      <w:r w:rsidR="005E1B11" w:rsidRPr="00C94B20">
        <w:rPr>
          <w:rFonts w:ascii="Georgia" w:hAnsi="Georgia" w:cs="Times New Roman"/>
          <w:sz w:val="24"/>
          <w:szCs w:val="24"/>
        </w:rPr>
        <w:t xml:space="preserve">on average </w:t>
      </w:r>
      <w:r w:rsidR="00390297" w:rsidRPr="00C94B20">
        <w:rPr>
          <w:rFonts w:ascii="Georgia" w:hAnsi="Georgia" w:cs="Times New Roman"/>
          <w:sz w:val="24"/>
          <w:szCs w:val="24"/>
        </w:rPr>
        <w:t>consistently higher than those of women (</w:t>
      </w:r>
      <w:r w:rsidR="00250A93" w:rsidRPr="00C94B20">
        <w:rPr>
          <w:rFonts w:ascii="Georgia" w:hAnsi="Georgia" w:cs="Times New Roman"/>
          <w:sz w:val="24"/>
          <w:szCs w:val="24"/>
        </w:rPr>
        <w:t>ibid.</w:t>
      </w:r>
      <w:r w:rsidR="009D55AE" w:rsidRPr="00C94B20">
        <w:rPr>
          <w:rFonts w:ascii="Georgia" w:hAnsi="Georgia" w:cs="Times New Roman"/>
          <w:sz w:val="24"/>
          <w:szCs w:val="24"/>
        </w:rPr>
        <w:t>:</w:t>
      </w:r>
      <w:r w:rsidR="00250A93" w:rsidRPr="00C94B20">
        <w:rPr>
          <w:rFonts w:ascii="Georgia" w:hAnsi="Georgia" w:cs="Times New Roman"/>
          <w:sz w:val="24"/>
          <w:szCs w:val="24"/>
        </w:rPr>
        <w:t xml:space="preserve"> Figure 4.50).</w:t>
      </w:r>
      <w:r w:rsidR="009D55AE" w:rsidRPr="00C94B20">
        <w:rPr>
          <w:rFonts w:ascii="Georgia" w:hAnsi="Georgia" w:cs="Times New Roman"/>
          <w:sz w:val="24"/>
          <w:szCs w:val="24"/>
        </w:rPr>
        <w:t xml:space="preserve"> The </w:t>
      </w:r>
      <w:r w:rsidR="009B7C78" w:rsidRPr="00C94B20">
        <w:rPr>
          <w:rFonts w:ascii="Georgia" w:hAnsi="Georgia" w:cs="Times New Roman"/>
          <w:sz w:val="24"/>
          <w:szCs w:val="24"/>
        </w:rPr>
        <w:t>2022</w:t>
      </w:r>
      <w:r w:rsidR="003E24B3" w:rsidRPr="00C94B20">
        <w:rPr>
          <w:rFonts w:ascii="Georgia" w:hAnsi="Georgia" w:cs="Times New Roman"/>
          <w:sz w:val="24"/>
          <w:szCs w:val="24"/>
        </w:rPr>
        <w:t xml:space="preserve"> </w:t>
      </w:r>
      <w:r w:rsidR="009D55AE" w:rsidRPr="00C94B20">
        <w:rPr>
          <w:rFonts w:ascii="Georgia" w:hAnsi="Georgia" w:cs="Times New Roman"/>
          <w:sz w:val="24"/>
          <w:szCs w:val="24"/>
        </w:rPr>
        <w:t>Demographic and Health Survey also points at a gender gap in earnings: ‘</w:t>
      </w:r>
      <w:r w:rsidR="00F31674" w:rsidRPr="00C94B20">
        <w:rPr>
          <w:rFonts w:ascii="Georgia" w:hAnsi="Georgia" w:cs="Times New Roman"/>
          <w:sz w:val="24"/>
          <w:szCs w:val="24"/>
        </w:rPr>
        <w:t>Seventy-one percent of women earned less than their</w:t>
      </w:r>
      <w:r w:rsidR="00353D27" w:rsidRPr="00C94B20">
        <w:rPr>
          <w:rFonts w:ascii="Georgia" w:hAnsi="Georgia" w:cs="Times New Roman"/>
          <w:sz w:val="24"/>
          <w:szCs w:val="24"/>
        </w:rPr>
        <w:t xml:space="preserve"> </w:t>
      </w:r>
      <w:r w:rsidR="00F31674" w:rsidRPr="00C94B20">
        <w:rPr>
          <w:rFonts w:ascii="Georgia" w:hAnsi="Georgia" w:cs="Times New Roman"/>
          <w:sz w:val="24"/>
          <w:szCs w:val="24"/>
        </w:rPr>
        <w:t>husband’s cash earnings’ (KNBS 2023c: 497).</w:t>
      </w:r>
      <w:r w:rsidR="004C0BEE" w:rsidRPr="00C94B20">
        <w:rPr>
          <w:rFonts w:ascii="Georgia" w:hAnsi="Georgia" w:cs="Times New Roman"/>
          <w:sz w:val="24"/>
          <w:szCs w:val="24"/>
        </w:rPr>
        <w:t xml:space="preserve"> </w:t>
      </w:r>
      <w:r w:rsidR="00170FEF" w:rsidRPr="00C94B20">
        <w:rPr>
          <w:rFonts w:ascii="Georgia" w:hAnsi="Georgia" w:cs="Times New Roman"/>
          <w:sz w:val="24"/>
          <w:szCs w:val="24"/>
        </w:rPr>
        <w:t>Similarly, ‘Women report lower average earnings across all age cohorts relative to males’ (ibid.: 498).</w:t>
      </w:r>
      <w:r w:rsidR="00390297" w:rsidRPr="00C94B20">
        <w:rPr>
          <w:rFonts w:ascii="Georgia" w:hAnsi="Georgia" w:cs="Times New Roman"/>
          <w:sz w:val="24"/>
          <w:szCs w:val="24"/>
        </w:rPr>
        <w:t xml:space="preserve"> </w:t>
      </w:r>
      <w:r w:rsidRPr="00C94B20">
        <w:rPr>
          <w:rFonts w:ascii="Georgia" w:hAnsi="Georgia" w:cs="Times New Roman"/>
          <w:sz w:val="24"/>
          <w:szCs w:val="24"/>
        </w:rPr>
        <w:t>At the same time, ‘male-headed households have higher mean and median real per capita consumption expenditure than individuals in female-headed households (KNBS, 2020b: 122). A third of the Kenyan population lived in female-headed-households in 2015/16, which accounted for only a quarter of total expenditure in Kenya (KNBS, 2020b: 132). This suggests that the gender gap in earnings translates into horizontal economic inequality between female- and male-headed-household members.</w:t>
      </w:r>
      <w:r w:rsidR="00911724" w:rsidRPr="00C94B20">
        <w:rPr>
          <w:rFonts w:ascii="Georgia" w:hAnsi="Georgia" w:cs="Times New Roman"/>
          <w:sz w:val="24"/>
          <w:szCs w:val="24"/>
        </w:rPr>
        <w:t xml:space="preserve"> </w:t>
      </w:r>
      <w:r w:rsidR="003D427F" w:rsidRPr="00C94B20">
        <w:rPr>
          <w:rFonts w:ascii="Georgia" w:hAnsi="Georgia" w:cs="Times New Roman"/>
          <w:sz w:val="24"/>
          <w:szCs w:val="24"/>
        </w:rPr>
        <w:t xml:space="preserve">The proportion of female-headed households was also </w:t>
      </w:r>
      <w:r w:rsidR="00160338" w:rsidRPr="00C94B20">
        <w:rPr>
          <w:rFonts w:ascii="Georgia" w:hAnsi="Georgia" w:cs="Times New Roman"/>
          <w:sz w:val="24"/>
          <w:szCs w:val="24"/>
        </w:rPr>
        <w:t>33% in 2022 (KNBS, 2023c: 13).</w:t>
      </w:r>
      <w:r w:rsidR="00884F63" w:rsidRPr="00C94B20">
        <w:rPr>
          <w:rFonts w:ascii="Georgia" w:hAnsi="Georgia" w:cs="Times New Roman"/>
          <w:sz w:val="24"/>
          <w:szCs w:val="24"/>
        </w:rPr>
        <w:t xml:space="preserve"> </w:t>
      </w:r>
      <w:r w:rsidR="00CD13FF" w:rsidRPr="00C94B20">
        <w:rPr>
          <w:rFonts w:ascii="Georgia" w:hAnsi="Georgia" w:cs="Times New Roman"/>
          <w:sz w:val="24"/>
          <w:szCs w:val="24"/>
        </w:rPr>
        <w:t>Th</w:t>
      </w:r>
      <w:r w:rsidR="0024409A" w:rsidRPr="00C94B20">
        <w:rPr>
          <w:rFonts w:ascii="Georgia" w:hAnsi="Georgia" w:cs="Times New Roman"/>
          <w:sz w:val="24"/>
          <w:szCs w:val="24"/>
        </w:rPr>
        <w:t>e DHS 2022 does however not report on total expenditure</w:t>
      </w:r>
      <w:r w:rsidR="00DD47BE" w:rsidRPr="00C94B20">
        <w:rPr>
          <w:rFonts w:ascii="Georgia" w:hAnsi="Georgia" w:cs="Times New Roman"/>
          <w:sz w:val="24"/>
          <w:szCs w:val="24"/>
        </w:rPr>
        <w:t>, but</w:t>
      </w:r>
      <w:r w:rsidR="00ED5B75" w:rsidRPr="00C94B20">
        <w:rPr>
          <w:rFonts w:ascii="Georgia" w:hAnsi="Georgia" w:cs="Times New Roman"/>
          <w:sz w:val="24"/>
          <w:szCs w:val="24"/>
        </w:rPr>
        <w:t xml:space="preserve"> as </w:t>
      </w:r>
      <w:r w:rsidR="00810DBC" w:rsidRPr="00C94B20">
        <w:rPr>
          <w:rFonts w:ascii="Georgia" w:hAnsi="Georgia" w:cs="Times New Roman"/>
          <w:sz w:val="24"/>
          <w:szCs w:val="24"/>
        </w:rPr>
        <w:t xml:space="preserve">mentioned above, </w:t>
      </w:r>
      <w:r w:rsidR="00DD47BE" w:rsidRPr="00C94B20">
        <w:rPr>
          <w:rFonts w:ascii="Georgia" w:hAnsi="Georgia" w:cs="Times New Roman"/>
          <w:sz w:val="24"/>
          <w:szCs w:val="24"/>
        </w:rPr>
        <w:t xml:space="preserve">shows that </w:t>
      </w:r>
      <w:r w:rsidR="00CA3881" w:rsidRPr="00C94B20">
        <w:rPr>
          <w:rFonts w:ascii="Georgia" w:hAnsi="Georgia" w:cs="Times New Roman"/>
          <w:sz w:val="24"/>
          <w:szCs w:val="24"/>
        </w:rPr>
        <w:t>average monthly earnings were lower for women than for men (</w:t>
      </w:r>
      <w:r w:rsidR="00810DBC" w:rsidRPr="00C94B20">
        <w:rPr>
          <w:rFonts w:ascii="Georgia" w:hAnsi="Georgia" w:cs="Times New Roman"/>
          <w:sz w:val="24"/>
          <w:szCs w:val="24"/>
        </w:rPr>
        <w:t>see also KNBS 2023</w:t>
      </w:r>
      <w:r w:rsidR="00B979BD" w:rsidRPr="00C94B20">
        <w:rPr>
          <w:rFonts w:ascii="Georgia" w:hAnsi="Georgia" w:cs="Times New Roman"/>
          <w:sz w:val="24"/>
          <w:szCs w:val="24"/>
        </w:rPr>
        <w:t>c;</w:t>
      </w:r>
      <w:r w:rsidR="00E04BC5" w:rsidRPr="00C94B20">
        <w:rPr>
          <w:rFonts w:ascii="Georgia" w:hAnsi="Georgia" w:cs="Times New Roman"/>
          <w:sz w:val="24"/>
          <w:szCs w:val="24"/>
        </w:rPr>
        <w:t xml:space="preserve"> Table </w:t>
      </w:r>
      <w:r w:rsidR="00754E9F" w:rsidRPr="00C94B20">
        <w:rPr>
          <w:rFonts w:ascii="Georgia" w:hAnsi="Georgia" w:cs="Times New Roman"/>
          <w:sz w:val="24"/>
          <w:szCs w:val="24"/>
        </w:rPr>
        <w:t>15.1.3)</w:t>
      </w:r>
      <w:r w:rsidR="0024409A" w:rsidRPr="00C94B20">
        <w:rPr>
          <w:rFonts w:ascii="Georgia" w:hAnsi="Georgia" w:cs="Times New Roman"/>
          <w:sz w:val="24"/>
          <w:szCs w:val="24"/>
        </w:rPr>
        <w:t>.</w:t>
      </w:r>
    </w:p>
    <w:p w14:paraId="362C614B" w14:textId="059AC34D" w:rsidR="00FF6086" w:rsidRPr="00C94B20" w:rsidRDefault="00F81E19" w:rsidP="00FF6086">
      <w:pPr>
        <w:spacing w:after="120" w:line="240" w:lineRule="auto"/>
        <w:jc w:val="both"/>
        <w:rPr>
          <w:rFonts w:ascii="Georgia" w:hAnsi="Georgia" w:cs="Times New Roman"/>
          <w:sz w:val="24"/>
          <w:szCs w:val="24"/>
        </w:rPr>
      </w:pPr>
      <w:r w:rsidRPr="00C94B20">
        <w:rPr>
          <w:rFonts w:ascii="Georgia" w:hAnsi="Georgia" w:cs="Times New Roman"/>
          <w:sz w:val="24"/>
          <w:szCs w:val="24"/>
        </w:rPr>
        <w:t xml:space="preserve">There is also </w:t>
      </w:r>
      <w:r w:rsidRPr="00C94B20">
        <w:rPr>
          <w:rFonts w:ascii="Georgia" w:hAnsi="Georgia" w:cs="Times New Roman"/>
          <w:b/>
          <w:bCs/>
          <w:sz w:val="24"/>
          <w:szCs w:val="24"/>
        </w:rPr>
        <w:t>gender inequality in poverty</w:t>
      </w:r>
      <w:r w:rsidRPr="00C94B20">
        <w:rPr>
          <w:rFonts w:ascii="Georgia" w:hAnsi="Georgia" w:cs="Times New Roman"/>
          <w:sz w:val="24"/>
          <w:szCs w:val="24"/>
        </w:rPr>
        <w:t xml:space="preserve"> (cf. Ichwara et al. 2023; Ngugi et al., 2023). Monetary or multidimensional poverty rates are higher among women than among men. KNBS (2020a: 49) notes that ‘Thirty-eight percent of adult men are neither multidimensionally nor food poor compared to 30 percent of women.’ Poverty rates for female-headed households are also higher than those for male-headed households. The rate for female-headed households declined from 39% to 33% between 2005/06 and 2015/16, compared to a reduction from 30% to 26% for male-headed households (Ichwara et al. 2023). </w:t>
      </w:r>
      <w:r w:rsidR="00831182" w:rsidRPr="00C94B20">
        <w:rPr>
          <w:rFonts w:ascii="Georgia" w:hAnsi="Georgia" w:cs="Times New Roman"/>
          <w:sz w:val="24"/>
          <w:szCs w:val="24"/>
        </w:rPr>
        <w:t xml:space="preserve">The rates </w:t>
      </w:r>
      <w:r w:rsidR="00AE65EB" w:rsidRPr="00C94B20">
        <w:rPr>
          <w:rFonts w:ascii="Georgia" w:hAnsi="Georgia" w:cs="Times New Roman"/>
          <w:sz w:val="24"/>
          <w:szCs w:val="24"/>
        </w:rPr>
        <w:t xml:space="preserve">in 2021 were </w:t>
      </w:r>
      <w:r w:rsidR="00831182" w:rsidRPr="00C94B20">
        <w:rPr>
          <w:rFonts w:ascii="Georgia" w:hAnsi="Georgia" w:cs="Times New Roman"/>
          <w:sz w:val="24"/>
          <w:szCs w:val="24"/>
        </w:rPr>
        <w:t xml:space="preserve">again </w:t>
      </w:r>
      <w:r w:rsidR="00AE65EB" w:rsidRPr="00C94B20">
        <w:rPr>
          <w:rFonts w:ascii="Georgia" w:hAnsi="Georgia" w:cs="Times New Roman"/>
          <w:sz w:val="24"/>
          <w:szCs w:val="24"/>
        </w:rPr>
        <w:t>at the levels observed in 2005/06 (KHBS, 2023</w:t>
      </w:r>
      <w:r w:rsidR="00977FE0" w:rsidRPr="00C94B20">
        <w:rPr>
          <w:rFonts w:ascii="Georgia" w:hAnsi="Georgia" w:cs="Times New Roman"/>
          <w:sz w:val="24"/>
          <w:szCs w:val="24"/>
        </w:rPr>
        <w:t>b: Table 5.1</w:t>
      </w:r>
      <w:r w:rsidR="00AE65EB" w:rsidRPr="00C94B20">
        <w:rPr>
          <w:rFonts w:ascii="Georgia" w:hAnsi="Georgia" w:cs="Times New Roman"/>
          <w:sz w:val="24"/>
          <w:szCs w:val="24"/>
        </w:rPr>
        <w:t>). A</w:t>
      </w:r>
      <w:r w:rsidRPr="00C94B20">
        <w:rPr>
          <w:rFonts w:ascii="Georgia" w:hAnsi="Georgia" w:cs="Times New Roman"/>
          <w:sz w:val="24"/>
          <w:szCs w:val="24"/>
        </w:rPr>
        <w:t xml:space="preserve">nalysis by </w:t>
      </w:r>
      <w:r w:rsidR="007E0763" w:rsidRPr="00C94B20">
        <w:rPr>
          <w:rFonts w:ascii="Georgia" w:hAnsi="Georgia" w:cs="Times New Roman"/>
          <w:sz w:val="24"/>
          <w:szCs w:val="24"/>
        </w:rPr>
        <w:t xml:space="preserve">Ichwara et al. </w:t>
      </w:r>
      <w:r w:rsidR="00D31A81" w:rsidRPr="00C94B20">
        <w:rPr>
          <w:rFonts w:ascii="Georgia" w:hAnsi="Georgia" w:cs="Times New Roman"/>
          <w:sz w:val="24"/>
          <w:szCs w:val="24"/>
        </w:rPr>
        <w:t>(</w:t>
      </w:r>
      <w:r w:rsidR="007E0763" w:rsidRPr="00C94B20">
        <w:rPr>
          <w:rFonts w:ascii="Georgia" w:hAnsi="Georgia" w:cs="Times New Roman"/>
          <w:sz w:val="24"/>
          <w:szCs w:val="24"/>
        </w:rPr>
        <w:t>2023)</w:t>
      </w:r>
      <w:r w:rsidRPr="00C94B20">
        <w:rPr>
          <w:rFonts w:ascii="Georgia" w:hAnsi="Georgia" w:cs="Times New Roman"/>
          <w:sz w:val="24"/>
          <w:szCs w:val="24"/>
        </w:rPr>
        <w:t xml:space="preserve"> shows that female-headed households are more likely to be poor than male-headed households, but that the gender differences in households’ probability of being poor diminished somewhat between 2005/06 and 2015/16, whereby literacy level and secondary and university education were major factors in explaining the narrowing of the gender gap in the poverty incidence.</w:t>
      </w:r>
      <w:r w:rsidRPr="00C94B20">
        <w:rPr>
          <w:rStyle w:val="FootnoteReference"/>
          <w:rFonts w:ascii="Georgia" w:hAnsi="Georgia" w:cs="Times New Roman"/>
          <w:sz w:val="24"/>
          <w:szCs w:val="24"/>
        </w:rPr>
        <w:footnoteReference w:id="36"/>
      </w:r>
      <w:r w:rsidRPr="00C94B20">
        <w:rPr>
          <w:rFonts w:ascii="Georgia" w:hAnsi="Georgia" w:cs="Times New Roman"/>
          <w:sz w:val="24"/>
          <w:szCs w:val="24"/>
        </w:rPr>
        <w:t xml:space="preserve"> In a similar fashion, KNBS (2020a: Annex 34 and Annex 35) indicate that children under 18 tend to have a lower probability of being poor if the mother has completed secondary or higher education. Access of women to those levels of education could then help to diminish gender inequality in poverty. </w:t>
      </w:r>
    </w:p>
    <w:p w14:paraId="7A982725" w14:textId="1CC39E34" w:rsidR="007861D5" w:rsidRPr="00C94B20" w:rsidRDefault="00F81E19" w:rsidP="00FF6086">
      <w:pPr>
        <w:spacing w:after="120" w:line="240" w:lineRule="auto"/>
        <w:jc w:val="both"/>
        <w:rPr>
          <w:rFonts w:ascii="Georgia" w:hAnsi="Georgia" w:cs="Times New Roman"/>
          <w:sz w:val="24"/>
          <w:szCs w:val="24"/>
        </w:rPr>
      </w:pPr>
      <w:r w:rsidRPr="00C94B20">
        <w:rPr>
          <w:rFonts w:ascii="Georgia" w:hAnsi="Georgia" w:cs="Times New Roman"/>
          <w:sz w:val="24"/>
          <w:szCs w:val="24"/>
        </w:rPr>
        <w:t xml:space="preserve">As far as access to </w:t>
      </w:r>
      <w:r w:rsidR="00F67EA5" w:rsidRPr="00C94B20">
        <w:rPr>
          <w:rFonts w:ascii="Georgia" w:hAnsi="Georgia" w:cs="Times New Roman"/>
          <w:b/>
          <w:bCs/>
          <w:sz w:val="24"/>
          <w:szCs w:val="24"/>
        </w:rPr>
        <w:t xml:space="preserve">gender inequality in </w:t>
      </w:r>
      <w:r w:rsidRPr="00C94B20">
        <w:rPr>
          <w:rFonts w:ascii="Georgia" w:hAnsi="Georgia" w:cs="Times New Roman"/>
          <w:b/>
          <w:bCs/>
          <w:sz w:val="24"/>
          <w:szCs w:val="24"/>
        </w:rPr>
        <w:t>education</w:t>
      </w:r>
      <w:r w:rsidRPr="00C94B20">
        <w:rPr>
          <w:rFonts w:ascii="Georgia" w:hAnsi="Georgia" w:cs="Times New Roman"/>
          <w:sz w:val="24"/>
          <w:szCs w:val="24"/>
        </w:rPr>
        <w:t xml:space="preserve"> is concerned, it is found that there are ‘no major differences by gender in enrolment in primary and secondary education’, but ‘there seem to be major gender differences in access to education at Technical and Vocational Education Training (TVET) institutes and at the university level’ (KNBS, 2020b: 103). This finding is in line with the observation in MoL (2021: 4) referred to in Section 1.2, that more men than women complete vocational education and training and tertiary education.</w:t>
      </w:r>
      <w:r w:rsidR="007861D5" w:rsidRPr="00C94B20">
        <w:rPr>
          <w:rFonts w:ascii="Georgia" w:hAnsi="Georgia" w:cs="Times New Roman"/>
          <w:sz w:val="24"/>
          <w:szCs w:val="24"/>
        </w:rPr>
        <w:t xml:space="preserve"> Over time, the gender </w:t>
      </w:r>
      <w:r w:rsidR="00D45B1E" w:rsidRPr="00C94B20">
        <w:rPr>
          <w:rFonts w:ascii="Georgia" w:hAnsi="Georgia" w:cs="Times New Roman"/>
          <w:sz w:val="24"/>
          <w:szCs w:val="24"/>
        </w:rPr>
        <w:t>gap</w:t>
      </w:r>
      <w:r w:rsidR="007861D5" w:rsidRPr="00C94B20">
        <w:rPr>
          <w:rFonts w:ascii="Georgia" w:hAnsi="Georgia" w:cs="Times New Roman"/>
          <w:sz w:val="24"/>
          <w:szCs w:val="24"/>
        </w:rPr>
        <w:t xml:space="preserve"> in the access to post-primary </w:t>
      </w:r>
      <w:r w:rsidR="00514BDC" w:rsidRPr="00C94B20">
        <w:rPr>
          <w:rFonts w:ascii="Georgia" w:hAnsi="Georgia" w:cs="Times New Roman"/>
          <w:sz w:val="24"/>
          <w:szCs w:val="24"/>
        </w:rPr>
        <w:t xml:space="preserve">TVET </w:t>
      </w:r>
      <w:r w:rsidR="00D45B1E" w:rsidRPr="00C94B20">
        <w:rPr>
          <w:rFonts w:ascii="Georgia" w:hAnsi="Georgia" w:cs="Times New Roman"/>
          <w:sz w:val="24"/>
          <w:szCs w:val="24"/>
        </w:rPr>
        <w:t xml:space="preserve">first narrowed somewhat, </w:t>
      </w:r>
      <w:r w:rsidR="00ED42DD" w:rsidRPr="00C94B20">
        <w:rPr>
          <w:rFonts w:ascii="Georgia" w:hAnsi="Georgia" w:cs="Times New Roman"/>
          <w:sz w:val="24"/>
          <w:szCs w:val="24"/>
        </w:rPr>
        <w:t>but markedly increased again between 2005/06 and 2015/16</w:t>
      </w:r>
      <w:r w:rsidR="00BD67CE" w:rsidRPr="00C94B20">
        <w:rPr>
          <w:rFonts w:ascii="Georgia" w:hAnsi="Georgia" w:cs="Times New Roman"/>
          <w:sz w:val="24"/>
          <w:szCs w:val="24"/>
        </w:rPr>
        <w:t xml:space="preserve">; the gap in 2021 was </w:t>
      </w:r>
      <w:r w:rsidR="00371CA8" w:rsidRPr="00C94B20">
        <w:rPr>
          <w:rFonts w:ascii="Georgia" w:hAnsi="Georgia" w:cs="Times New Roman"/>
          <w:sz w:val="24"/>
          <w:szCs w:val="24"/>
        </w:rPr>
        <w:t>equal to that in 2015/16</w:t>
      </w:r>
      <w:r w:rsidR="003E24B3" w:rsidRPr="00C94B20">
        <w:rPr>
          <w:rFonts w:ascii="Georgia" w:hAnsi="Georgia" w:cs="Times New Roman"/>
          <w:sz w:val="24"/>
          <w:szCs w:val="24"/>
        </w:rPr>
        <w:t xml:space="preserve"> </w:t>
      </w:r>
      <w:r w:rsidR="00327D13" w:rsidRPr="00C94B20">
        <w:rPr>
          <w:rFonts w:ascii="Georgia" w:hAnsi="Georgia" w:cs="Times New Roman"/>
          <w:sz w:val="24"/>
          <w:szCs w:val="24"/>
        </w:rPr>
        <w:t>(</w:t>
      </w:r>
      <w:r w:rsidR="00B73A24" w:rsidRPr="00C94B20">
        <w:rPr>
          <w:rFonts w:ascii="Georgia" w:hAnsi="Georgia" w:cs="Times New Roman"/>
          <w:sz w:val="24"/>
          <w:szCs w:val="24"/>
        </w:rPr>
        <w:fldChar w:fldCharType="begin"/>
      </w:r>
      <w:r w:rsidR="00B73A24" w:rsidRPr="00C94B20">
        <w:rPr>
          <w:rFonts w:ascii="Georgia" w:hAnsi="Georgia" w:cs="Times New Roman"/>
          <w:sz w:val="24"/>
          <w:szCs w:val="24"/>
        </w:rPr>
        <w:instrText xml:space="preserve"> REF _Ref134453542 \h  \* MERGEFORMAT </w:instrText>
      </w:r>
      <w:r w:rsidR="00B73A24" w:rsidRPr="00C94B20">
        <w:rPr>
          <w:rFonts w:ascii="Georgia" w:hAnsi="Georgia" w:cs="Times New Roman"/>
          <w:sz w:val="24"/>
          <w:szCs w:val="24"/>
        </w:rPr>
      </w:r>
      <w:r w:rsidR="00B73A24" w:rsidRPr="00C94B20">
        <w:rPr>
          <w:rFonts w:ascii="Georgia" w:hAnsi="Georgia" w:cs="Times New Roman"/>
          <w:sz w:val="24"/>
          <w:szCs w:val="24"/>
        </w:rPr>
        <w:fldChar w:fldCharType="separate"/>
      </w:r>
      <w:r w:rsidR="000F6B8E" w:rsidRPr="00C94B20">
        <w:rPr>
          <w:rFonts w:ascii="Georgia" w:hAnsi="Georgia" w:cs="Times New Roman"/>
          <w:sz w:val="24"/>
          <w:szCs w:val="24"/>
        </w:rPr>
        <w:t xml:space="preserve">Table </w:t>
      </w:r>
      <w:r w:rsidR="000F6B8E" w:rsidRPr="00C94B20">
        <w:rPr>
          <w:rFonts w:ascii="Georgia" w:hAnsi="Georgia" w:cs="Times New Roman"/>
          <w:noProof/>
          <w:sz w:val="24"/>
          <w:szCs w:val="24"/>
        </w:rPr>
        <w:t>6</w:t>
      </w:r>
      <w:r w:rsidR="00B73A24" w:rsidRPr="00C94B20">
        <w:rPr>
          <w:rFonts w:ascii="Georgia" w:hAnsi="Georgia" w:cs="Times New Roman"/>
          <w:sz w:val="24"/>
          <w:szCs w:val="24"/>
        </w:rPr>
        <w:fldChar w:fldCharType="end"/>
      </w:r>
      <w:r w:rsidR="00B73A24" w:rsidRPr="00C94B20">
        <w:rPr>
          <w:rFonts w:ascii="Georgia" w:hAnsi="Georgia" w:cs="Times New Roman"/>
          <w:sz w:val="24"/>
          <w:szCs w:val="24"/>
        </w:rPr>
        <w:t>).</w:t>
      </w:r>
      <w:r w:rsidR="00E973E0" w:rsidRPr="00C94B20">
        <w:rPr>
          <w:rFonts w:ascii="Georgia" w:hAnsi="Georgia" w:cs="Times New Roman"/>
          <w:sz w:val="24"/>
          <w:szCs w:val="24"/>
        </w:rPr>
        <w:t xml:space="preserve"> </w:t>
      </w:r>
      <w:r w:rsidR="000E7233" w:rsidRPr="00C94B20">
        <w:rPr>
          <w:rFonts w:ascii="Georgia" w:hAnsi="Georgia" w:cs="Times New Roman"/>
          <w:sz w:val="24"/>
          <w:szCs w:val="24"/>
        </w:rPr>
        <w:t xml:space="preserve">Available data suggests that the </w:t>
      </w:r>
      <w:r w:rsidR="00BA05CC" w:rsidRPr="00C94B20">
        <w:rPr>
          <w:rFonts w:ascii="Georgia" w:hAnsi="Georgia" w:cs="Times New Roman"/>
          <w:sz w:val="24"/>
          <w:szCs w:val="24"/>
        </w:rPr>
        <w:t xml:space="preserve">gender parity in access to </w:t>
      </w:r>
      <w:r w:rsidR="009E6C7B" w:rsidRPr="00C94B20">
        <w:rPr>
          <w:rFonts w:ascii="Georgia" w:hAnsi="Georgia" w:cs="Times New Roman"/>
          <w:sz w:val="24"/>
          <w:szCs w:val="24"/>
        </w:rPr>
        <w:t xml:space="preserve">university </w:t>
      </w:r>
      <w:r w:rsidR="00BA05CC" w:rsidRPr="00C94B20">
        <w:rPr>
          <w:rFonts w:ascii="Georgia" w:hAnsi="Georgia" w:cs="Times New Roman"/>
          <w:sz w:val="24"/>
          <w:szCs w:val="24"/>
        </w:rPr>
        <w:t xml:space="preserve">education that existed in 1994 </w:t>
      </w:r>
      <w:r w:rsidR="00A55C1E" w:rsidRPr="00C94B20">
        <w:rPr>
          <w:rFonts w:ascii="Georgia" w:hAnsi="Georgia" w:cs="Times New Roman"/>
          <w:sz w:val="24"/>
          <w:szCs w:val="24"/>
        </w:rPr>
        <w:t xml:space="preserve">disappeared, as men were </w:t>
      </w:r>
      <w:r w:rsidR="00DD328F" w:rsidRPr="00C94B20">
        <w:rPr>
          <w:rFonts w:ascii="Georgia" w:hAnsi="Georgia" w:cs="Times New Roman"/>
          <w:sz w:val="24"/>
          <w:szCs w:val="24"/>
        </w:rPr>
        <w:t xml:space="preserve">overrepresented in university education in 2015/16 (KNBS, 2020b: </w:t>
      </w:r>
      <w:r w:rsidR="00CF4B8C" w:rsidRPr="00C94B20">
        <w:rPr>
          <w:rFonts w:ascii="Georgia" w:hAnsi="Georgia" w:cs="Times New Roman"/>
          <w:sz w:val="24"/>
          <w:szCs w:val="24"/>
        </w:rPr>
        <w:t>Figure 4.54).</w:t>
      </w:r>
    </w:p>
    <w:p w14:paraId="26F64487" w14:textId="6E636C4C" w:rsidR="00942B01" w:rsidRPr="009C5581" w:rsidRDefault="00942B01" w:rsidP="00C34229">
      <w:pPr>
        <w:spacing w:after="0" w:line="240" w:lineRule="auto"/>
        <w:rPr>
          <w:rFonts w:ascii="Times New Roman" w:hAnsi="Times New Roman" w:cs="Times New Roman"/>
          <w:sz w:val="20"/>
          <w:szCs w:val="20"/>
        </w:rPr>
      </w:pPr>
      <w:bookmarkStart w:id="68" w:name="_Ref134453542"/>
      <w:bookmarkStart w:id="69" w:name="_Toc137745025"/>
      <w:r w:rsidRPr="009C5581">
        <w:rPr>
          <w:rFonts w:ascii="Times New Roman" w:hAnsi="Times New Roman" w:cs="Times New Roman"/>
          <w:b/>
          <w:bCs/>
          <w:sz w:val="20"/>
          <w:szCs w:val="20"/>
        </w:rPr>
        <w:t xml:space="preserve">Table </w:t>
      </w:r>
      <w:r w:rsidRPr="009C5581">
        <w:rPr>
          <w:rFonts w:ascii="Times New Roman" w:hAnsi="Times New Roman" w:cs="Times New Roman"/>
          <w:b/>
          <w:bCs/>
          <w:sz w:val="20"/>
          <w:szCs w:val="20"/>
        </w:rPr>
        <w:fldChar w:fldCharType="begin"/>
      </w:r>
      <w:r w:rsidRPr="009C5581">
        <w:rPr>
          <w:rFonts w:ascii="Times New Roman" w:hAnsi="Times New Roman" w:cs="Times New Roman"/>
          <w:b/>
          <w:bCs/>
          <w:sz w:val="20"/>
          <w:szCs w:val="20"/>
        </w:rPr>
        <w:instrText xml:space="preserve"> SEQ Table \* ARABIC </w:instrText>
      </w:r>
      <w:r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6</w:t>
      </w:r>
      <w:r w:rsidRPr="009C5581">
        <w:rPr>
          <w:rFonts w:ascii="Times New Roman" w:hAnsi="Times New Roman" w:cs="Times New Roman"/>
          <w:b/>
          <w:bCs/>
          <w:sz w:val="20"/>
          <w:szCs w:val="20"/>
        </w:rPr>
        <w:fldChar w:fldCharType="end"/>
      </w:r>
      <w:bookmarkEnd w:id="68"/>
      <w:r w:rsidRPr="009C5581">
        <w:rPr>
          <w:rFonts w:ascii="Times New Roman" w:hAnsi="Times New Roman" w:cs="Times New Roman"/>
          <w:sz w:val="20"/>
          <w:szCs w:val="20"/>
        </w:rPr>
        <w:t>: Male and female shares of post-primary TVET students</w:t>
      </w:r>
      <w:r w:rsidR="00657B76" w:rsidRPr="009C5581">
        <w:rPr>
          <w:rFonts w:ascii="Times New Roman" w:hAnsi="Times New Roman" w:cs="Times New Roman"/>
          <w:sz w:val="20"/>
          <w:szCs w:val="20"/>
        </w:rPr>
        <w:t>, 1994-2015/16 (</w:t>
      </w:r>
      <w:r w:rsidR="00C86C1E" w:rsidRPr="009C5581">
        <w:rPr>
          <w:rFonts w:ascii="Times New Roman" w:hAnsi="Times New Roman" w:cs="Times New Roman"/>
          <w:sz w:val="20"/>
          <w:szCs w:val="20"/>
        </w:rPr>
        <w:t>p</w:t>
      </w:r>
      <w:r w:rsidR="00657B76" w:rsidRPr="009C5581">
        <w:rPr>
          <w:rFonts w:ascii="Times New Roman" w:hAnsi="Times New Roman" w:cs="Times New Roman"/>
          <w:sz w:val="20"/>
          <w:szCs w:val="20"/>
        </w:rPr>
        <w:t>ercent of total)</w:t>
      </w:r>
      <w:bookmarkEnd w:id="69"/>
      <w:r w:rsidR="00657B76" w:rsidRPr="009C5581">
        <w:rPr>
          <w:rFonts w:ascii="Times New Roman" w:hAnsi="Times New Roman" w:cs="Times New Roman"/>
          <w:sz w:val="20"/>
          <w:szCs w:val="20"/>
        </w:rPr>
        <w:t xml:space="preserve"> </w:t>
      </w:r>
    </w:p>
    <w:tbl>
      <w:tblPr>
        <w:tblStyle w:val="TableGrid"/>
        <w:tblW w:w="5000" w:type="pct"/>
        <w:tblLook w:val="04A0" w:firstRow="1" w:lastRow="0" w:firstColumn="1" w:lastColumn="0" w:noHBand="0" w:noVBand="1"/>
      </w:tblPr>
      <w:tblGrid>
        <w:gridCol w:w="1970"/>
        <w:gridCol w:w="1522"/>
        <w:gridCol w:w="2130"/>
        <w:gridCol w:w="2130"/>
        <w:gridCol w:w="2128"/>
      </w:tblGrid>
      <w:tr w:rsidR="008320B1" w:rsidRPr="009C5581" w14:paraId="30E7BDEA" w14:textId="689C56E2" w:rsidTr="008320B1">
        <w:tc>
          <w:tcPr>
            <w:tcW w:w="997" w:type="pct"/>
            <w:vAlign w:val="center"/>
          </w:tcPr>
          <w:p w14:paraId="5DB8BD81" w14:textId="77777777" w:rsidR="008320B1" w:rsidRPr="009C5581" w:rsidRDefault="008320B1" w:rsidP="00C34229">
            <w:pPr>
              <w:jc w:val="center"/>
              <w:rPr>
                <w:rFonts w:ascii="Times New Roman" w:hAnsi="Times New Roman" w:cs="Times New Roman"/>
                <w:sz w:val="18"/>
                <w:szCs w:val="18"/>
              </w:rPr>
            </w:pPr>
          </w:p>
        </w:tc>
        <w:tc>
          <w:tcPr>
            <w:tcW w:w="770" w:type="pct"/>
            <w:vAlign w:val="center"/>
          </w:tcPr>
          <w:p w14:paraId="134AE7E4" w14:textId="76DD5E68" w:rsidR="008320B1" w:rsidRPr="009C5581" w:rsidRDefault="008320B1" w:rsidP="00C34229">
            <w:pPr>
              <w:jc w:val="center"/>
              <w:rPr>
                <w:rFonts w:ascii="Times New Roman" w:hAnsi="Times New Roman" w:cs="Times New Roman"/>
                <w:b/>
                <w:bCs/>
                <w:sz w:val="18"/>
                <w:szCs w:val="18"/>
              </w:rPr>
            </w:pPr>
            <w:r w:rsidRPr="009C5581">
              <w:rPr>
                <w:rFonts w:ascii="Times New Roman" w:hAnsi="Times New Roman" w:cs="Times New Roman"/>
                <w:b/>
                <w:bCs/>
                <w:sz w:val="18"/>
                <w:szCs w:val="18"/>
              </w:rPr>
              <w:t>1994</w:t>
            </w:r>
          </w:p>
        </w:tc>
        <w:tc>
          <w:tcPr>
            <w:tcW w:w="1078" w:type="pct"/>
            <w:vAlign w:val="center"/>
          </w:tcPr>
          <w:p w14:paraId="3BAECA21" w14:textId="2F29837F" w:rsidR="008320B1" w:rsidRPr="009C5581" w:rsidRDefault="008320B1" w:rsidP="00C34229">
            <w:pPr>
              <w:jc w:val="center"/>
              <w:rPr>
                <w:rFonts w:ascii="Times New Roman" w:hAnsi="Times New Roman" w:cs="Times New Roman"/>
                <w:b/>
                <w:bCs/>
                <w:sz w:val="18"/>
                <w:szCs w:val="18"/>
              </w:rPr>
            </w:pPr>
            <w:r w:rsidRPr="009C5581">
              <w:rPr>
                <w:rFonts w:ascii="Times New Roman" w:hAnsi="Times New Roman" w:cs="Times New Roman"/>
                <w:b/>
                <w:bCs/>
                <w:sz w:val="18"/>
                <w:szCs w:val="18"/>
              </w:rPr>
              <w:t>2005/06</w:t>
            </w:r>
          </w:p>
        </w:tc>
        <w:tc>
          <w:tcPr>
            <w:tcW w:w="1078" w:type="pct"/>
            <w:vAlign w:val="center"/>
          </w:tcPr>
          <w:p w14:paraId="3B8D2596" w14:textId="5ECF21F2" w:rsidR="008320B1" w:rsidRPr="009C5581" w:rsidRDefault="008320B1" w:rsidP="00C34229">
            <w:pPr>
              <w:jc w:val="center"/>
              <w:rPr>
                <w:rFonts w:ascii="Times New Roman" w:hAnsi="Times New Roman" w:cs="Times New Roman"/>
                <w:b/>
                <w:bCs/>
                <w:sz w:val="18"/>
                <w:szCs w:val="18"/>
              </w:rPr>
            </w:pPr>
            <w:r w:rsidRPr="009C5581">
              <w:rPr>
                <w:rFonts w:ascii="Times New Roman" w:hAnsi="Times New Roman" w:cs="Times New Roman"/>
                <w:b/>
                <w:bCs/>
                <w:sz w:val="18"/>
                <w:szCs w:val="18"/>
              </w:rPr>
              <w:t>2015/16</w:t>
            </w:r>
          </w:p>
        </w:tc>
        <w:tc>
          <w:tcPr>
            <w:tcW w:w="1077" w:type="pct"/>
          </w:tcPr>
          <w:p w14:paraId="50BE1DCD" w14:textId="1F6B8DB4" w:rsidR="008320B1" w:rsidRPr="009C5581" w:rsidRDefault="008320B1" w:rsidP="00C34229">
            <w:pPr>
              <w:jc w:val="center"/>
              <w:rPr>
                <w:rFonts w:ascii="Times New Roman" w:hAnsi="Times New Roman" w:cs="Times New Roman"/>
                <w:b/>
                <w:bCs/>
                <w:sz w:val="18"/>
                <w:szCs w:val="18"/>
              </w:rPr>
            </w:pPr>
            <w:r w:rsidRPr="009C5581">
              <w:rPr>
                <w:rFonts w:ascii="Times New Roman" w:hAnsi="Times New Roman" w:cs="Times New Roman"/>
                <w:b/>
                <w:bCs/>
                <w:sz w:val="18"/>
                <w:szCs w:val="18"/>
              </w:rPr>
              <w:t>20</w:t>
            </w:r>
            <w:r w:rsidR="00D927D5" w:rsidRPr="009C5581">
              <w:rPr>
                <w:rFonts w:ascii="Times New Roman" w:hAnsi="Times New Roman" w:cs="Times New Roman"/>
                <w:b/>
                <w:bCs/>
                <w:sz w:val="18"/>
                <w:szCs w:val="18"/>
              </w:rPr>
              <w:t>21</w:t>
            </w:r>
          </w:p>
        </w:tc>
      </w:tr>
      <w:tr w:rsidR="008320B1" w:rsidRPr="009C5581" w14:paraId="0E1230F6" w14:textId="2E40FD2E" w:rsidTr="008320B1">
        <w:tc>
          <w:tcPr>
            <w:tcW w:w="997" w:type="pct"/>
            <w:vAlign w:val="center"/>
          </w:tcPr>
          <w:p w14:paraId="456D8C5B" w14:textId="78C85B92" w:rsidR="008320B1" w:rsidRPr="009C5581" w:rsidRDefault="008320B1" w:rsidP="00C34229">
            <w:pPr>
              <w:rPr>
                <w:rFonts w:ascii="Times New Roman" w:hAnsi="Times New Roman" w:cs="Times New Roman"/>
                <w:sz w:val="18"/>
                <w:szCs w:val="18"/>
              </w:rPr>
            </w:pPr>
            <w:r w:rsidRPr="009C5581">
              <w:rPr>
                <w:rFonts w:ascii="Times New Roman" w:hAnsi="Times New Roman" w:cs="Times New Roman"/>
                <w:sz w:val="18"/>
                <w:szCs w:val="18"/>
              </w:rPr>
              <w:t>Male</w:t>
            </w:r>
          </w:p>
        </w:tc>
        <w:tc>
          <w:tcPr>
            <w:tcW w:w="770" w:type="pct"/>
            <w:vAlign w:val="center"/>
          </w:tcPr>
          <w:p w14:paraId="16AE4A70" w14:textId="11D4D4BE" w:rsidR="008320B1" w:rsidRPr="009C5581" w:rsidRDefault="008320B1" w:rsidP="00C34229">
            <w:pPr>
              <w:jc w:val="center"/>
              <w:rPr>
                <w:rFonts w:ascii="Times New Roman" w:hAnsi="Times New Roman" w:cs="Times New Roman"/>
                <w:sz w:val="18"/>
                <w:szCs w:val="18"/>
              </w:rPr>
            </w:pPr>
            <w:r w:rsidRPr="009C5581">
              <w:rPr>
                <w:rFonts w:ascii="Times New Roman" w:hAnsi="Times New Roman" w:cs="Times New Roman"/>
                <w:sz w:val="18"/>
                <w:szCs w:val="18"/>
              </w:rPr>
              <w:t>54.6</w:t>
            </w:r>
          </w:p>
        </w:tc>
        <w:tc>
          <w:tcPr>
            <w:tcW w:w="1078" w:type="pct"/>
            <w:vAlign w:val="center"/>
          </w:tcPr>
          <w:p w14:paraId="376A7A30" w14:textId="6CD3FE21" w:rsidR="008320B1" w:rsidRPr="009C5581" w:rsidRDefault="008320B1" w:rsidP="00C34229">
            <w:pPr>
              <w:jc w:val="center"/>
              <w:rPr>
                <w:rFonts w:ascii="Times New Roman" w:hAnsi="Times New Roman" w:cs="Times New Roman"/>
                <w:sz w:val="18"/>
                <w:szCs w:val="18"/>
              </w:rPr>
            </w:pPr>
            <w:r w:rsidRPr="009C5581">
              <w:rPr>
                <w:rFonts w:ascii="Times New Roman" w:hAnsi="Times New Roman" w:cs="Times New Roman"/>
                <w:sz w:val="18"/>
                <w:szCs w:val="18"/>
              </w:rPr>
              <w:t>52.8</w:t>
            </w:r>
          </w:p>
        </w:tc>
        <w:tc>
          <w:tcPr>
            <w:tcW w:w="1078" w:type="pct"/>
            <w:vAlign w:val="center"/>
          </w:tcPr>
          <w:p w14:paraId="0ADE5291" w14:textId="2CD1E80C" w:rsidR="008320B1" w:rsidRPr="009C5581" w:rsidRDefault="008320B1" w:rsidP="00C34229">
            <w:pPr>
              <w:jc w:val="center"/>
              <w:rPr>
                <w:rFonts w:ascii="Times New Roman" w:hAnsi="Times New Roman" w:cs="Times New Roman"/>
                <w:sz w:val="18"/>
                <w:szCs w:val="18"/>
              </w:rPr>
            </w:pPr>
            <w:r w:rsidRPr="009C5581">
              <w:rPr>
                <w:rFonts w:ascii="Times New Roman" w:hAnsi="Times New Roman" w:cs="Times New Roman"/>
                <w:sz w:val="18"/>
                <w:szCs w:val="18"/>
              </w:rPr>
              <w:t>57.6</w:t>
            </w:r>
          </w:p>
        </w:tc>
        <w:tc>
          <w:tcPr>
            <w:tcW w:w="1077" w:type="pct"/>
          </w:tcPr>
          <w:p w14:paraId="0E3D9FC3" w14:textId="09CED385" w:rsidR="008320B1" w:rsidRPr="009C5581" w:rsidRDefault="00660F91" w:rsidP="00C34229">
            <w:pPr>
              <w:jc w:val="center"/>
              <w:rPr>
                <w:rFonts w:ascii="Times New Roman" w:hAnsi="Times New Roman" w:cs="Times New Roman"/>
                <w:sz w:val="18"/>
                <w:szCs w:val="18"/>
              </w:rPr>
            </w:pPr>
            <w:r w:rsidRPr="009C5581">
              <w:rPr>
                <w:rFonts w:ascii="Times New Roman" w:hAnsi="Times New Roman" w:cs="Times New Roman"/>
                <w:sz w:val="18"/>
                <w:szCs w:val="18"/>
              </w:rPr>
              <w:t>55,1</w:t>
            </w:r>
          </w:p>
        </w:tc>
      </w:tr>
      <w:tr w:rsidR="008320B1" w:rsidRPr="009C5581" w14:paraId="1EE5E7FC" w14:textId="267E1458" w:rsidTr="008320B1">
        <w:tc>
          <w:tcPr>
            <w:tcW w:w="997" w:type="pct"/>
            <w:vAlign w:val="center"/>
          </w:tcPr>
          <w:p w14:paraId="6AED0E41" w14:textId="61FF8654" w:rsidR="008320B1" w:rsidRPr="009C5581" w:rsidRDefault="008320B1" w:rsidP="00C34229">
            <w:pPr>
              <w:rPr>
                <w:rFonts w:ascii="Times New Roman" w:hAnsi="Times New Roman" w:cs="Times New Roman"/>
                <w:sz w:val="18"/>
                <w:szCs w:val="18"/>
              </w:rPr>
            </w:pPr>
            <w:r w:rsidRPr="009C5581">
              <w:rPr>
                <w:rFonts w:ascii="Times New Roman" w:hAnsi="Times New Roman" w:cs="Times New Roman"/>
                <w:sz w:val="18"/>
                <w:szCs w:val="18"/>
              </w:rPr>
              <w:t>Female</w:t>
            </w:r>
          </w:p>
        </w:tc>
        <w:tc>
          <w:tcPr>
            <w:tcW w:w="770" w:type="pct"/>
            <w:vAlign w:val="center"/>
          </w:tcPr>
          <w:p w14:paraId="2348B8FE" w14:textId="179D24DC" w:rsidR="008320B1" w:rsidRPr="009C5581" w:rsidRDefault="008320B1" w:rsidP="00C34229">
            <w:pPr>
              <w:jc w:val="center"/>
              <w:rPr>
                <w:rFonts w:ascii="Times New Roman" w:hAnsi="Times New Roman" w:cs="Times New Roman"/>
                <w:sz w:val="18"/>
                <w:szCs w:val="18"/>
              </w:rPr>
            </w:pPr>
            <w:r w:rsidRPr="009C5581">
              <w:rPr>
                <w:rFonts w:ascii="Times New Roman" w:hAnsi="Times New Roman" w:cs="Times New Roman"/>
                <w:sz w:val="18"/>
                <w:szCs w:val="18"/>
              </w:rPr>
              <w:t>45.4</w:t>
            </w:r>
          </w:p>
        </w:tc>
        <w:tc>
          <w:tcPr>
            <w:tcW w:w="1078" w:type="pct"/>
            <w:vAlign w:val="center"/>
          </w:tcPr>
          <w:p w14:paraId="37EDB8F9" w14:textId="4FD483EE" w:rsidR="008320B1" w:rsidRPr="009C5581" w:rsidRDefault="008320B1" w:rsidP="00C34229">
            <w:pPr>
              <w:jc w:val="center"/>
              <w:rPr>
                <w:rFonts w:ascii="Times New Roman" w:hAnsi="Times New Roman" w:cs="Times New Roman"/>
                <w:sz w:val="18"/>
                <w:szCs w:val="18"/>
              </w:rPr>
            </w:pPr>
            <w:r w:rsidRPr="009C5581">
              <w:rPr>
                <w:rFonts w:ascii="Times New Roman" w:hAnsi="Times New Roman" w:cs="Times New Roman"/>
                <w:sz w:val="18"/>
                <w:szCs w:val="18"/>
              </w:rPr>
              <w:t>47.2</w:t>
            </w:r>
          </w:p>
        </w:tc>
        <w:tc>
          <w:tcPr>
            <w:tcW w:w="1078" w:type="pct"/>
            <w:vAlign w:val="center"/>
          </w:tcPr>
          <w:p w14:paraId="35DDF3FC" w14:textId="5C27376D" w:rsidR="008320B1" w:rsidRPr="009C5581" w:rsidRDefault="008320B1" w:rsidP="00C34229">
            <w:pPr>
              <w:jc w:val="center"/>
              <w:rPr>
                <w:rFonts w:ascii="Times New Roman" w:hAnsi="Times New Roman" w:cs="Times New Roman"/>
                <w:sz w:val="18"/>
                <w:szCs w:val="18"/>
              </w:rPr>
            </w:pPr>
            <w:r w:rsidRPr="009C5581">
              <w:rPr>
                <w:rFonts w:ascii="Times New Roman" w:hAnsi="Times New Roman" w:cs="Times New Roman"/>
                <w:sz w:val="18"/>
                <w:szCs w:val="18"/>
              </w:rPr>
              <w:t>42.2</w:t>
            </w:r>
          </w:p>
        </w:tc>
        <w:tc>
          <w:tcPr>
            <w:tcW w:w="1077" w:type="pct"/>
          </w:tcPr>
          <w:p w14:paraId="4DDF3561" w14:textId="6FDAB1AC" w:rsidR="008320B1" w:rsidRPr="009C5581" w:rsidRDefault="00D927D5" w:rsidP="00C34229">
            <w:pPr>
              <w:jc w:val="center"/>
              <w:rPr>
                <w:rFonts w:ascii="Times New Roman" w:hAnsi="Times New Roman" w:cs="Times New Roman"/>
                <w:sz w:val="18"/>
                <w:szCs w:val="18"/>
              </w:rPr>
            </w:pPr>
            <w:r w:rsidRPr="009C5581">
              <w:rPr>
                <w:rFonts w:ascii="Times New Roman" w:hAnsi="Times New Roman" w:cs="Times New Roman"/>
                <w:sz w:val="18"/>
                <w:szCs w:val="18"/>
              </w:rPr>
              <w:t>42.9</w:t>
            </w:r>
          </w:p>
        </w:tc>
      </w:tr>
    </w:tbl>
    <w:p w14:paraId="4A5DCC84" w14:textId="5C07144C" w:rsidR="007861D5" w:rsidRPr="009C5581" w:rsidRDefault="00887971" w:rsidP="00F81E19">
      <w:pPr>
        <w:jc w:val="both"/>
        <w:rPr>
          <w:rFonts w:ascii="Times New Roman" w:hAnsi="Times New Roman" w:cs="Times New Roman"/>
          <w:sz w:val="16"/>
          <w:szCs w:val="16"/>
        </w:rPr>
      </w:pPr>
      <w:r w:rsidRPr="009C5581">
        <w:rPr>
          <w:rFonts w:ascii="Times New Roman" w:hAnsi="Times New Roman" w:cs="Times New Roman"/>
          <w:sz w:val="16"/>
          <w:szCs w:val="16"/>
        </w:rPr>
        <w:t>Source</w:t>
      </w:r>
      <w:r w:rsidR="00371CA8" w:rsidRPr="009C5581">
        <w:rPr>
          <w:rFonts w:ascii="Times New Roman" w:hAnsi="Times New Roman" w:cs="Times New Roman"/>
          <w:sz w:val="16"/>
          <w:szCs w:val="16"/>
        </w:rPr>
        <w:t>s</w:t>
      </w:r>
      <w:r w:rsidRPr="009C5581">
        <w:rPr>
          <w:rFonts w:ascii="Times New Roman" w:hAnsi="Times New Roman" w:cs="Times New Roman"/>
          <w:sz w:val="16"/>
          <w:szCs w:val="16"/>
        </w:rPr>
        <w:t>: KNBS (2020b: Figure 4.52)</w:t>
      </w:r>
      <w:r w:rsidR="00371CA8" w:rsidRPr="009C5581">
        <w:rPr>
          <w:rFonts w:ascii="Times New Roman" w:hAnsi="Times New Roman" w:cs="Times New Roman"/>
          <w:sz w:val="16"/>
          <w:szCs w:val="16"/>
        </w:rPr>
        <w:t xml:space="preserve">; </w:t>
      </w:r>
      <w:r w:rsidR="00782E96" w:rsidRPr="009C5581">
        <w:rPr>
          <w:rFonts w:ascii="Times New Roman" w:hAnsi="Times New Roman" w:cs="Times New Roman"/>
          <w:sz w:val="16"/>
          <w:szCs w:val="16"/>
        </w:rPr>
        <w:t xml:space="preserve">for 2021, </w:t>
      </w:r>
      <w:r w:rsidR="00371CA8" w:rsidRPr="009C5581">
        <w:rPr>
          <w:rFonts w:ascii="Times New Roman" w:hAnsi="Times New Roman" w:cs="Times New Roman"/>
          <w:sz w:val="16"/>
          <w:szCs w:val="16"/>
        </w:rPr>
        <w:t xml:space="preserve">own calculation based on </w:t>
      </w:r>
      <w:r w:rsidR="00782E96" w:rsidRPr="009C5581">
        <w:rPr>
          <w:rFonts w:ascii="Times New Roman" w:hAnsi="Times New Roman" w:cs="Times New Roman"/>
          <w:sz w:val="16"/>
          <w:szCs w:val="16"/>
        </w:rPr>
        <w:t>KNBS (2023a: Table 15.13)</w:t>
      </w:r>
      <w:r w:rsidR="008D6026" w:rsidRPr="009C5581">
        <w:rPr>
          <w:rFonts w:ascii="Times New Roman" w:hAnsi="Times New Roman" w:cs="Times New Roman"/>
          <w:sz w:val="16"/>
          <w:szCs w:val="16"/>
        </w:rPr>
        <w:t>.</w:t>
      </w:r>
    </w:p>
    <w:p w14:paraId="07891356" w14:textId="0F851B35" w:rsidR="00826E78" w:rsidRPr="00C94B20" w:rsidRDefault="00826E78" w:rsidP="00826E78">
      <w:pPr>
        <w:jc w:val="both"/>
        <w:rPr>
          <w:rFonts w:ascii="Georgia" w:hAnsi="Georgia" w:cs="Times New Roman"/>
          <w:sz w:val="24"/>
          <w:szCs w:val="24"/>
        </w:rPr>
      </w:pPr>
      <w:bookmarkStart w:id="70" w:name="_Ref135053223"/>
      <w:bookmarkStart w:id="71" w:name="_Toc137745026"/>
      <w:r w:rsidRPr="00C94B20">
        <w:rPr>
          <w:rFonts w:ascii="Georgia" w:hAnsi="Georgia" w:cs="Times New Roman"/>
          <w:sz w:val="24"/>
          <w:szCs w:val="24"/>
        </w:rPr>
        <w:t>The results presented by KNBS largely coincide with the gender parity indices in terms of enrolment presented in the Second Voluntary National Review Report on the Sustainable Development Goals (The National Treasury and Planning, 2020: Table 4.1). The figures in</w:t>
      </w:r>
      <w:r w:rsidR="00A46FD4" w:rsidRPr="00C94B20">
        <w:rPr>
          <w:rFonts w:ascii="Georgia" w:hAnsi="Georgia" w:cs="Times New Roman"/>
          <w:sz w:val="24"/>
          <w:szCs w:val="24"/>
        </w:rPr>
        <w:t xml:space="preserve"> </w:t>
      </w:r>
      <w:r w:rsidR="000A5F1C" w:rsidRPr="00C94B20">
        <w:rPr>
          <w:rFonts w:ascii="Georgia" w:hAnsi="Georgia" w:cs="Times New Roman"/>
          <w:sz w:val="24"/>
          <w:szCs w:val="24"/>
        </w:rPr>
        <w:fldChar w:fldCharType="begin"/>
      </w:r>
      <w:r w:rsidR="000A5F1C" w:rsidRPr="00C94B20">
        <w:rPr>
          <w:rFonts w:ascii="Georgia" w:hAnsi="Georgia" w:cs="Times New Roman"/>
          <w:sz w:val="24"/>
          <w:szCs w:val="24"/>
        </w:rPr>
        <w:instrText xml:space="preserve"> REF _Ref140507923 \h  \* MERGEFORMAT </w:instrText>
      </w:r>
      <w:r w:rsidR="000A5F1C" w:rsidRPr="00C94B20">
        <w:rPr>
          <w:rFonts w:ascii="Georgia" w:hAnsi="Georgia" w:cs="Times New Roman"/>
          <w:sz w:val="24"/>
          <w:szCs w:val="24"/>
        </w:rPr>
      </w:r>
      <w:r w:rsidR="000A5F1C" w:rsidRPr="00C94B20">
        <w:rPr>
          <w:rFonts w:ascii="Georgia" w:hAnsi="Georgia" w:cs="Times New Roman"/>
          <w:sz w:val="24"/>
          <w:szCs w:val="24"/>
        </w:rPr>
        <w:fldChar w:fldCharType="separate"/>
      </w:r>
      <w:r w:rsidR="000F6B8E" w:rsidRPr="00C94B20">
        <w:rPr>
          <w:rFonts w:ascii="Georgia" w:hAnsi="Georgia" w:cs="Times New Roman"/>
          <w:sz w:val="24"/>
          <w:szCs w:val="24"/>
        </w:rPr>
        <w:t xml:space="preserve">Table </w:t>
      </w:r>
      <w:r w:rsidR="000F6B8E" w:rsidRPr="00C94B20">
        <w:rPr>
          <w:rFonts w:ascii="Georgia" w:hAnsi="Georgia" w:cs="Times New Roman"/>
          <w:noProof/>
          <w:sz w:val="24"/>
          <w:szCs w:val="24"/>
        </w:rPr>
        <w:t>7</w:t>
      </w:r>
      <w:r w:rsidR="000A5F1C" w:rsidRPr="00C94B20">
        <w:rPr>
          <w:rFonts w:ascii="Georgia" w:hAnsi="Georgia" w:cs="Times New Roman"/>
          <w:sz w:val="24"/>
          <w:szCs w:val="24"/>
        </w:rPr>
        <w:fldChar w:fldCharType="end"/>
      </w:r>
      <w:r w:rsidR="000A5F1C" w:rsidRPr="00C94B20">
        <w:rPr>
          <w:rFonts w:ascii="Georgia" w:hAnsi="Georgia" w:cs="Times New Roman"/>
          <w:sz w:val="24"/>
          <w:szCs w:val="24"/>
        </w:rPr>
        <w:t xml:space="preserve"> </w:t>
      </w:r>
      <w:r w:rsidRPr="00C94B20">
        <w:rPr>
          <w:rFonts w:ascii="Georgia" w:hAnsi="Georgia" w:cs="Times New Roman"/>
          <w:sz w:val="24"/>
          <w:szCs w:val="24"/>
        </w:rPr>
        <w:t xml:space="preserve">show that there was near-gender parity in enrolment in early-childhood development, primary and secondary education in 2015-2019, that the gender parity index improved somewhat in TVET in that period, while the index for university education deteriorated somewhat. </w:t>
      </w:r>
    </w:p>
    <w:p w14:paraId="248B9AF3" w14:textId="6472519D" w:rsidR="00E56D63" w:rsidRPr="00C94B20" w:rsidRDefault="00E56D63" w:rsidP="00826E78">
      <w:pPr>
        <w:jc w:val="both"/>
        <w:rPr>
          <w:rFonts w:ascii="Georgia" w:hAnsi="Georgia" w:cs="Times New Roman"/>
          <w:b/>
          <w:bCs/>
          <w:sz w:val="24"/>
          <w:szCs w:val="24"/>
        </w:rPr>
      </w:pPr>
      <w:r w:rsidRPr="00C94B20">
        <w:rPr>
          <w:rFonts w:ascii="Georgia" w:hAnsi="Georgia" w:cs="Times New Roman"/>
          <w:sz w:val="24"/>
          <w:szCs w:val="24"/>
        </w:rPr>
        <w:t>It must be emphasized that near-gender parity in enrolment in education does not necessarily mean that there is also equal access to education, and especially to quality education. The study of Korir et al. (2021) on the relationship between climate change and access to (quality) education among girls, for example, makes clear that such an automatic link cannot be taken for granted. For other evidence on girls missing out on education despite being enrolled, see, for instance Equal Measures 2023.</w:t>
      </w:r>
      <w:r w:rsidRPr="00C94B20">
        <w:rPr>
          <w:rStyle w:val="FootnoteReference"/>
          <w:rFonts w:ascii="Georgia" w:hAnsi="Georgia" w:cs="Times New Roman"/>
          <w:sz w:val="24"/>
          <w:szCs w:val="24"/>
        </w:rPr>
        <w:footnoteReference w:id="37"/>
      </w:r>
      <w:r w:rsidRPr="00C94B20">
        <w:rPr>
          <w:rFonts w:ascii="Georgia" w:hAnsi="Georgia" w:cs="Times New Roman"/>
          <w:sz w:val="24"/>
          <w:szCs w:val="24"/>
        </w:rPr>
        <w:t xml:space="preserve">  </w:t>
      </w:r>
    </w:p>
    <w:p w14:paraId="4B77F90A" w14:textId="28C9445C" w:rsidR="0050434C" w:rsidRPr="009C5581" w:rsidRDefault="0050434C" w:rsidP="0050434C">
      <w:pPr>
        <w:spacing w:after="0" w:line="240" w:lineRule="auto"/>
        <w:rPr>
          <w:rFonts w:ascii="Times New Roman" w:hAnsi="Times New Roman" w:cs="Times New Roman"/>
          <w:sz w:val="20"/>
          <w:szCs w:val="20"/>
        </w:rPr>
      </w:pPr>
      <w:bookmarkStart w:id="72" w:name="_Ref140507923"/>
      <w:r w:rsidRPr="009C5581">
        <w:rPr>
          <w:rFonts w:ascii="Times New Roman" w:hAnsi="Times New Roman" w:cs="Times New Roman"/>
          <w:b/>
          <w:bCs/>
          <w:sz w:val="20"/>
          <w:szCs w:val="20"/>
        </w:rPr>
        <w:t xml:space="preserve">Table </w:t>
      </w:r>
      <w:r w:rsidRPr="009C5581">
        <w:rPr>
          <w:rFonts w:ascii="Times New Roman" w:hAnsi="Times New Roman" w:cs="Times New Roman"/>
          <w:b/>
          <w:bCs/>
          <w:sz w:val="20"/>
          <w:szCs w:val="20"/>
        </w:rPr>
        <w:fldChar w:fldCharType="begin"/>
      </w:r>
      <w:r w:rsidRPr="009C5581">
        <w:rPr>
          <w:rFonts w:ascii="Times New Roman" w:hAnsi="Times New Roman" w:cs="Times New Roman"/>
          <w:b/>
          <w:bCs/>
          <w:sz w:val="20"/>
          <w:szCs w:val="20"/>
        </w:rPr>
        <w:instrText xml:space="preserve"> SEQ Table \* ARABIC </w:instrText>
      </w:r>
      <w:r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7</w:t>
      </w:r>
      <w:r w:rsidRPr="009C5581">
        <w:rPr>
          <w:rFonts w:ascii="Times New Roman" w:hAnsi="Times New Roman" w:cs="Times New Roman"/>
          <w:b/>
          <w:bCs/>
          <w:sz w:val="20"/>
          <w:szCs w:val="20"/>
        </w:rPr>
        <w:fldChar w:fldCharType="end"/>
      </w:r>
      <w:bookmarkEnd w:id="70"/>
      <w:bookmarkEnd w:id="72"/>
      <w:r w:rsidRPr="009C5581">
        <w:rPr>
          <w:rFonts w:ascii="Times New Roman" w:hAnsi="Times New Roman" w:cs="Times New Roman"/>
          <w:sz w:val="20"/>
          <w:szCs w:val="20"/>
        </w:rPr>
        <w:t xml:space="preserve">: </w:t>
      </w:r>
      <w:r w:rsidR="002D2132" w:rsidRPr="009C5581">
        <w:rPr>
          <w:rFonts w:ascii="Times New Roman" w:hAnsi="Times New Roman" w:cs="Times New Roman"/>
          <w:sz w:val="20"/>
          <w:szCs w:val="20"/>
        </w:rPr>
        <w:t xml:space="preserve">Gender parity indices by category of education, </w:t>
      </w:r>
      <w:r w:rsidRPr="009C5581">
        <w:rPr>
          <w:rFonts w:ascii="Times New Roman" w:hAnsi="Times New Roman" w:cs="Times New Roman"/>
          <w:sz w:val="20"/>
          <w:szCs w:val="20"/>
        </w:rPr>
        <w:t>2015</w:t>
      </w:r>
      <w:r w:rsidR="00E13740" w:rsidRPr="009C5581">
        <w:rPr>
          <w:rFonts w:ascii="Times New Roman" w:hAnsi="Times New Roman" w:cs="Times New Roman"/>
          <w:sz w:val="20"/>
          <w:szCs w:val="20"/>
        </w:rPr>
        <w:t>-2019</w:t>
      </w:r>
      <w:bookmarkEnd w:id="71"/>
      <w:r w:rsidRPr="009C5581">
        <w:rPr>
          <w:rFonts w:ascii="Times New Roman" w:hAnsi="Times New Roman" w:cs="Times New Roman"/>
          <w:sz w:val="20"/>
          <w:szCs w:val="20"/>
        </w:rPr>
        <w:t xml:space="preserve"> </w:t>
      </w:r>
    </w:p>
    <w:tbl>
      <w:tblPr>
        <w:tblStyle w:val="TableGrid"/>
        <w:tblW w:w="5000" w:type="pct"/>
        <w:tblLook w:val="04A0" w:firstRow="1" w:lastRow="0" w:firstColumn="1" w:lastColumn="0" w:noHBand="0" w:noVBand="1"/>
      </w:tblPr>
      <w:tblGrid>
        <w:gridCol w:w="3589"/>
        <w:gridCol w:w="1257"/>
        <w:gridCol w:w="1259"/>
        <w:gridCol w:w="1257"/>
        <w:gridCol w:w="1259"/>
        <w:gridCol w:w="1259"/>
      </w:tblGrid>
      <w:tr w:rsidR="00E13740" w:rsidRPr="009C5581" w14:paraId="2BB3015A" w14:textId="77777777" w:rsidTr="00EF4F0A">
        <w:tc>
          <w:tcPr>
            <w:tcW w:w="1817" w:type="pct"/>
            <w:vAlign w:val="center"/>
          </w:tcPr>
          <w:p w14:paraId="5499D404" w14:textId="77777777" w:rsidR="009E5966" w:rsidRPr="009C5581" w:rsidRDefault="009E5966" w:rsidP="00A82686">
            <w:pPr>
              <w:jc w:val="center"/>
              <w:rPr>
                <w:rFonts w:ascii="Times New Roman" w:hAnsi="Times New Roman" w:cs="Times New Roman"/>
                <w:sz w:val="18"/>
                <w:szCs w:val="18"/>
              </w:rPr>
            </w:pPr>
          </w:p>
        </w:tc>
        <w:tc>
          <w:tcPr>
            <w:tcW w:w="636" w:type="pct"/>
            <w:vAlign w:val="center"/>
          </w:tcPr>
          <w:p w14:paraId="2C67800F" w14:textId="233347FC" w:rsidR="009E5966" w:rsidRPr="009C5581" w:rsidRDefault="00E13740" w:rsidP="00A82686">
            <w:pPr>
              <w:jc w:val="center"/>
              <w:rPr>
                <w:rFonts w:ascii="Times New Roman" w:hAnsi="Times New Roman" w:cs="Times New Roman"/>
                <w:b/>
                <w:bCs/>
                <w:sz w:val="18"/>
                <w:szCs w:val="18"/>
              </w:rPr>
            </w:pPr>
            <w:r w:rsidRPr="009C5581">
              <w:rPr>
                <w:rFonts w:ascii="Times New Roman" w:hAnsi="Times New Roman" w:cs="Times New Roman"/>
                <w:b/>
                <w:bCs/>
                <w:sz w:val="18"/>
                <w:szCs w:val="18"/>
              </w:rPr>
              <w:t>2015</w:t>
            </w:r>
          </w:p>
        </w:tc>
        <w:tc>
          <w:tcPr>
            <w:tcW w:w="637" w:type="pct"/>
          </w:tcPr>
          <w:p w14:paraId="004EA936" w14:textId="2EA596EA" w:rsidR="009E5966" w:rsidRPr="009C5581" w:rsidRDefault="00E13740" w:rsidP="00A82686">
            <w:pPr>
              <w:jc w:val="center"/>
              <w:rPr>
                <w:rFonts w:ascii="Times New Roman" w:hAnsi="Times New Roman" w:cs="Times New Roman"/>
                <w:b/>
                <w:bCs/>
                <w:sz w:val="18"/>
                <w:szCs w:val="18"/>
              </w:rPr>
            </w:pPr>
            <w:r w:rsidRPr="009C5581">
              <w:rPr>
                <w:rFonts w:ascii="Times New Roman" w:hAnsi="Times New Roman" w:cs="Times New Roman"/>
                <w:b/>
                <w:bCs/>
                <w:sz w:val="18"/>
                <w:szCs w:val="18"/>
              </w:rPr>
              <w:t>2016</w:t>
            </w:r>
          </w:p>
        </w:tc>
        <w:tc>
          <w:tcPr>
            <w:tcW w:w="636" w:type="pct"/>
          </w:tcPr>
          <w:p w14:paraId="3DB0EC73" w14:textId="63633FEA" w:rsidR="009E5966" w:rsidRPr="009C5581" w:rsidRDefault="00E13740" w:rsidP="00A82686">
            <w:pPr>
              <w:jc w:val="center"/>
              <w:rPr>
                <w:rFonts w:ascii="Times New Roman" w:hAnsi="Times New Roman" w:cs="Times New Roman"/>
                <w:b/>
                <w:bCs/>
                <w:sz w:val="18"/>
                <w:szCs w:val="18"/>
              </w:rPr>
            </w:pPr>
            <w:r w:rsidRPr="009C5581">
              <w:rPr>
                <w:rFonts w:ascii="Times New Roman" w:hAnsi="Times New Roman" w:cs="Times New Roman"/>
                <w:b/>
                <w:bCs/>
                <w:sz w:val="18"/>
                <w:szCs w:val="18"/>
              </w:rPr>
              <w:t>2017</w:t>
            </w:r>
          </w:p>
        </w:tc>
        <w:tc>
          <w:tcPr>
            <w:tcW w:w="637" w:type="pct"/>
            <w:vAlign w:val="center"/>
          </w:tcPr>
          <w:p w14:paraId="19A89ACA" w14:textId="65CE49AC" w:rsidR="009E5966" w:rsidRPr="009C5581" w:rsidRDefault="009E5966" w:rsidP="00A82686">
            <w:pPr>
              <w:jc w:val="center"/>
              <w:rPr>
                <w:rFonts w:ascii="Times New Roman" w:hAnsi="Times New Roman" w:cs="Times New Roman"/>
                <w:b/>
                <w:bCs/>
                <w:sz w:val="18"/>
                <w:szCs w:val="18"/>
              </w:rPr>
            </w:pPr>
            <w:r w:rsidRPr="009C5581">
              <w:rPr>
                <w:rFonts w:ascii="Times New Roman" w:hAnsi="Times New Roman" w:cs="Times New Roman"/>
                <w:b/>
                <w:bCs/>
                <w:sz w:val="18"/>
                <w:szCs w:val="18"/>
              </w:rPr>
              <w:t>20</w:t>
            </w:r>
            <w:r w:rsidR="00E13740" w:rsidRPr="009C5581">
              <w:rPr>
                <w:rFonts w:ascii="Times New Roman" w:hAnsi="Times New Roman" w:cs="Times New Roman"/>
                <w:b/>
                <w:bCs/>
                <w:sz w:val="18"/>
                <w:szCs w:val="18"/>
              </w:rPr>
              <w:t>18</w:t>
            </w:r>
          </w:p>
        </w:tc>
        <w:tc>
          <w:tcPr>
            <w:tcW w:w="637" w:type="pct"/>
            <w:vAlign w:val="center"/>
          </w:tcPr>
          <w:p w14:paraId="7446FAF7" w14:textId="4B2D6778" w:rsidR="009E5966" w:rsidRPr="009C5581" w:rsidRDefault="009E5966" w:rsidP="00A82686">
            <w:pPr>
              <w:jc w:val="center"/>
              <w:rPr>
                <w:rFonts w:ascii="Times New Roman" w:hAnsi="Times New Roman" w:cs="Times New Roman"/>
                <w:b/>
                <w:bCs/>
                <w:sz w:val="18"/>
                <w:szCs w:val="18"/>
              </w:rPr>
            </w:pPr>
            <w:r w:rsidRPr="009C5581">
              <w:rPr>
                <w:rFonts w:ascii="Times New Roman" w:hAnsi="Times New Roman" w:cs="Times New Roman"/>
                <w:b/>
                <w:bCs/>
                <w:sz w:val="18"/>
                <w:szCs w:val="18"/>
              </w:rPr>
              <w:t>201</w:t>
            </w:r>
            <w:r w:rsidR="00E13740" w:rsidRPr="009C5581">
              <w:rPr>
                <w:rFonts w:ascii="Times New Roman" w:hAnsi="Times New Roman" w:cs="Times New Roman"/>
                <w:b/>
                <w:bCs/>
                <w:sz w:val="18"/>
                <w:szCs w:val="18"/>
              </w:rPr>
              <w:t>9</w:t>
            </w:r>
          </w:p>
        </w:tc>
      </w:tr>
      <w:tr w:rsidR="009B506B" w:rsidRPr="009C5581" w14:paraId="2F9A36C6" w14:textId="77777777" w:rsidTr="00EF4F0A">
        <w:tc>
          <w:tcPr>
            <w:tcW w:w="1817" w:type="pct"/>
            <w:vAlign w:val="center"/>
          </w:tcPr>
          <w:p w14:paraId="4B326A55" w14:textId="500167D4" w:rsidR="009B506B" w:rsidRPr="009C5581" w:rsidRDefault="009B506B" w:rsidP="009B506B">
            <w:pPr>
              <w:rPr>
                <w:rFonts w:ascii="Times New Roman" w:hAnsi="Times New Roman" w:cs="Times New Roman"/>
                <w:sz w:val="18"/>
                <w:szCs w:val="18"/>
              </w:rPr>
            </w:pPr>
            <w:r w:rsidRPr="009C5581">
              <w:rPr>
                <w:rFonts w:ascii="Times New Roman" w:hAnsi="Times New Roman" w:cs="Times New Roman"/>
                <w:sz w:val="18"/>
                <w:szCs w:val="18"/>
              </w:rPr>
              <w:t>Early</w:t>
            </w:r>
            <w:r w:rsidR="00DF3861" w:rsidRPr="009C5581">
              <w:rPr>
                <w:rFonts w:ascii="Times New Roman" w:hAnsi="Times New Roman" w:cs="Times New Roman"/>
                <w:sz w:val="18"/>
                <w:szCs w:val="18"/>
              </w:rPr>
              <w:t>-</w:t>
            </w:r>
            <w:r w:rsidR="00D43EF7" w:rsidRPr="009C5581">
              <w:rPr>
                <w:rFonts w:ascii="Times New Roman" w:hAnsi="Times New Roman" w:cs="Times New Roman"/>
                <w:sz w:val="18"/>
                <w:szCs w:val="18"/>
              </w:rPr>
              <w:t>C</w:t>
            </w:r>
            <w:r w:rsidRPr="009C5581">
              <w:rPr>
                <w:rFonts w:ascii="Times New Roman" w:hAnsi="Times New Roman" w:cs="Times New Roman"/>
                <w:sz w:val="18"/>
                <w:szCs w:val="18"/>
              </w:rPr>
              <w:t>hildhood Development Education</w:t>
            </w:r>
          </w:p>
        </w:tc>
        <w:tc>
          <w:tcPr>
            <w:tcW w:w="636" w:type="pct"/>
          </w:tcPr>
          <w:p w14:paraId="68261C9D" w14:textId="6C502351" w:rsidR="009B506B" w:rsidRPr="009C5581" w:rsidRDefault="009B506B" w:rsidP="009B506B">
            <w:pPr>
              <w:jc w:val="center"/>
              <w:rPr>
                <w:rFonts w:ascii="Times New Roman" w:hAnsi="Times New Roman" w:cs="Times New Roman"/>
                <w:sz w:val="18"/>
                <w:szCs w:val="18"/>
              </w:rPr>
            </w:pPr>
            <w:r w:rsidRPr="009C5581">
              <w:rPr>
                <w:rFonts w:ascii="Times New Roman" w:hAnsi="Times New Roman" w:cs="Times New Roman"/>
                <w:sz w:val="18"/>
                <w:szCs w:val="18"/>
              </w:rPr>
              <w:t>0.97</w:t>
            </w:r>
          </w:p>
        </w:tc>
        <w:tc>
          <w:tcPr>
            <w:tcW w:w="637" w:type="pct"/>
          </w:tcPr>
          <w:p w14:paraId="192495CB" w14:textId="54AAD638" w:rsidR="009B506B" w:rsidRPr="009C5581" w:rsidRDefault="00537BA0" w:rsidP="009B506B">
            <w:pPr>
              <w:jc w:val="center"/>
              <w:rPr>
                <w:rFonts w:ascii="Times New Roman" w:hAnsi="Times New Roman" w:cs="Times New Roman"/>
                <w:sz w:val="18"/>
                <w:szCs w:val="18"/>
              </w:rPr>
            </w:pPr>
            <w:r w:rsidRPr="009C5581">
              <w:rPr>
                <w:rFonts w:ascii="Times New Roman" w:hAnsi="Times New Roman" w:cs="Times New Roman"/>
                <w:sz w:val="18"/>
                <w:szCs w:val="18"/>
              </w:rPr>
              <w:t>0.</w:t>
            </w:r>
            <w:r w:rsidR="009B506B" w:rsidRPr="009C5581">
              <w:rPr>
                <w:rFonts w:ascii="Times New Roman" w:hAnsi="Times New Roman" w:cs="Times New Roman"/>
                <w:sz w:val="18"/>
                <w:szCs w:val="18"/>
              </w:rPr>
              <w:t>96</w:t>
            </w:r>
          </w:p>
        </w:tc>
        <w:tc>
          <w:tcPr>
            <w:tcW w:w="636" w:type="pct"/>
          </w:tcPr>
          <w:p w14:paraId="2B934FA9" w14:textId="0E04A999" w:rsidR="009B506B" w:rsidRPr="009C5581" w:rsidRDefault="00537BA0" w:rsidP="009B506B">
            <w:pPr>
              <w:jc w:val="center"/>
              <w:rPr>
                <w:rFonts w:ascii="Times New Roman" w:hAnsi="Times New Roman" w:cs="Times New Roman"/>
                <w:sz w:val="18"/>
                <w:szCs w:val="18"/>
              </w:rPr>
            </w:pPr>
            <w:r w:rsidRPr="009C5581">
              <w:rPr>
                <w:rFonts w:ascii="Times New Roman" w:hAnsi="Times New Roman" w:cs="Times New Roman"/>
                <w:sz w:val="18"/>
                <w:szCs w:val="18"/>
              </w:rPr>
              <w:t>0.95</w:t>
            </w:r>
          </w:p>
        </w:tc>
        <w:tc>
          <w:tcPr>
            <w:tcW w:w="637" w:type="pct"/>
          </w:tcPr>
          <w:p w14:paraId="4D63C1BD" w14:textId="4E4EDD8C" w:rsidR="009B506B" w:rsidRPr="009C5581" w:rsidRDefault="00537BA0" w:rsidP="009B506B">
            <w:pPr>
              <w:jc w:val="center"/>
              <w:rPr>
                <w:rFonts w:ascii="Times New Roman" w:hAnsi="Times New Roman" w:cs="Times New Roman"/>
                <w:sz w:val="18"/>
                <w:szCs w:val="18"/>
              </w:rPr>
            </w:pPr>
            <w:r w:rsidRPr="009C5581">
              <w:rPr>
                <w:rFonts w:ascii="Times New Roman" w:hAnsi="Times New Roman" w:cs="Times New Roman"/>
                <w:sz w:val="18"/>
                <w:szCs w:val="18"/>
              </w:rPr>
              <w:t>0.96</w:t>
            </w:r>
          </w:p>
        </w:tc>
        <w:tc>
          <w:tcPr>
            <w:tcW w:w="637" w:type="pct"/>
          </w:tcPr>
          <w:p w14:paraId="070C441C" w14:textId="7FE19C47" w:rsidR="009B506B" w:rsidRPr="009C5581" w:rsidRDefault="00537BA0" w:rsidP="009B506B">
            <w:pPr>
              <w:jc w:val="center"/>
              <w:rPr>
                <w:rFonts w:ascii="Times New Roman" w:hAnsi="Times New Roman" w:cs="Times New Roman"/>
                <w:sz w:val="18"/>
                <w:szCs w:val="18"/>
              </w:rPr>
            </w:pPr>
            <w:r w:rsidRPr="009C5581">
              <w:rPr>
                <w:rFonts w:ascii="Times New Roman" w:hAnsi="Times New Roman" w:cs="Times New Roman"/>
                <w:sz w:val="18"/>
                <w:szCs w:val="18"/>
              </w:rPr>
              <w:t>0.96</w:t>
            </w:r>
          </w:p>
        </w:tc>
      </w:tr>
      <w:tr w:rsidR="00E13740" w:rsidRPr="009C5581" w14:paraId="5D62B633" w14:textId="77777777" w:rsidTr="00EF4F0A">
        <w:tc>
          <w:tcPr>
            <w:tcW w:w="1817" w:type="pct"/>
            <w:vAlign w:val="center"/>
          </w:tcPr>
          <w:p w14:paraId="147C04FC" w14:textId="6D9B30FF" w:rsidR="003B51FB" w:rsidRPr="009C5581" w:rsidRDefault="003B51FB" w:rsidP="00A82686">
            <w:pPr>
              <w:rPr>
                <w:rFonts w:ascii="Times New Roman" w:hAnsi="Times New Roman" w:cs="Times New Roman"/>
                <w:sz w:val="18"/>
                <w:szCs w:val="18"/>
              </w:rPr>
            </w:pPr>
            <w:r w:rsidRPr="009C5581">
              <w:rPr>
                <w:rFonts w:ascii="Times New Roman" w:hAnsi="Times New Roman" w:cs="Times New Roman"/>
                <w:sz w:val="18"/>
                <w:szCs w:val="18"/>
              </w:rPr>
              <w:t>Primary education</w:t>
            </w:r>
          </w:p>
        </w:tc>
        <w:tc>
          <w:tcPr>
            <w:tcW w:w="636" w:type="pct"/>
            <w:vAlign w:val="center"/>
          </w:tcPr>
          <w:p w14:paraId="74D7F9A1" w14:textId="7B54A26C" w:rsidR="006F395B" w:rsidRPr="009C5581" w:rsidRDefault="006F395B" w:rsidP="006F395B">
            <w:pPr>
              <w:jc w:val="center"/>
              <w:rPr>
                <w:rFonts w:ascii="Times New Roman" w:hAnsi="Times New Roman" w:cs="Times New Roman"/>
                <w:sz w:val="18"/>
                <w:szCs w:val="18"/>
              </w:rPr>
            </w:pPr>
            <w:r w:rsidRPr="009C5581">
              <w:rPr>
                <w:rFonts w:ascii="Times New Roman" w:hAnsi="Times New Roman" w:cs="Times New Roman"/>
                <w:sz w:val="18"/>
                <w:szCs w:val="18"/>
              </w:rPr>
              <w:t>0.97</w:t>
            </w:r>
          </w:p>
        </w:tc>
        <w:tc>
          <w:tcPr>
            <w:tcW w:w="637" w:type="pct"/>
          </w:tcPr>
          <w:p w14:paraId="1C909DA3" w14:textId="5C5F81E0" w:rsidR="003B51FB" w:rsidRPr="009C5581" w:rsidRDefault="006F395B" w:rsidP="00A82686">
            <w:pPr>
              <w:jc w:val="center"/>
              <w:rPr>
                <w:rFonts w:ascii="Times New Roman" w:hAnsi="Times New Roman" w:cs="Times New Roman"/>
                <w:sz w:val="18"/>
                <w:szCs w:val="18"/>
              </w:rPr>
            </w:pPr>
            <w:r w:rsidRPr="009C5581">
              <w:rPr>
                <w:rFonts w:ascii="Times New Roman" w:hAnsi="Times New Roman" w:cs="Times New Roman"/>
                <w:sz w:val="18"/>
                <w:szCs w:val="18"/>
              </w:rPr>
              <w:t>0.97</w:t>
            </w:r>
          </w:p>
        </w:tc>
        <w:tc>
          <w:tcPr>
            <w:tcW w:w="636" w:type="pct"/>
          </w:tcPr>
          <w:p w14:paraId="72FC2B56" w14:textId="28A3E711" w:rsidR="003B51FB" w:rsidRPr="009C5581" w:rsidRDefault="006F395B" w:rsidP="00A82686">
            <w:pPr>
              <w:jc w:val="center"/>
              <w:rPr>
                <w:rFonts w:ascii="Times New Roman" w:hAnsi="Times New Roman" w:cs="Times New Roman"/>
                <w:sz w:val="18"/>
                <w:szCs w:val="18"/>
              </w:rPr>
            </w:pPr>
            <w:r w:rsidRPr="009C5581">
              <w:rPr>
                <w:rFonts w:ascii="Times New Roman" w:hAnsi="Times New Roman" w:cs="Times New Roman"/>
                <w:sz w:val="18"/>
                <w:szCs w:val="18"/>
              </w:rPr>
              <w:t>0.97</w:t>
            </w:r>
          </w:p>
        </w:tc>
        <w:tc>
          <w:tcPr>
            <w:tcW w:w="637" w:type="pct"/>
            <w:vAlign w:val="center"/>
          </w:tcPr>
          <w:p w14:paraId="4F177A20" w14:textId="06AB56F0" w:rsidR="003B51FB" w:rsidRPr="009C5581" w:rsidRDefault="006F395B" w:rsidP="00A82686">
            <w:pPr>
              <w:jc w:val="center"/>
              <w:rPr>
                <w:rFonts w:ascii="Times New Roman" w:hAnsi="Times New Roman" w:cs="Times New Roman"/>
                <w:sz w:val="18"/>
                <w:szCs w:val="18"/>
              </w:rPr>
            </w:pPr>
            <w:r w:rsidRPr="009C5581">
              <w:rPr>
                <w:rFonts w:ascii="Times New Roman" w:hAnsi="Times New Roman" w:cs="Times New Roman"/>
                <w:sz w:val="18"/>
                <w:szCs w:val="18"/>
              </w:rPr>
              <w:t>0.97</w:t>
            </w:r>
          </w:p>
        </w:tc>
        <w:tc>
          <w:tcPr>
            <w:tcW w:w="637" w:type="pct"/>
            <w:vAlign w:val="center"/>
          </w:tcPr>
          <w:p w14:paraId="52B50F71" w14:textId="68E82AD0" w:rsidR="003B51FB" w:rsidRPr="009C5581" w:rsidRDefault="006F395B" w:rsidP="00A82686">
            <w:pPr>
              <w:jc w:val="center"/>
              <w:rPr>
                <w:rFonts w:ascii="Times New Roman" w:hAnsi="Times New Roman" w:cs="Times New Roman"/>
                <w:sz w:val="18"/>
                <w:szCs w:val="18"/>
              </w:rPr>
            </w:pPr>
            <w:r w:rsidRPr="009C5581">
              <w:rPr>
                <w:rFonts w:ascii="Times New Roman" w:hAnsi="Times New Roman" w:cs="Times New Roman"/>
                <w:sz w:val="18"/>
                <w:szCs w:val="18"/>
              </w:rPr>
              <w:t>0.97</w:t>
            </w:r>
          </w:p>
        </w:tc>
      </w:tr>
      <w:tr w:rsidR="00E13740" w:rsidRPr="009C5581" w14:paraId="65A43C07" w14:textId="77777777" w:rsidTr="00EF4F0A">
        <w:tc>
          <w:tcPr>
            <w:tcW w:w="1817" w:type="pct"/>
            <w:vAlign w:val="center"/>
          </w:tcPr>
          <w:p w14:paraId="436FFA3F" w14:textId="7B388A59" w:rsidR="009E5966" w:rsidRPr="009C5581" w:rsidRDefault="003B51FB" w:rsidP="00A82686">
            <w:pPr>
              <w:rPr>
                <w:rFonts w:ascii="Times New Roman" w:hAnsi="Times New Roman" w:cs="Times New Roman"/>
                <w:sz w:val="18"/>
                <w:szCs w:val="18"/>
              </w:rPr>
            </w:pPr>
            <w:r w:rsidRPr="009C5581">
              <w:rPr>
                <w:rFonts w:ascii="Times New Roman" w:hAnsi="Times New Roman" w:cs="Times New Roman"/>
                <w:sz w:val="18"/>
                <w:szCs w:val="18"/>
              </w:rPr>
              <w:t>Secondary education</w:t>
            </w:r>
          </w:p>
        </w:tc>
        <w:tc>
          <w:tcPr>
            <w:tcW w:w="636" w:type="pct"/>
            <w:vAlign w:val="center"/>
          </w:tcPr>
          <w:p w14:paraId="39E01C94" w14:textId="0A95C4FA" w:rsidR="009E5966" w:rsidRPr="009C5581" w:rsidRDefault="006F395B" w:rsidP="00A82686">
            <w:pPr>
              <w:jc w:val="center"/>
              <w:rPr>
                <w:rFonts w:ascii="Times New Roman" w:hAnsi="Times New Roman" w:cs="Times New Roman"/>
                <w:sz w:val="18"/>
                <w:szCs w:val="18"/>
              </w:rPr>
            </w:pPr>
            <w:r w:rsidRPr="009C5581">
              <w:rPr>
                <w:rFonts w:ascii="Times New Roman" w:hAnsi="Times New Roman" w:cs="Times New Roman"/>
                <w:sz w:val="18"/>
                <w:szCs w:val="18"/>
              </w:rPr>
              <w:t>0.90</w:t>
            </w:r>
          </w:p>
        </w:tc>
        <w:tc>
          <w:tcPr>
            <w:tcW w:w="637" w:type="pct"/>
          </w:tcPr>
          <w:p w14:paraId="65B51D80" w14:textId="4072B288" w:rsidR="009E5966" w:rsidRPr="009C5581" w:rsidRDefault="006F395B" w:rsidP="00A82686">
            <w:pPr>
              <w:jc w:val="center"/>
              <w:rPr>
                <w:rFonts w:ascii="Times New Roman" w:hAnsi="Times New Roman" w:cs="Times New Roman"/>
                <w:sz w:val="18"/>
                <w:szCs w:val="18"/>
              </w:rPr>
            </w:pPr>
            <w:r w:rsidRPr="009C5581">
              <w:rPr>
                <w:rFonts w:ascii="Times New Roman" w:hAnsi="Times New Roman" w:cs="Times New Roman"/>
                <w:sz w:val="18"/>
                <w:szCs w:val="18"/>
              </w:rPr>
              <w:t>0.95</w:t>
            </w:r>
          </w:p>
        </w:tc>
        <w:tc>
          <w:tcPr>
            <w:tcW w:w="636" w:type="pct"/>
          </w:tcPr>
          <w:p w14:paraId="70399921" w14:textId="21BF3CE9" w:rsidR="009E5966" w:rsidRPr="009C5581" w:rsidRDefault="006F395B" w:rsidP="00A82686">
            <w:pPr>
              <w:jc w:val="center"/>
              <w:rPr>
                <w:rFonts w:ascii="Times New Roman" w:hAnsi="Times New Roman" w:cs="Times New Roman"/>
                <w:sz w:val="18"/>
                <w:szCs w:val="18"/>
              </w:rPr>
            </w:pPr>
            <w:r w:rsidRPr="009C5581">
              <w:rPr>
                <w:rFonts w:ascii="Times New Roman" w:hAnsi="Times New Roman" w:cs="Times New Roman"/>
                <w:sz w:val="18"/>
                <w:szCs w:val="18"/>
              </w:rPr>
              <w:t>0.95</w:t>
            </w:r>
          </w:p>
        </w:tc>
        <w:tc>
          <w:tcPr>
            <w:tcW w:w="637" w:type="pct"/>
            <w:vAlign w:val="center"/>
          </w:tcPr>
          <w:p w14:paraId="6CB47AD3" w14:textId="2394E427" w:rsidR="009E5966" w:rsidRPr="009C5581" w:rsidRDefault="006F395B" w:rsidP="00A82686">
            <w:pPr>
              <w:jc w:val="center"/>
              <w:rPr>
                <w:rFonts w:ascii="Times New Roman" w:hAnsi="Times New Roman" w:cs="Times New Roman"/>
                <w:sz w:val="18"/>
                <w:szCs w:val="18"/>
              </w:rPr>
            </w:pPr>
            <w:r w:rsidRPr="009C5581">
              <w:rPr>
                <w:rFonts w:ascii="Times New Roman" w:hAnsi="Times New Roman" w:cs="Times New Roman"/>
                <w:sz w:val="18"/>
                <w:szCs w:val="18"/>
              </w:rPr>
              <w:t>0.95</w:t>
            </w:r>
          </w:p>
        </w:tc>
        <w:tc>
          <w:tcPr>
            <w:tcW w:w="637" w:type="pct"/>
            <w:vAlign w:val="center"/>
          </w:tcPr>
          <w:p w14:paraId="62D8E9F6" w14:textId="7C5AD78E" w:rsidR="009E5966" w:rsidRPr="009C5581" w:rsidRDefault="006F395B" w:rsidP="00A82686">
            <w:pPr>
              <w:jc w:val="center"/>
              <w:rPr>
                <w:rFonts w:ascii="Times New Roman" w:hAnsi="Times New Roman" w:cs="Times New Roman"/>
                <w:sz w:val="18"/>
                <w:szCs w:val="18"/>
              </w:rPr>
            </w:pPr>
            <w:r w:rsidRPr="009C5581">
              <w:rPr>
                <w:rFonts w:ascii="Times New Roman" w:hAnsi="Times New Roman" w:cs="Times New Roman"/>
                <w:sz w:val="18"/>
                <w:szCs w:val="18"/>
              </w:rPr>
              <w:t>1.00</w:t>
            </w:r>
          </w:p>
        </w:tc>
      </w:tr>
      <w:tr w:rsidR="00E13740" w:rsidRPr="009C5581" w14:paraId="7E9DFB07" w14:textId="77777777" w:rsidTr="00EF4F0A">
        <w:tc>
          <w:tcPr>
            <w:tcW w:w="1817" w:type="pct"/>
            <w:vAlign w:val="center"/>
          </w:tcPr>
          <w:p w14:paraId="202E4E2E" w14:textId="1F5540C9" w:rsidR="009E5966" w:rsidRPr="009C5581" w:rsidRDefault="003B51FB" w:rsidP="00A82686">
            <w:pPr>
              <w:rPr>
                <w:rFonts w:ascii="Times New Roman" w:hAnsi="Times New Roman" w:cs="Times New Roman"/>
                <w:sz w:val="18"/>
                <w:szCs w:val="18"/>
              </w:rPr>
            </w:pPr>
            <w:r w:rsidRPr="009C5581">
              <w:rPr>
                <w:rFonts w:ascii="Times New Roman" w:hAnsi="Times New Roman" w:cs="Times New Roman"/>
                <w:sz w:val="18"/>
                <w:szCs w:val="18"/>
              </w:rPr>
              <w:t>TVET</w:t>
            </w:r>
          </w:p>
        </w:tc>
        <w:tc>
          <w:tcPr>
            <w:tcW w:w="636" w:type="pct"/>
            <w:vAlign w:val="center"/>
          </w:tcPr>
          <w:p w14:paraId="2B79ED5D" w14:textId="30B54A48" w:rsidR="009E5966" w:rsidRPr="009C5581" w:rsidRDefault="00334C10" w:rsidP="00A82686">
            <w:pPr>
              <w:jc w:val="center"/>
              <w:rPr>
                <w:rFonts w:ascii="Times New Roman" w:hAnsi="Times New Roman" w:cs="Times New Roman"/>
                <w:sz w:val="18"/>
                <w:szCs w:val="18"/>
              </w:rPr>
            </w:pPr>
            <w:r w:rsidRPr="009C5581">
              <w:rPr>
                <w:rFonts w:ascii="Times New Roman" w:hAnsi="Times New Roman" w:cs="Times New Roman"/>
                <w:sz w:val="18"/>
                <w:szCs w:val="18"/>
              </w:rPr>
              <w:t>0.66</w:t>
            </w:r>
          </w:p>
        </w:tc>
        <w:tc>
          <w:tcPr>
            <w:tcW w:w="637" w:type="pct"/>
          </w:tcPr>
          <w:p w14:paraId="7FBBF8B2" w14:textId="041B4A2B" w:rsidR="009E5966" w:rsidRPr="009C5581" w:rsidRDefault="00334C10" w:rsidP="00A82686">
            <w:pPr>
              <w:jc w:val="center"/>
              <w:rPr>
                <w:rFonts w:ascii="Times New Roman" w:hAnsi="Times New Roman" w:cs="Times New Roman"/>
                <w:sz w:val="18"/>
                <w:szCs w:val="18"/>
              </w:rPr>
            </w:pPr>
            <w:r w:rsidRPr="009C5581">
              <w:rPr>
                <w:rFonts w:ascii="Times New Roman" w:hAnsi="Times New Roman" w:cs="Times New Roman"/>
                <w:sz w:val="18"/>
                <w:szCs w:val="18"/>
              </w:rPr>
              <w:t>0.78</w:t>
            </w:r>
          </w:p>
        </w:tc>
        <w:tc>
          <w:tcPr>
            <w:tcW w:w="636" w:type="pct"/>
          </w:tcPr>
          <w:p w14:paraId="5A4B36BF" w14:textId="553C70DA" w:rsidR="009E5966" w:rsidRPr="009C5581" w:rsidRDefault="00334C10" w:rsidP="00A82686">
            <w:pPr>
              <w:jc w:val="center"/>
              <w:rPr>
                <w:rFonts w:ascii="Times New Roman" w:hAnsi="Times New Roman" w:cs="Times New Roman"/>
                <w:sz w:val="18"/>
                <w:szCs w:val="18"/>
              </w:rPr>
            </w:pPr>
            <w:r w:rsidRPr="009C5581">
              <w:rPr>
                <w:rFonts w:ascii="Times New Roman" w:hAnsi="Times New Roman" w:cs="Times New Roman"/>
                <w:sz w:val="18"/>
                <w:szCs w:val="18"/>
              </w:rPr>
              <w:t>0.78</w:t>
            </w:r>
          </w:p>
        </w:tc>
        <w:tc>
          <w:tcPr>
            <w:tcW w:w="637" w:type="pct"/>
            <w:vAlign w:val="center"/>
          </w:tcPr>
          <w:p w14:paraId="7F93DA87" w14:textId="7D295DE4" w:rsidR="009E5966" w:rsidRPr="009C5581" w:rsidRDefault="00334C10" w:rsidP="00A82686">
            <w:pPr>
              <w:jc w:val="center"/>
              <w:rPr>
                <w:rFonts w:ascii="Times New Roman" w:hAnsi="Times New Roman" w:cs="Times New Roman"/>
                <w:sz w:val="18"/>
                <w:szCs w:val="18"/>
              </w:rPr>
            </w:pPr>
            <w:r w:rsidRPr="009C5581">
              <w:rPr>
                <w:rFonts w:ascii="Times New Roman" w:hAnsi="Times New Roman" w:cs="Times New Roman"/>
                <w:sz w:val="18"/>
                <w:szCs w:val="18"/>
              </w:rPr>
              <w:t>0.77</w:t>
            </w:r>
          </w:p>
        </w:tc>
        <w:tc>
          <w:tcPr>
            <w:tcW w:w="637" w:type="pct"/>
            <w:vAlign w:val="center"/>
          </w:tcPr>
          <w:p w14:paraId="663373C3" w14:textId="2228AED2" w:rsidR="009E5966" w:rsidRPr="009C5581" w:rsidRDefault="00334C10" w:rsidP="00A82686">
            <w:pPr>
              <w:jc w:val="center"/>
              <w:rPr>
                <w:rFonts w:ascii="Times New Roman" w:hAnsi="Times New Roman" w:cs="Times New Roman"/>
                <w:sz w:val="18"/>
                <w:szCs w:val="18"/>
              </w:rPr>
            </w:pPr>
            <w:r w:rsidRPr="009C5581">
              <w:rPr>
                <w:rFonts w:ascii="Times New Roman" w:hAnsi="Times New Roman" w:cs="Times New Roman"/>
                <w:sz w:val="18"/>
                <w:szCs w:val="18"/>
              </w:rPr>
              <w:t>0.75</w:t>
            </w:r>
          </w:p>
        </w:tc>
      </w:tr>
      <w:tr w:rsidR="00E13740" w:rsidRPr="009C5581" w14:paraId="66235974" w14:textId="77777777" w:rsidTr="00EF4F0A">
        <w:tc>
          <w:tcPr>
            <w:tcW w:w="1817" w:type="pct"/>
            <w:vAlign w:val="center"/>
          </w:tcPr>
          <w:p w14:paraId="42D19291" w14:textId="017D1383" w:rsidR="009E5966" w:rsidRPr="009C5581" w:rsidRDefault="003B51FB" w:rsidP="00A82686">
            <w:pPr>
              <w:rPr>
                <w:rFonts w:ascii="Times New Roman" w:hAnsi="Times New Roman" w:cs="Times New Roman"/>
                <w:sz w:val="18"/>
                <w:szCs w:val="18"/>
              </w:rPr>
            </w:pPr>
            <w:r w:rsidRPr="009C5581">
              <w:rPr>
                <w:rFonts w:ascii="Times New Roman" w:hAnsi="Times New Roman" w:cs="Times New Roman"/>
                <w:sz w:val="18"/>
                <w:szCs w:val="18"/>
              </w:rPr>
              <w:t>University education</w:t>
            </w:r>
          </w:p>
        </w:tc>
        <w:tc>
          <w:tcPr>
            <w:tcW w:w="636" w:type="pct"/>
            <w:vAlign w:val="center"/>
          </w:tcPr>
          <w:p w14:paraId="7CF0AB40" w14:textId="1C8C362A" w:rsidR="009E5966" w:rsidRPr="009C5581" w:rsidRDefault="00685B4E" w:rsidP="00A82686">
            <w:pPr>
              <w:jc w:val="center"/>
              <w:rPr>
                <w:rFonts w:ascii="Times New Roman" w:hAnsi="Times New Roman" w:cs="Times New Roman"/>
                <w:sz w:val="18"/>
                <w:szCs w:val="18"/>
              </w:rPr>
            </w:pPr>
            <w:r w:rsidRPr="009C5581">
              <w:rPr>
                <w:rFonts w:ascii="Times New Roman" w:hAnsi="Times New Roman" w:cs="Times New Roman"/>
                <w:sz w:val="18"/>
                <w:szCs w:val="18"/>
              </w:rPr>
              <w:t>0.72</w:t>
            </w:r>
          </w:p>
        </w:tc>
        <w:tc>
          <w:tcPr>
            <w:tcW w:w="637" w:type="pct"/>
          </w:tcPr>
          <w:p w14:paraId="51A08C88" w14:textId="4002384A" w:rsidR="009E5966" w:rsidRPr="009C5581" w:rsidRDefault="00685B4E" w:rsidP="00A82686">
            <w:pPr>
              <w:jc w:val="center"/>
              <w:rPr>
                <w:rFonts w:ascii="Times New Roman" w:hAnsi="Times New Roman" w:cs="Times New Roman"/>
                <w:sz w:val="18"/>
                <w:szCs w:val="18"/>
              </w:rPr>
            </w:pPr>
            <w:r w:rsidRPr="009C5581">
              <w:rPr>
                <w:rFonts w:ascii="Times New Roman" w:hAnsi="Times New Roman" w:cs="Times New Roman"/>
                <w:sz w:val="18"/>
                <w:szCs w:val="18"/>
              </w:rPr>
              <w:t>0.71</w:t>
            </w:r>
          </w:p>
        </w:tc>
        <w:tc>
          <w:tcPr>
            <w:tcW w:w="636" w:type="pct"/>
          </w:tcPr>
          <w:p w14:paraId="2ED2408C" w14:textId="2963FF96" w:rsidR="009E5966" w:rsidRPr="009C5581" w:rsidRDefault="00685B4E" w:rsidP="00A82686">
            <w:pPr>
              <w:jc w:val="center"/>
              <w:rPr>
                <w:rFonts w:ascii="Times New Roman" w:hAnsi="Times New Roman" w:cs="Times New Roman"/>
                <w:sz w:val="18"/>
                <w:szCs w:val="18"/>
              </w:rPr>
            </w:pPr>
            <w:r w:rsidRPr="009C5581">
              <w:rPr>
                <w:rFonts w:ascii="Times New Roman" w:hAnsi="Times New Roman" w:cs="Times New Roman"/>
                <w:sz w:val="18"/>
                <w:szCs w:val="18"/>
              </w:rPr>
              <w:t>0.70</w:t>
            </w:r>
          </w:p>
        </w:tc>
        <w:tc>
          <w:tcPr>
            <w:tcW w:w="637" w:type="pct"/>
            <w:vAlign w:val="center"/>
          </w:tcPr>
          <w:p w14:paraId="37E6A9A4" w14:textId="07D9AC91" w:rsidR="009E5966" w:rsidRPr="009C5581" w:rsidRDefault="00685B4E" w:rsidP="00A82686">
            <w:pPr>
              <w:jc w:val="center"/>
              <w:rPr>
                <w:rFonts w:ascii="Times New Roman" w:hAnsi="Times New Roman" w:cs="Times New Roman"/>
                <w:sz w:val="18"/>
                <w:szCs w:val="18"/>
              </w:rPr>
            </w:pPr>
            <w:r w:rsidRPr="009C5581">
              <w:rPr>
                <w:rFonts w:ascii="Times New Roman" w:hAnsi="Times New Roman" w:cs="Times New Roman"/>
                <w:sz w:val="18"/>
                <w:szCs w:val="18"/>
              </w:rPr>
              <w:t>0.70</w:t>
            </w:r>
          </w:p>
        </w:tc>
        <w:tc>
          <w:tcPr>
            <w:tcW w:w="637" w:type="pct"/>
            <w:vAlign w:val="center"/>
          </w:tcPr>
          <w:p w14:paraId="2706C7EE" w14:textId="0E074CFC" w:rsidR="009E5966" w:rsidRPr="009C5581" w:rsidRDefault="00685B4E" w:rsidP="00A82686">
            <w:pPr>
              <w:jc w:val="center"/>
              <w:rPr>
                <w:rFonts w:ascii="Times New Roman" w:hAnsi="Times New Roman" w:cs="Times New Roman"/>
                <w:sz w:val="18"/>
                <w:szCs w:val="18"/>
              </w:rPr>
            </w:pPr>
            <w:r w:rsidRPr="009C5581">
              <w:rPr>
                <w:rFonts w:ascii="Times New Roman" w:hAnsi="Times New Roman" w:cs="Times New Roman"/>
                <w:sz w:val="18"/>
                <w:szCs w:val="18"/>
              </w:rPr>
              <w:t>0.68</w:t>
            </w:r>
          </w:p>
        </w:tc>
      </w:tr>
    </w:tbl>
    <w:p w14:paraId="49DBD931" w14:textId="32DD80D0" w:rsidR="0050434C" w:rsidRPr="009C5581" w:rsidRDefault="0050434C" w:rsidP="00EF4F0A">
      <w:pPr>
        <w:spacing w:after="0" w:line="240" w:lineRule="auto"/>
        <w:jc w:val="both"/>
        <w:rPr>
          <w:rFonts w:ascii="Times New Roman" w:hAnsi="Times New Roman" w:cs="Times New Roman"/>
          <w:sz w:val="16"/>
          <w:szCs w:val="16"/>
        </w:rPr>
      </w:pPr>
      <w:r w:rsidRPr="009C5581">
        <w:rPr>
          <w:rFonts w:ascii="Times New Roman" w:hAnsi="Times New Roman" w:cs="Times New Roman"/>
          <w:sz w:val="16"/>
          <w:szCs w:val="16"/>
        </w:rPr>
        <w:t xml:space="preserve">Source: </w:t>
      </w:r>
      <w:r w:rsidR="00B469E7" w:rsidRPr="009C5581">
        <w:rPr>
          <w:rFonts w:ascii="Times New Roman" w:hAnsi="Times New Roman" w:cs="Times New Roman"/>
          <w:sz w:val="16"/>
          <w:szCs w:val="16"/>
        </w:rPr>
        <w:t>The National Treasury and Planning</w:t>
      </w:r>
      <w:r w:rsidR="00940717" w:rsidRPr="009C5581">
        <w:rPr>
          <w:rFonts w:ascii="Times New Roman" w:hAnsi="Times New Roman" w:cs="Times New Roman"/>
          <w:sz w:val="16"/>
          <w:szCs w:val="16"/>
        </w:rPr>
        <w:t xml:space="preserve"> (2020</w:t>
      </w:r>
      <w:r w:rsidRPr="009C5581">
        <w:rPr>
          <w:rFonts w:ascii="Times New Roman" w:hAnsi="Times New Roman" w:cs="Times New Roman"/>
          <w:sz w:val="16"/>
          <w:szCs w:val="16"/>
        </w:rPr>
        <w:t xml:space="preserve">: </w:t>
      </w:r>
      <w:r w:rsidR="00252E1E" w:rsidRPr="009C5581">
        <w:rPr>
          <w:rFonts w:ascii="Times New Roman" w:hAnsi="Times New Roman" w:cs="Times New Roman"/>
          <w:sz w:val="16"/>
          <w:szCs w:val="16"/>
        </w:rPr>
        <w:t>Table 4.1</w:t>
      </w:r>
      <w:r w:rsidRPr="009C5581">
        <w:rPr>
          <w:rFonts w:ascii="Times New Roman" w:hAnsi="Times New Roman" w:cs="Times New Roman"/>
          <w:sz w:val="16"/>
          <w:szCs w:val="16"/>
        </w:rPr>
        <w:t>)</w:t>
      </w:r>
      <w:r w:rsidR="008B63BD" w:rsidRPr="009C5581">
        <w:rPr>
          <w:rFonts w:ascii="Times New Roman" w:hAnsi="Times New Roman" w:cs="Times New Roman"/>
          <w:sz w:val="16"/>
          <w:szCs w:val="16"/>
        </w:rPr>
        <w:t>.</w:t>
      </w:r>
    </w:p>
    <w:p w14:paraId="32370AC9" w14:textId="349699A3" w:rsidR="00AC2091" w:rsidRPr="009C5581" w:rsidRDefault="00AC2091" w:rsidP="0050434C">
      <w:pPr>
        <w:jc w:val="both"/>
        <w:rPr>
          <w:rFonts w:ascii="Times New Roman" w:hAnsi="Times New Roman" w:cs="Times New Roman"/>
          <w:sz w:val="16"/>
          <w:szCs w:val="16"/>
        </w:rPr>
      </w:pPr>
      <w:r w:rsidRPr="009C5581">
        <w:rPr>
          <w:rFonts w:ascii="Times New Roman" w:hAnsi="Times New Roman" w:cs="Times New Roman"/>
          <w:sz w:val="16"/>
          <w:szCs w:val="16"/>
        </w:rPr>
        <w:t xml:space="preserve">Note: </w:t>
      </w:r>
      <w:r w:rsidR="00AC0E04" w:rsidRPr="009C5581">
        <w:rPr>
          <w:rFonts w:ascii="Times New Roman" w:hAnsi="Times New Roman" w:cs="Times New Roman"/>
          <w:sz w:val="16"/>
          <w:szCs w:val="16"/>
        </w:rPr>
        <w:t>The g</w:t>
      </w:r>
      <w:r w:rsidRPr="009C5581">
        <w:rPr>
          <w:rFonts w:ascii="Times New Roman" w:hAnsi="Times New Roman" w:cs="Times New Roman"/>
          <w:sz w:val="16"/>
          <w:szCs w:val="16"/>
        </w:rPr>
        <w:t>e</w:t>
      </w:r>
      <w:r w:rsidR="00AC0E04" w:rsidRPr="009C5581">
        <w:rPr>
          <w:rFonts w:ascii="Times New Roman" w:hAnsi="Times New Roman" w:cs="Times New Roman"/>
          <w:sz w:val="16"/>
          <w:szCs w:val="16"/>
        </w:rPr>
        <w:t>n</w:t>
      </w:r>
      <w:r w:rsidRPr="009C5581">
        <w:rPr>
          <w:rFonts w:ascii="Times New Roman" w:hAnsi="Times New Roman" w:cs="Times New Roman"/>
          <w:sz w:val="16"/>
          <w:szCs w:val="16"/>
        </w:rPr>
        <w:t>der parity</w:t>
      </w:r>
      <w:r w:rsidR="00AC0E04" w:rsidRPr="009C5581">
        <w:rPr>
          <w:rFonts w:ascii="Times New Roman" w:hAnsi="Times New Roman" w:cs="Times New Roman"/>
          <w:sz w:val="16"/>
          <w:szCs w:val="16"/>
        </w:rPr>
        <w:t xml:space="preserve"> in</w:t>
      </w:r>
      <w:r w:rsidR="001540A4" w:rsidRPr="009C5581">
        <w:rPr>
          <w:rFonts w:ascii="Times New Roman" w:hAnsi="Times New Roman" w:cs="Times New Roman"/>
          <w:sz w:val="16"/>
          <w:szCs w:val="16"/>
        </w:rPr>
        <w:t>dices are the ratio</w:t>
      </w:r>
      <w:r w:rsidR="0061631E" w:rsidRPr="009C5581">
        <w:rPr>
          <w:rFonts w:ascii="Times New Roman" w:hAnsi="Times New Roman" w:cs="Times New Roman"/>
          <w:sz w:val="16"/>
          <w:szCs w:val="16"/>
        </w:rPr>
        <w:t>s</w:t>
      </w:r>
      <w:r w:rsidR="001540A4" w:rsidRPr="009C5581">
        <w:rPr>
          <w:rFonts w:ascii="Times New Roman" w:hAnsi="Times New Roman" w:cs="Times New Roman"/>
          <w:sz w:val="16"/>
          <w:szCs w:val="16"/>
        </w:rPr>
        <w:t xml:space="preserve"> of male to female enrolment</w:t>
      </w:r>
      <w:r w:rsidR="0061631E" w:rsidRPr="009C5581">
        <w:rPr>
          <w:rFonts w:ascii="Times New Roman" w:hAnsi="Times New Roman" w:cs="Times New Roman"/>
          <w:sz w:val="16"/>
          <w:szCs w:val="16"/>
        </w:rPr>
        <w:t xml:space="preserve"> in the categories of education.</w:t>
      </w:r>
    </w:p>
    <w:p w14:paraId="1AC26AD8" w14:textId="0E942607" w:rsidR="007C3340" w:rsidRPr="00C94B20" w:rsidRDefault="00F81E19" w:rsidP="007C3340">
      <w:pPr>
        <w:jc w:val="both"/>
        <w:rPr>
          <w:rFonts w:ascii="Georgia" w:hAnsi="Georgia" w:cs="Times New Roman"/>
          <w:sz w:val="24"/>
          <w:szCs w:val="24"/>
        </w:rPr>
      </w:pPr>
      <w:r w:rsidRPr="00C94B20">
        <w:rPr>
          <w:rFonts w:ascii="Georgia" w:hAnsi="Georgia" w:cs="Times New Roman"/>
          <w:sz w:val="24"/>
          <w:szCs w:val="24"/>
        </w:rPr>
        <w:t xml:space="preserve">The KNBS </w:t>
      </w:r>
      <w:r w:rsidR="007C3340" w:rsidRPr="00C94B20">
        <w:rPr>
          <w:rFonts w:ascii="Georgia" w:hAnsi="Georgia" w:cs="Times New Roman"/>
          <w:sz w:val="24"/>
          <w:szCs w:val="24"/>
        </w:rPr>
        <w:t xml:space="preserve">(2020b) </w:t>
      </w:r>
      <w:r w:rsidRPr="00C94B20">
        <w:rPr>
          <w:rFonts w:ascii="Georgia" w:hAnsi="Georgia" w:cs="Times New Roman"/>
          <w:sz w:val="24"/>
          <w:szCs w:val="24"/>
        </w:rPr>
        <w:t xml:space="preserve">study </w:t>
      </w:r>
      <w:r w:rsidR="002B6B7D" w:rsidRPr="00C94B20">
        <w:rPr>
          <w:rFonts w:ascii="Georgia" w:hAnsi="Georgia" w:cs="Times New Roman"/>
          <w:sz w:val="24"/>
          <w:szCs w:val="24"/>
        </w:rPr>
        <w:t xml:space="preserve">on inequality </w:t>
      </w:r>
      <w:r w:rsidRPr="00C94B20">
        <w:rPr>
          <w:rFonts w:ascii="Georgia" w:hAnsi="Georgia" w:cs="Times New Roman"/>
          <w:sz w:val="24"/>
          <w:szCs w:val="24"/>
        </w:rPr>
        <w:t xml:space="preserve">found that </w:t>
      </w:r>
      <w:r w:rsidRPr="00C94B20">
        <w:rPr>
          <w:rFonts w:ascii="Georgia" w:hAnsi="Georgia" w:cs="Times New Roman"/>
          <w:b/>
          <w:bCs/>
          <w:sz w:val="24"/>
          <w:szCs w:val="24"/>
        </w:rPr>
        <w:t>gender differences in access to health services</w:t>
      </w:r>
      <w:r w:rsidRPr="00C94B20">
        <w:rPr>
          <w:rFonts w:ascii="Georgia" w:hAnsi="Georgia" w:cs="Times New Roman"/>
          <w:sz w:val="24"/>
          <w:szCs w:val="24"/>
        </w:rPr>
        <w:t xml:space="preserve"> were not very pronounced</w:t>
      </w:r>
      <w:r w:rsidR="003B32FE" w:rsidRPr="00C94B20">
        <w:rPr>
          <w:rFonts w:ascii="Georgia" w:hAnsi="Georgia" w:cs="Times New Roman"/>
          <w:sz w:val="24"/>
          <w:szCs w:val="24"/>
        </w:rPr>
        <w:t xml:space="preserve"> (</w:t>
      </w:r>
      <w:r w:rsidR="006851DE" w:rsidRPr="00C94B20">
        <w:rPr>
          <w:rFonts w:ascii="Georgia" w:hAnsi="Georgia" w:cs="Times New Roman"/>
          <w:sz w:val="24"/>
          <w:szCs w:val="24"/>
        </w:rPr>
        <w:fldChar w:fldCharType="begin"/>
      </w:r>
      <w:r w:rsidR="006851DE" w:rsidRPr="00C94B20">
        <w:rPr>
          <w:rFonts w:ascii="Georgia" w:hAnsi="Georgia" w:cs="Times New Roman"/>
          <w:sz w:val="24"/>
          <w:szCs w:val="24"/>
        </w:rPr>
        <w:instrText xml:space="preserve"> REF _Ref134454503 \h  \* MERGEFORMAT </w:instrText>
      </w:r>
      <w:r w:rsidR="006851DE" w:rsidRPr="00C94B20">
        <w:rPr>
          <w:rFonts w:ascii="Georgia" w:hAnsi="Georgia" w:cs="Times New Roman"/>
          <w:sz w:val="24"/>
          <w:szCs w:val="24"/>
        </w:rPr>
      </w:r>
      <w:r w:rsidR="006851DE" w:rsidRPr="00C94B20">
        <w:rPr>
          <w:rFonts w:ascii="Georgia" w:hAnsi="Georgia" w:cs="Times New Roman"/>
          <w:sz w:val="24"/>
          <w:szCs w:val="24"/>
        </w:rPr>
        <w:fldChar w:fldCharType="separate"/>
      </w:r>
      <w:r w:rsidR="000F6B8E" w:rsidRPr="00C94B20">
        <w:rPr>
          <w:rFonts w:ascii="Georgia" w:hAnsi="Georgia" w:cs="Times New Roman"/>
          <w:sz w:val="24"/>
          <w:szCs w:val="24"/>
        </w:rPr>
        <w:t xml:space="preserve">Table </w:t>
      </w:r>
      <w:r w:rsidR="000F6B8E" w:rsidRPr="00C94B20">
        <w:rPr>
          <w:rFonts w:ascii="Georgia" w:hAnsi="Georgia" w:cs="Times New Roman"/>
          <w:noProof/>
          <w:sz w:val="24"/>
          <w:szCs w:val="24"/>
        </w:rPr>
        <w:t>8</w:t>
      </w:r>
      <w:r w:rsidR="006851DE" w:rsidRPr="00C94B20">
        <w:rPr>
          <w:rFonts w:ascii="Georgia" w:hAnsi="Georgia" w:cs="Times New Roman"/>
          <w:sz w:val="24"/>
          <w:szCs w:val="24"/>
        </w:rPr>
        <w:fldChar w:fldCharType="end"/>
      </w:r>
      <w:r w:rsidR="006851DE" w:rsidRPr="00C94B20">
        <w:rPr>
          <w:rFonts w:ascii="Georgia" w:hAnsi="Georgia" w:cs="Times New Roman"/>
          <w:sz w:val="24"/>
          <w:szCs w:val="24"/>
        </w:rPr>
        <w:t>)</w:t>
      </w:r>
      <w:r w:rsidRPr="00C94B20">
        <w:rPr>
          <w:rFonts w:ascii="Georgia" w:hAnsi="Georgia" w:cs="Times New Roman"/>
          <w:sz w:val="24"/>
          <w:szCs w:val="24"/>
        </w:rPr>
        <w:t xml:space="preserve">. </w:t>
      </w:r>
      <w:r w:rsidR="00F0020B" w:rsidRPr="00C94B20">
        <w:rPr>
          <w:rFonts w:ascii="Georgia" w:hAnsi="Georgia" w:cs="Times New Roman"/>
          <w:sz w:val="24"/>
          <w:szCs w:val="24"/>
        </w:rPr>
        <w:t>Women were thus slightly overrepresented in the use of</w:t>
      </w:r>
      <w:r w:rsidR="00A5408D" w:rsidRPr="00C94B20">
        <w:rPr>
          <w:rFonts w:ascii="Georgia" w:hAnsi="Georgia" w:cs="Times New Roman"/>
          <w:sz w:val="24"/>
          <w:szCs w:val="24"/>
        </w:rPr>
        <w:t xml:space="preserve"> healthcare services, but may have made less use than </w:t>
      </w:r>
      <w:r w:rsidR="00EB3D9A" w:rsidRPr="00C94B20">
        <w:rPr>
          <w:rFonts w:ascii="Georgia" w:hAnsi="Georgia" w:cs="Times New Roman"/>
          <w:sz w:val="24"/>
          <w:szCs w:val="24"/>
        </w:rPr>
        <w:t>they actually needed.</w:t>
      </w:r>
      <w:r w:rsidR="00A5408D" w:rsidRPr="00C94B20">
        <w:rPr>
          <w:rFonts w:ascii="Georgia" w:hAnsi="Georgia" w:cs="Times New Roman"/>
          <w:sz w:val="24"/>
          <w:szCs w:val="24"/>
        </w:rPr>
        <w:t xml:space="preserve"> </w:t>
      </w:r>
    </w:p>
    <w:p w14:paraId="2F89B37E" w14:textId="6B068755" w:rsidR="007C3340" w:rsidRPr="009C5581" w:rsidRDefault="007C3340" w:rsidP="007C3340">
      <w:pPr>
        <w:spacing w:after="0" w:line="240" w:lineRule="auto"/>
        <w:rPr>
          <w:rFonts w:ascii="Times New Roman" w:hAnsi="Times New Roman" w:cs="Times New Roman"/>
          <w:sz w:val="20"/>
          <w:szCs w:val="20"/>
        </w:rPr>
      </w:pPr>
      <w:bookmarkStart w:id="73" w:name="_Ref134454503"/>
      <w:bookmarkStart w:id="74" w:name="_Toc137745027"/>
      <w:r w:rsidRPr="009C5581">
        <w:rPr>
          <w:rFonts w:ascii="Times New Roman" w:hAnsi="Times New Roman" w:cs="Times New Roman"/>
          <w:b/>
          <w:bCs/>
          <w:sz w:val="20"/>
          <w:szCs w:val="20"/>
        </w:rPr>
        <w:t xml:space="preserve">Table </w:t>
      </w:r>
      <w:r w:rsidRPr="009C5581">
        <w:rPr>
          <w:rFonts w:ascii="Times New Roman" w:hAnsi="Times New Roman" w:cs="Times New Roman"/>
          <w:b/>
          <w:bCs/>
          <w:sz w:val="20"/>
          <w:szCs w:val="20"/>
        </w:rPr>
        <w:fldChar w:fldCharType="begin"/>
      </w:r>
      <w:r w:rsidRPr="009C5581">
        <w:rPr>
          <w:rFonts w:ascii="Times New Roman" w:hAnsi="Times New Roman" w:cs="Times New Roman"/>
          <w:b/>
          <w:bCs/>
          <w:sz w:val="20"/>
          <w:szCs w:val="20"/>
        </w:rPr>
        <w:instrText xml:space="preserve"> SEQ Table \* ARABIC </w:instrText>
      </w:r>
      <w:r w:rsidRPr="009C5581">
        <w:rPr>
          <w:rFonts w:ascii="Times New Roman" w:hAnsi="Times New Roman" w:cs="Times New Roman"/>
          <w:b/>
          <w:bCs/>
          <w:sz w:val="20"/>
          <w:szCs w:val="20"/>
        </w:rPr>
        <w:fldChar w:fldCharType="separate"/>
      </w:r>
      <w:r w:rsidR="000F6B8E">
        <w:rPr>
          <w:rFonts w:ascii="Times New Roman" w:hAnsi="Times New Roman" w:cs="Times New Roman"/>
          <w:b/>
          <w:bCs/>
          <w:noProof/>
          <w:sz w:val="20"/>
          <w:szCs w:val="20"/>
        </w:rPr>
        <w:t>8</w:t>
      </w:r>
      <w:r w:rsidRPr="009C5581">
        <w:rPr>
          <w:rFonts w:ascii="Times New Roman" w:hAnsi="Times New Roman" w:cs="Times New Roman"/>
          <w:b/>
          <w:bCs/>
          <w:sz w:val="20"/>
          <w:szCs w:val="20"/>
        </w:rPr>
        <w:fldChar w:fldCharType="end"/>
      </w:r>
      <w:bookmarkEnd w:id="73"/>
      <w:r w:rsidRPr="009C5581">
        <w:rPr>
          <w:rFonts w:ascii="Times New Roman" w:hAnsi="Times New Roman" w:cs="Times New Roman"/>
          <w:sz w:val="20"/>
          <w:szCs w:val="20"/>
        </w:rPr>
        <w:t xml:space="preserve">: Male and female shares of </w:t>
      </w:r>
      <w:r w:rsidR="00955DE6" w:rsidRPr="009C5581">
        <w:rPr>
          <w:rFonts w:ascii="Times New Roman" w:hAnsi="Times New Roman" w:cs="Times New Roman"/>
          <w:sz w:val="20"/>
          <w:szCs w:val="20"/>
        </w:rPr>
        <w:t>use of healthcare</w:t>
      </w:r>
      <w:r w:rsidR="00A5408D" w:rsidRPr="009C5581">
        <w:rPr>
          <w:rFonts w:ascii="Times New Roman" w:hAnsi="Times New Roman" w:cs="Times New Roman"/>
          <w:sz w:val="20"/>
          <w:szCs w:val="20"/>
        </w:rPr>
        <w:t xml:space="preserve"> services</w:t>
      </w:r>
      <w:r w:rsidRPr="009C5581">
        <w:rPr>
          <w:rFonts w:ascii="Times New Roman" w:hAnsi="Times New Roman" w:cs="Times New Roman"/>
          <w:sz w:val="20"/>
          <w:szCs w:val="20"/>
        </w:rPr>
        <w:t>, 1994-2015/16 (percent of total)</w:t>
      </w:r>
      <w:bookmarkEnd w:id="74"/>
      <w:r w:rsidRPr="009C5581">
        <w:rPr>
          <w:rFonts w:ascii="Times New Roman" w:hAnsi="Times New Roman" w:cs="Times New Roman"/>
          <w:sz w:val="20"/>
          <w:szCs w:val="20"/>
        </w:rPr>
        <w:t xml:space="preserve"> </w:t>
      </w:r>
    </w:p>
    <w:tbl>
      <w:tblPr>
        <w:tblStyle w:val="TableGrid"/>
        <w:tblW w:w="5000" w:type="pct"/>
        <w:tblLook w:val="04A0" w:firstRow="1" w:lastRow="0" w:firstColumn="1" w:lastColumn="0" w:noHBand="0" w:noVBand="1"/>
      </w:tblPr>
      <w:tblGrid>
        <w:gridCol w:w="2511"/>
        <w:gridCol w:w="1939"/>
        <w:gridCol w:w="2715"/>
        <w:gridCol w:w="2715"/>
      </w:tblGrid>
      <w:tr w:rsidR="007C3340" w:rsidRPr="009C5581" w14:paraId="7907ABA7" w14:textId="77777777" w:rsidTr="003031FA">
        <w:tc>
          <w:tcPr>
            <w:tcW w:w="1270" w:type="pct"/>
            <w:vAlign w:val="center"/>
          </w:tcPr>
          <w:p w14:paraId="50B7A624" w14:textId="77777777" w:rsidR="007C3340" w:rsidRPr="009C5581" w:rsidRDefault="007C3340" w:rsidP="00A82686">
            <w:pPr>
              <w:jc w:val="center"/>
              <w:rPr>
                <w:rFonts w:ascii="Times New Roman" w:hAnsi="Times New Roman" w:cs="Times New Roman"/>
                <w:sz w:val="18"/>
                <w:szCs w:val="18"/>
              </w:rPr>
            </w:pPr>
          </w:p>
        </w:tc>
        <w:tc>
          <w:tcPr>
            <w:tcW w:w="981" w:type="pct"/>
            <w:vAlign w:val="center"/>
          </w:tcPr>
          <w:p w14:paraId="306D83DA" w14:textId="77777777" w:rsidR="007C3340" w:rsidRPr="009C5581" w:rsidRDefault="007C3340" w:rsidP="00A82686">
            <w:pPr>
              <w:jc w:val="center"/>
              <w:rPr>
                <w:rFonts w:ascii="Times New Roman" w:hAnsi="Times New Roman" w:cs="Times New Roman"/>
                <w:b/>
                <w:bCs/>
                <w:sz w:val="18"/>
                <w:szCs w:val="18"/>
              </w:rPr>
            </w:pPr>
            <w:r w:rsidRPr="009C5581">
              <w:rPr>
                <w:rFonts w:ascii="Times New Roman" w:hAnsi="Times New Roman" w:cs="Times New Roman"/>
                <w:b/>
                <w:bCs/>
                <w:sz w:val="18"/>
                <w:szCs w:val="18"/>
              </w:rPr>
              <w:t>1994</w:t>
            </w:r>
          </w:p>
        </w:tc>
        <w:tc>
          <w:tcPr>
            <w:tcW w:w="1374" w:type="pct"/>
            <w:vAlign w:val="center"/>
          </w:tcPr>
          <w:p w14:paraId="746814B0" w14:textId="77777777" w:rsidR="007C3340" w:rsidRPr="009C5581" w:rsidRDefault="007C3340" w:rsidP="00A82686">
            <w:pPr>
              <w:jc w:val="center"/>
              <w:rPr>
                <w:rFonts w:ascii="Times New Roman" w:hAnsi="Times New Roman" w:cs="Times New Roman"/>
                <w:b/>
                <w:bCs/>
                <w:sz w:val="18"/>
                <w:szCs w:val="18"/>
              </w:rPr>
            </w:pPr>
            <w:r w:rsidRPr="009C5581">
              <w:rPr>
                <w:rFonts w:ascii="Times New Roman" w:hAnsi="Times New Roman" w:cs="Times New Roman"/>
                <w:b/>
                <w:bCs/>
                <w:sz w:val="18"/>
                <w:szCs w:val="18"/>
              </w:rPr>
              <w:t>2005/06</w:t>
            </w:r>
          </w:p>
        </w:tc>
        <w:tc>
          <w:tcPr>
            <w:tcW w:w="1374" w:type="pct"/>
            <w:vAlign w:val="center"/>
          </w:tcPr>
          <w:p w14:paraId="57EEA39D" w14:textId="77777777" w:rsidR="007C3340" w:rsidRPr="009C5581" w:rsidRDefault="007C3340" w:rsidP="00A82686">
            <w:pPr>
              <w:jc w:val="center"/>
              <w:rPr>
                <w:rFonts w:ascii="Times New Roman" w:hAnsi="Times New Roman" w:cs="Times New Roman"/>
                <w:b/>
                <w:bCs/>
                <w:sz w:val="18"/>
                <w:szCs w:val="18"/>
              </w:rPr>
            </w:pPr>
            <w:r w:rsidRPr="009C5581">
              <w:rPr>
                <w:rFonts w:ascii="Times New Roman" w:hAnsi="Times New Roman" w:cs="Times New Roman"/>
                <w:b/>
                <w:bCs/>
                <w:sz w:val="18"/>
                <w:szCs w:val="18"/>
              </w:rPr>
              <w:t>2015/16</w:t>
            </w:r>
          </w:p>
        </w:tc>
      </w:tr>
      <w:tr w:rsidR="007C3340" w:rsidRPr="009C5581" w14:paraId="4739AF16" w14:textId="77777777" w:rsidTr="003031FA">
        <w:tc>
          <w:tcPr>
            <w:tcW w:w="1270" w:type="pct"/>
            <w:vAlign w:val="center"/>
          </w:tcPr>
          <w:p w14:paraId="36511BE8" w14:textId="77777777" w:rsidR="007C3340" w:rsidRPr="009C5581" w:rsidRDefault="007C3340" w:rsidP="00A82686">
            <w:pPr>
              <w:rPr>
                <w:rFonts w:ascii="Times New Roman" w:hAnsi="Times New Roman" w:cs="Times New Roman"/>
                <w:sz w:val="18"/>
                <w:szCs w:val="18"/>
              </w:rPr>
            </w:pPr>
            <w:r w:rsidRPr="009C5581">
              <w:rPr>
                <w:rFonts w:ascii="Times New Roman" w:hAnsi="Times New Roman" w:cs="Times New Roman"/>
                <w:sz w:val="18"/>
                <w:szCs w:val="18"/>
              </w:rPr>
              <w:t>Male</w:t>
            </w:r>
          </w:p>
        </w:tc>
        <w:tc>
          <w:tcPr>
            <w:tcW w:w="981" w:type="pct"/>
            <w:vAlign w:val="center"/>
          </w:tcPr>
          <w:p w14:paraId="60A85F08" w14:textId="5AB80724" w:rsidR="007C3340" w:rsidRPr="009C5581" w:rsidRDefault="00832804" w:rsidP="00A82686">
            <w:pPr>
              <w:jc w:val="center"/>
              <w:rPr>
                <w:rFonts w:ascii="Times New Roman" w:hAnsi="Times New Roman" w:cs="Times New Roman"/>
                <w:sz w:val="18"/>
                <w:szCs w:val="18"/>
              </w:rPr>
            </w:pPr>
            <w:r w:rsidRPr="009C5581">
              <w:rPr>
                <w:rFonts w:ascii="Times New Roman" w:hAnsi="Times New Roman" w:cs="Times New Roman"/>
                <w:sz w:val="18"/>
                <w:szCs w:val="18"/>
              </w:rPr>
              <w:t>46</w:t>
            </w:r>
          </w:p>
        </w:tc>
        <w:tc>
          <w:tcPr>
            <w:tcW w:w="1374" w:type="pct"/>
            <w:vAlign w:val="center"/>
          </w:tcPr>
          <w:p w14:paraId="3652A83F" w14:textId="5CE3D4F9" w:rsidR="007C3340" w:rsidRPr="009C5581" w:rsidRDefault="003B32FE" w:rsidP="00A82686">
            <w:pPr>
              <w:jc w:val="center"/>
              <w:rPr>
                <w:rFonts w:ascii="Times New Roman" w:hAnsi="Times New Roman" w:cs="Times New Roman"/>
                <w:sz w:val="18"/>
                <w:szCs w:val="18"/>
              </w:rPr>
            </w:pPr>
            <w:r w:rsidRPr="009C5581">
              <w:rPr>
                <w:rFonts w:ascii="Times New Roman" w:hAnsi="Times New Roman" w:cs="Times New Roman"/>
                <w:sz w:val="18"/>
                <w:szCs w:val="18"/>
              </w:rPr>
              <w:t>44</w:t>
            </w:r>
          </w:p>
        </w:tc>
        <w:tc>
          <w:tcPr>
            <w:tcW w:w="1374" w:type="pct"/>
            <w:vAlign w:val="center"/>
          </w:tcPr>
          <w:p w14:paraId="1C0D59C6" w14:textId="424CBCA5" w:rsidR="007C3340" w:rsidRPr="009C5581" w:rsidRDefault="003B32FE" w:rsidP="00A82686">
            <w:pPr>
              <w:jc w:val="center"/>
              <w:rPr>
                <w:rFonts w:ascii="Times New Roman" w:hAnsi="Times New Roman" w:cs="Times New Roman"/>
                <w:sz w:val="18"/>
                <w:szCs w:val="18"/>
              </w:rPr>
            </w:pPr>
            <w:r w:rsidRPr="009C5581">
              <w:rPr>
                <w:rFonts w:ascii="Times New Roman" w:hAnsi="Times New Roman" w:cs="Times New Roman"/>
                <w:sz w:val="18"/>
                <w:szCs w:val="18"/>
              </w:rPr>
              <w:t>42</w:t>
            </w:r>
          </w:p>
        </w:tc>
      </w:tr>
      <w:tr w:rsidR="007C3340" w:rsidRPr="009C5581" w14:paraId="2097CAEE" w14:textId="77777777" w:rsidTr="003031FA">
        <w:tc>
          <w:tcPr>
            <w:tcW w:w="1270" w:type="pct"/>
            <w:vAlign w:val="center"/>
          </w:tcPr>
          <w:p w14:paraId="0AFEB4A4" w14:textId="77777777" w:rsidR="007C3340" w:rsidRPr="009C5581" w:rsidRDefault="007C3340" w:rsidP="00A82686">
            <w:pPr>
              <w:rPr>
                <w:rFonts w:ascii="Times New Roman" w:hAnsi="Times New Roman" w:cs="Times New Roman"/>
                <w:sz w:val="18"/>
                <w:szCs w:val="18"/>
              </w:rPr>
            </w:pPr>
            <w:r w:rsidRPr="009C5581">
              <w:rPr>
                <w:rFonts w:ascii="Times New Roman" w:hAnsi="Times New Roman" w:cs="Times New Roman"/>
                <w:sz w:val="18"/>
                <w:szCs w:val="18"/>
              </w:rPr>
              <w:t>Female</w:t>
            </w:r>
          </w:p>
        </w:tc>
        <w:tc>
          <w:tcPr>
            <w:tcW w:w="981" w:type="pct"/>
            <w:vAlign w:val="center"/>
          </w:tcPr>
          <w:p w14:paraId="68649C4A" w14:textId="0275BDD7" w:rsidR="007C3340" w:rsidRPr="009C5581" w:rsidRDefault="00832804" w:rsidP="00A82686">
            <w:pPr>
              <w:jc w:val="center"/>
              <w:rPr>
                <w:rFonts w:ascii="Times New Roman" w:hAnsi="Times New Roman" w:cs="Times New Roman"/>
                <w:sz w:val="18"/>
                <w:szCs w:val="18"/>
              </w:rPr>
            </w:pPr>
            <w:r w:rsidRPr="009C5581">
              <w:rPr>
                <w:rFonts w:ascii="Times New Roman" w:hAnsi="Times New Roman" w:cs="Times New Roman"/>
                <w:sz w:val="18"/>
                <w:szCs w:val="18"/>
              </w:rPr>
              <w:t>5</w:t>
            </w:r>
            <w:r w:rsidR="007C3340" w:rsidRPr="009C5581">
              <w:rPr>
                <w:rFonts w:ascii="Times New Roman" w:hAnsi="Times New Roman" w:cs="Times New Roman"/>
                <w:sz w:val="18"/>
                <w:szCs w:val="18"/>
              </w:rPr>
              <w:t>4</w:t>
            </w:r>
          </w:p>
        </w:tc>
        <w:tc>
          <w:tcPr>
            <w:tcW w:w="1374" w:type="pct"/>
            <w:vAlign w:val="center"/>
          </w:tcPr>
          <w:p w14:paraId="76CCC33B" w14:textId="5F89971B" w:rsidR="007C3340" w:rsidRPr="009C5581" w:rsidRDefault="003B32FE" w:rsidP="00A82686">
            <w:pPr>
              <w:jc w:val="center"/>
              <w:rPr>
                <w:rFonts w:ascii="Times New Roman" w:hAnsi="Times New Roman" w:cs="Times New Roman"/>
                <w:sz w:val="18"/>
                <w:szCs w:val="18"/>
              </w:rPr>
            </w:pPr>
            <w:r w:rsidRPr="009C5581">
              <w:rPr>
                <w:rFonts w:ascii="Times New Roman" w:hAnsi="Times New Roman" w:cs="Times New Roman"/>
                <w:sz w:val="18"/>
                <w:szCs w:val="18"/>
              </w:rPr>
              <w:t>56</w:t>
            </w:r>
          </w:p>
        </w:tc>
        <w:tc>
          <w:tcPr>
            <w:tcW w:w="1374" w:type="pct"/>
            <w:vAlign w:val="center"/>
          </w:tcPr>
          <w:p w14:paraId="286AB468" w14:textId="37CEF2A3" w:rsidR="007C3340" w:rsidRPr="009C5581" w:rsidRDefault="003B32FE" w:rsidP="00A82686">
            <w:pPr>
              <w:jc w:val="center"/>
              <w:rPr>
                <w:rFonts w:ascii="Times New Roman" w:hAnsi="Times New Roman" w:cs="Times New Roman"/>
                <w:sz w:val="18"/>
                <w:szCs w:val="18"/>
              </w:rPr>
            </w:pPr>
            <w:r w:rsidRPr="009C5581">
              <w:rPr>
                <w:rFonts w:ascii="Times New Roman" w:hAnsi="Times New Roman" w:cs="Times New Roman"/>
                <w:sz w:val="18"/>
                <w:szCs w:val="18"/>
              </w:rPr>
              <w:t>58</w:t>
            </w:r>
          </w:p>
        </w:tc>
      </w:tr>
    </w:tbl>
    <w:p w14:paraId="7A50DB6F" w14:textId="1E1FFE7E" w:rsidR="007C3340" w:rsidRPr="009C5581" w:rsidRDefault="007C3340" w:rsidP="007C3340">
      <w:pPr>
        <w:jc w:val="both"/>
        <w:rPr>
          <w:rFonts w:ascii="Times New Roman" w:hAnsi="Times New Roman" w:cs="Times New Roman"/>
          <w:sz w:val="16"/>
          <w:szCs w:val="16"/>
        </w:rPr>
      </w:pPr>
      <w:r w:rsidRPr="009C5581">
        <w:rPr>
          <w:rFonts w:ascii="Times New Roman" w:hAnsi="Times New Roman" w:cs="Times New Roman"/>
          <w:sz w:val="16"/>
          <w:szCs w:val="16"/>
        </w:rPr>
        <w:t xml:space="preserve">Source: KNBS (2020b: </w:t>
      </w:r>
      <w:r w:rsidR="003B32FE" w:rsidRPr="009C5581">
        <w:rPr>
          <w:rFonts w:ascii="Times New Roman" w:hAnsi="Times New Roman" w:cs="Times New Roman"/>
          <w:sz w:val="16"/>
          <w:szCs w:val="16"/>
        </w:rPr>
        <w:t>108</w:t>
      </w:r>
      <w:r w:rsidRPr="009C5581">
        <w:rPr>
          <w:rFonts w:ascii="Times New Roman" w:hAnsi="Times New Roman" w:cs="Times New Roman"/>
          <w:sz w:val="16"/>
          <w:szCs w:val="16"/>
        </w:rPr>
        <w:t>)</w:t>
      </w:r>
      <w:r w:rsidR="008D6026" w:rsidRPr="009C5581">
        <w:rPr>
          <w:rFonts w:ascii="Times New Roman" w:hAnsi="Times New Roman" w:cs="Times New Roman"/>
          <w:sz w:val="16"/>
          <w:szCs w:val="16"/>
        </w:rPr>
        <w:t>.</w:t>
      </w:r>
    </w:p>
    <w:p w14:paraId="486B2FE6" w14:textId="1D431A25" w:rsidR="00F81E19" w:rsidRPr="00C94B20" w:rsidRDefault="005C3D06" w:rsidP="00BF7D15">
      <w:pPr>
        <w:jc w:val="both"/>
        <w:rPr>
          <w:rFonts w:ascii="Georgia" w:hAnsi="Georgia" w:cs="Times New Roman"/>
          <w:sz w:val="24"/>
          <w:szCs w:val="24"/>
        </w:rPr>
      </w:pPr>
      <w:r w:rsidRPr="00C94B20">
        <w:rPr>
          <w:rFonts w:ascii="Georgia" w:hAnsi="Georgia" w:cs="Times New Roman"/>
          <w:sz w:val="24"/>
          <w:szCs w:val="24"/>
        </w:rPr>
        <w:t>A</w:t>
      </w:r>
      <w:r w:rsidR="00F81E19" w:rsidRPr="00C94B20">
        <w:rPr>
          <w:rFonts w:ascii="Georgia" w:hAnsi="Georgia" w:cs="Times New Roman"/>
          <w:sz w:val="24"/>
          <w:szCs w:val="24"/>
        </w:rPr>
        <w:t xml:space="preserve">mong the poor and non-poor populations alike, individuals in female-headed households </w:t>
      </w:r>
      <w:r w:rsidRPr="00C94B20">
        <w:rPr>
          <w:rFonts w:ascii="Georgia" w:hAnsi="Georgia" w:cs="Times New Roman"/>
          <w:sz w:val="24"/>
          <w:szCs w:val="24"/>
        </w:rPr>
        <w:t xml:space="preserve">also </w:t>
      </w:r>
      <w:r w:rsidR="00F81E19" w:rsidRPr="00C94B20">
        <w:rPr>
          <w:rFonts w:ascii="Georgia" w:hAnsi="Georgia" w:cs="Times New Roman"/>
          <w:sz w:val="24"/>
          <w:szCs w:val="24"/>
        </w:rPr>
        <w:t xml:space="preserve">more often sought healthcare than individuals in male-headed households (KNBS, 2020b: 112). </w:t>
      </w:r>
      <w:r w:rsidR="00C66A44" w:rsidRPr="00C94B20">
        <w:rPr>
          <w:rFonts w:ascii="Georgia" w:hAnsi="Georgia" w:cs="Times New Roman"/>
          <w:sz w:val="24"/>
          <w:szCs w:val="24"/>
        </w:rPr>
        <w:t>At the same time, m</w:t>
      </w:r>
      <w:r w:rsidR="00D24BB9" w:rsidRPr="00C94B20">
        <w:rPr>
          <w:rFonts w:ascii="Georgia" w:hAnsi="Georgia" w:cs="Times New Roman"/>
          <w:sz w:val="24"/>
          <w:szCs w:val="24"/>
        </w:rPr>
        <w:t xml:space="preserve">embers of male-headed household were somewhat more likely to attend public healthcare facilities than members of female-headed households in 2015/16 (KNBS, 2020b: 110). </w:t>
      </w:r>
      <w:r w:rsidR="00F81E19" w:rsidRPr="00C94B20">
        <w:rPr>
          <w:rFonts w:ascii="Georgia" w:hAnsi="Georgia" w:cs="Times New Roman"/>
          <w:sz w:val="24"/>
          <w:szCs w:val="24"/>
        </w:rPr>
        <w:t xml:space="preserve">While gender difference in access to health services were limited in 2015/16, this changed with the emergence of the </w:t>
      </w:r>
      <w:r w:rsidR="005C3D12" w:rsidRPr="00C94B20">
        <w:rPr>
          <w:rFonts w:ascii="Georgia" w:hAnsi="Georgia" w:cs="Times New Roman"/>
          <w:sz w:val="24"/>
          <w:szCs w:val="24"/>
        </w:rPr>
        <w:t>COVID</w:t>
      </w:r>
      <w:r w:rsidR="00F81E19" w:rsidRPr="00C94B20">
        <w:rPr>
          <w:rFonts w:ascii="Georgia" w:hAnsi="Georgia" w:cs="Times New Roman"/>
          <w:sz w:val="24"/>
          <w:szCs w:val="24"/>
        </w:rPr>
        <w:t>-19 pandemic, which disproportionately affected access to health services among relatively-poor female-headed households (Makate and Makate, 2022).</w:t>
      </w:r>
      <w:r w:rsidR="00940426" w:rsidRPr="00C94B20">
        <w:rPr>
          <w:rFonts w:ascii="Georgia" w:hAnsi="Georgia" w:cs="Times New Roman"/>
          <w:sz w:val="24"/>
          <w:szCs w:val="24"/>
        </w:rPr>
        <w:t xml:space="preserve"> </w:t>
      </w:r>
      <w:r w:rsidR="002576A2" w:rsidRPr="00C94B20">
        <w:rPr>
          <w:rFonts w:ascii="Georgia" w:hAnsi="Georgia" w:cs="Times New Roman"/>
          <w:sz w:val="24"/>
          <w:szCs w:val="24"/>
        </w:rPr>
        <w:t xml:space="preserve">In terms of spending on health care services, the </w:t>
      </w:r>
      <w:r w:rsidR="00C1096E" w:rsidRPr="00C94B20">
        <w:rPr>
          <w:rFonts w:ascii="Georgia" w:hAnsi="Georgia" w:cs="Times New Roman"/>
          <w:sz w:val="24"/>
          <w:szCs w:val="24"/>
        </w:rPr>
        <w:t xml:space="preserve">DHS 2022 data show that </w:t>
      </w:r>
      <w:r w:rsidR="00BF7D15" w:rsidRPr="00C94B20">
        <w:rPr>
          <w:rFonts w:ascii="Georgia" w:hAnsi="Georgia" w:cs="Times New Roman"/>
          <w:sz w:val="24"/>
          <w:szCs w:val="24"/>
        </w:rPr>
        <w:t xml:space="preserve">males </w:t>
      </w:r>
      <w:r w:rsidR="0088076D" w:rsidRPr="00C94B20">
        <w:rPr>
          <w:rFonts w:ascii="Georgia" w:hAnsi="Georgia" w:cs="Times New Roman"/>
          <w:sz w:val="24"/>
          <w:szCs w:val="24"/>
        </w:rPr>
        <w:t>‘</w:t>
      </w:r>
      <w:r w:rsidR="00BF7D15" w:rsidRPr="00C94B20">
        <w:rPr>
          <w:rFonts w:ascii="Georgia" w:hAnsi="Georgia" w:cs="Times New Roman"/>
          <w:sz w:val="24"/>
          <w:szCs w:val="24"/>
        </w:rPr>
        <w:t xml:space="preserve">spend twice as much as females on inpatient admissions’ </w:t>
      </w:r>
      <w:r w:rsidR="0088076D" w:rsidRPr="00C94B20">
        <w:rPr>
          <w:rFonts w:ascii="Georgia" w:hAnsi="Georgia" w:cs="Times New Roman"/>
          <w:sz w:val="24"/>
          <w:szCs w:val="24"/>
        </w:rPr>
        <w:t xml:space="preserve">and that </w:t>
      </w:r>
      <w:r w:rsidR="00BF7D15" w:rsidRPr="00C94B20">
        <w:rPr>
          <w:rFonts w:ascii="Georgia" w:hAnsi="Georgia" w:cs="Times New Roman"/>
          <w:sz w:val="24"/>
          <w:szCs w:val="24"/>
        </w:rPr>
        <w:t xml:space="preserve">monthly expenditure for outpatient visits is </w:t>
      </w:r>
      <w:r w:rsidR="00632EC1" w:rsidRPr="00C94B20">
        <w:rPr>
          <w:rFonts w:ascii="Georgia" w:hAnsi="Georgia" w:cs="Times New Roman"/>
          <w:sz w:val="24"/>
          <w:szCs w:val="24"/>
        </w:rPr>
        <w:t xml:space="preserve">on average </w:t>
      </w:r>
      <w:r w:rsidR="00995AA8" w:rsidRPr="00C94B20">
        <w:rPr>
          <w:rFonts w:ascii="Georgia" w:hAnsi="Georgia" w:cs="Times New Roman"/>
          <w:sz w:val="24"/>
          <w:szCs w:val="24"/>
        </w:rPr>
        <w:t>a</w:t>
      </w:r>
      <w:r w:rsidR="00BF7D15" w:rsidRPr="00C94B20">
        <w:rPr>
          <w:rFonts w:ascii="Georgia" w:hAnsi="Georgia" w:cs="Times New Roman"/>
          <w:sz w:val="24"/>
          <w:szCs w:val="24"/>
        </w:rPr>
        <w:t xml:space="preserve">lso </w:t>
      </w:r>
      <w:r w:rsidR="00553B90" w:rsidRPr="00C94B20">
        <w:rPr>
          <w:rFonts w:ascii="Georgia" w:hAnsi="Georgia" w:cs="Times New Roman"/>
          <w:sz w:val="24"/>
          <w:szCs w:val="24"/>
        </w:rPr>
        <w:t>‘</w:t>
      </w:r>
      <w:r w:rsidR="00BF7D15" w:rsidRPr="00C94B20">
        <w:rPr>
          <w:rFonts w:ascii="Georgia" w:hAnsi="Georgia" w:cs="Times New Roman"/>
          <w:sz w:val="24"/>
          <w:szCs w:val="24"/>
        </w:rPr>
        <w:t>slightly higher among males than females</w:t>
      </w:r>
      <w:r w:rsidR="00632EC1" w:rsidRPr="00C94B20">
        <w:rPr>
          <w:rFonts w:ascii="Georgia" w:hAnsi="Georgia" w:cs="Times New Roman"/>
          <w:sz w:val="24"/>
          <w:szCs w:val="24"/>
        </w:rPr>
        <w:t>’</w:t>
      </w:r>
      <w:r w:rsidR="00553B90" w:rsidRPr="00C94B20">
        <w:rPr>
          <w:rFonts w:ascii="Georgia" w:hAnsi="Georgia" w:cs="Times New Roman"/>
          <w:sz w:val="24"/>
          <w:szCs w:val="24"/>
        </w:rPr>
        <w:t xml:space="preserve">, while – in relative terms – women had to rely more on cash payments for </w:t>
      </w:r>
      <w:r w:rsidR="008E0CBF" w:rsidRPr="00C94B20">
        <w:rPr>
          <w:rFonts w:ascii="Georgia" w:hAnsi="Georgia" w:cs="Times New Roman"/>
          <w:sz w:val="24"/>
          <w:szCs w:val="24"/>
        </w:rPr>
        <w:t>the services than men</w:t>
      </w:r>
      <w:r w:rsidR="00632EC1" w:rsidRPr="00C94B20">
        <w:rPr>
          <w:rFonts w:ascii="Georgia" w:hAnsi="Georgia" w:cs="Times New Roman"/>
          <w:sz w:val="24"/>
          <w:szCs w:val="24"/>
        </w:rPr>
        <w:t xml:space="preserve"> (KNBS, 2023: </w:t>
      </w:r>
      <w:r w:rsidR="00FE72B3" w:rsidRPr="00C94B20">
        <w:rPr>
          <w:rFonts w:ascii="Georgia" w:hAnsi="Georgia" w:cs="Times New Roman"/>
          <w:sz w:val="24"/>
          <w:szCs w:val="24"/>
        </w:rPr>
        <w:t>23,</w:t>
      </w:r>
      <w:r w:rsidR="008E0CBF" w:rsidRPr="00C94B20">
        <w:rPr>
          <w:rFonts w:ascii="Georgia" w:hAnsi="Georgia" w:cs="Times New Roman"/>
          <w:sz w:val="24"/>
          <w:szCs w:val="24"/>
        </w:rPr>
        <w:t xml:space="preserve"> Table </w:t>
      </w:r>
      <w:r w:rsidR="00AC1359" w:rsidRPr="00C94B20">
        <w:rPr>
          <w:rFonts w:ascii="Georgia" w:hAnsi="Georgia" w:cs="Times New Roman"/>
          <w:sz w:val="24"/>
          <w:szCs w:val="24"/>
        </w:rPr>
        <w:t>2.20.2)</w:t>
      </w:r>
      <w:r w:rsidR="00632EC1" w:rsidRPr="00C94B20">
        <w:rPr>
          <w:rFonts w:ascii="Georgia" w:hAnsi="Georgia" w:cs="Times New Roman"/>
          <w:sz w:val="24"/>
          <w:szCs w:val="24"/>
        </w:rPr>
        <w:t>.</w:t>
      </w:r>
      <w:r w:rsidR="00CA4EAC" w:rsidRPr="00C94B20">
        <w:rPr>
          <w:rFonts w:ascii="Georgia" w:hAnsi="Georgia" w:cs="Times New Roman"/>
          <w:sz w:val="24"/>
          <w:szCs w:val="24"/>
        </w:rPr>
        <w:t xml:space="preserve"> </w:t>
      </w:r>
    </w:p>
    <w:p w14:paraId="16F15473" w14:textId="77777777" w:rsidR="00C94B20" w:rsidRDefault="0068103D" w:rsidP="00EF4F0A">
      <w:pPr>
        <w:jc w:val="both"/>
        <w:rPr>
          <w:rFonts w:ascii="Georgia" w:hAnsi="Georgia" w:cs="Times New Roman"/>
          <w:sz w:val="24"/>
          <w:szCs w:val="24"/>
        </w:rPr>
      </w:pPr>
      <w:r w:rsidRPr="00C94B20">
        <w:rPr>
          <w:rFonts w:ascii="Georgia" w:hAnsi="Georgia" w:cs="Times New Roman"/>
          <w:sz w:val="24"/>
          <w:szCs w:val="24"/>
        </w:rPr>
        <w:t>The</w:t>
      </w:r>
      <w:r w:rsidR="00C45E0A" w:rsidRPr="00C94B20">
        <w:rPr>
          <w:rFonts w:ascii="Georgia" w:hAnsi="Georgia" w:cs="Times New Roman"/>
          <w:sz w:val="24"/>
          <w:szCs w:val="24"/>
        </w:rPr>
        <w:t xml:space="preserve"> </w:t>
      </w:r>
      <w:r w:rsidRPr="00C94B20">
        <w:rPr>
          <w:rFonts w:ascii="Georgia" w:hAnsi="Georgia" w:cs="Times New Roman"/>
          <w:sz w:val="24"/>
          <w:szCs w:val="24"/>
        </w:rPr>
        <w:t xml:space="preserve">access </w:t>
      </w:r>
      <w:r w:rsidR="00C45E0A" w:rsidRPr="00C94B20">
        <w:rPr>
          <w:rFonts w:ascii="Georgia" w:hAnsi="Georgia" w:cs="Times New Roman"/>
          <w:sz w:val="24"/>
          <w:szCs w:val="24"/>
        </w:rPr>
        <w:t xml:space="preserve">of women and girls </w:t>
      </w:r>
      <w:r w:rsidRPr="00C94B20">
        <w:rPr>
          <w:rFonts w:ascii="Georgia" w:hAnsi="Georgia" w:cs="Times New Roman"/>
          <w:sz w:val="24"/>
          <w:szCs w:val="24"/>
        </w:rPr>
        <w:t xml:space="preserve">to </w:t>
      </w:r>
      <w:r w:rsidR="00C45E0A" w:rsidRPr="00C94B20">
        <w:rPr>
          <w:rFonts w:ascii="Georgia" w:hAnsi="Georgia" w:cs="Times New Roman"/>
          <w:sz w:val="24"/>
          <w:szCs w:val="24"/>
        </w:rPr>
        <w:t xml:space="preserve">education and health care services is </w:t>
      </w:r>
      <w:r w:rsidR="002217EC" w:rsidRPr="00C94B20">
        <w:rPr>
          <w:rFonts w:ascii="Georgia" w:hAnsi="Georgia" w:cs="Times New Roman"/>
          <w:sz w:val="24"/>
          <w:szCs w:val="24"/>
        </w:rPr>
        <w:t xml:space="preserve">related to the public expenditure on education and health. </w:t>
      </w:r>
      <w:r w:rsidR="004171B9" w:rsidRPr="00C94B20">
        <w:rPr>
          <w:rFonts w:ascii="Georgia" w:hAnsi="Georgia" w:cs="Times New Roman"/>
          <w:sz w:val="24"/>
          <w:szCs w:val="24"/>
        </w:rPr>
        <w:t>Budgeting of public expenditure in th</w:t>
      </w:r>
      <w:r w:rsidR="0009546D" w:rsidRPr="00C94B20">
        <w:rPr>
          <w:rFonts w:ascii="Georgia" w:hAnsi="Georgia" w:cs="Times New Roman"/>
          <w:sz w:val="24"/>
          <w:szCs w:val="24"/>
        </w:rPr>
        <w:t>o</w:t>
      </w:r>
      <w:r w:rsidR="004171B9" w:rsidRPr="00C94B20">
        <w:rPr>
          <w:rFonts w:ascii="Georgia" w:hAnsi="Georgia" w:cs="Times New Roman"/>
          <w:sz w:val="24"/>
          <w:szCs w:val="24"/>
        </w:rPr>
        <w:t xml:space="preserve">se </w:t>
      </w:r>
      <w:r w:rsidR="0009546D" w:rsidRPr="00C94B20">
        <w:rPr>
          <w:rFonts w:ascii="Georgia" w:hAnsi="Georgia" w:cs="Times New Roman"/>
          <w:sz w:val="24"/>
          <w:szCs w:val="24"/>
        </w:rPr>
        <w:t>sectors was traditionally not gender-responsive.</w:t>
      </w:r>
      <w:r w:rsidR="00237C5F" w:rsidRPr="00C94B20">
        <w:rPr>
          <w:rFonts w:ascii="Georgia" w:hAnsi="Georgia" w:cs="Times New Roman"/>
          <w:sz w:val="24"/>
          <w:szCs w:val="24"/>
        </w:rPr>
        <w:t xml:space="preserve"> </w:t>
      </w:r>
      <w:r w:rsidR="007E2866" w:rsidRPr="00C94B20">
        <w:rPr>
          <w:rFonts w:ascii="Georgia" w:hAnsi="Georgia" w:cs="Times New Roman"/>
          <w:sz w:val="24"/>
          <w:szCs w:val="24"/>
        </w:rPr>
        <w:t xml:space="preserve">Gender became more mainstreamed in the </w:t>
      </w:r>
      <w:r w:rsidR="00D73865" w:rsidRPr="00C94B20">
        <w:rPr>
          <w:rFonts w:ascii="Georgia" w:hAnsi="Georgia" w:cs="Times New Roman"/>
          <w:sz w:val="24"/>
          <w:szCs w:val="24"/>
        </w:rPr>
        <w:t xml:space="preserve">budget process with the adoption of the 2010 </w:t>
      </w:r>
      <w:r w:rsidR="001D6F1E" w:rsidRPr="00C94B20">
        <w:rPr>
          <w:rFonts w:ascii="Georgia" w:hAnsi="Georgia" w:cs="Times New Roman"/>
          <w:sz w:val="24"/>
          <w:szCs w:val="24"/>
        </w:rPr>
        <w:t>C</w:t>
      </w:r>
      <w:r w:rsidR="00D73865" w:rsidRPr="00C94B20">
        <w:rPr>
          <w:rFonts w:ascii="Georgia" w:hAnsi="Georgia" w:cs="Times New Roman"/>
          <w:sz w:val="24"/>
          <w:szCs w:val="24"/>
        </w:rPr>
        <w:t>onstitution</w:t>
      </w:r>
      <w:r w:rsidR="00910179" w:rsidRPr="00C94B20">
        <w:rPr>
          <w:rFonts w:ascii="Georgia" w:hAnsi="Georgia" w:cs="Times New Roman"/>
          <w:sz w:val="24"/>
          <w:szCs w:val="24"/>
        </w:rPr>
        <w:t xml:space="preserve"> (SID, </w:t>
      </w:r>
      <w:r w:rsidR="00A4239B" w:rsidRPr="00C94B20">
        <w:rPr>
          <w:rFonts w:ascii="Georgia" w:hAnsi="Georgia" w:cs="Times New Roman"/>
          <w:sz w:val="24"/>
          <w:szCs w:val="24"/>
        </w:rPr>
        <w:t>2012)</w:t>
      </w:r>
      <w:r w:rsidR="001D6F1E" w:rsidRPr="00C94B20">
        <w:rPr>
          <w:rFonts w:ascii="Georgia" w:hAnsi="Georgia" w:cs="Times New Roman"/>
          <w:sz w:val="24"/>
          <w:szCs w:val="24"/>
        </w:rPr>
        <w:t>.</w:t>
      </w:r>
      <w:r w:rsidR="00AE2E71" w:rsidRPr="00C94B20">
        <w:rPr>
          <w:rFonts w:ascii="Georgia" w:hAnsi="Georgia" w:cs="Times New Roman"/>
          <w:sz w:val="24"/>
          <w:szCs w:val="24"/>
        </w:rPr>
        <w:t xml:space="preserve"> </w:t>
      </w:r>
      <w:r w:rsidR="00AB5A0D" w:rsidRPr="00C94B20">
        <w:rPr>
          <w:rFonts w:ascii="Georgia" w:hAnsi="Georgia" w:cs="Times New Roman"/>
          <w:sz w:val="24"/>
          <w:szCs w:val="24"/>
        </w:rPr>
        <w:t xml:space="preserve">NGEC formulated guidelines for </w:t>
      </w:r>
      <w:r w:rsidR="000E5C95" w:rsidRPr="00C94B20">
        <w:rPr>
          <w:rFonts w:ascii="Georgia" w:hAnsi="Georgia" w:cs="Times New Roman"/>
          <w:b/>
          <w:bCs/>
          <w:sz w:val="24"/>
          <w:szCs w:val="24"/>
        </w:rPr>
        <w:t>Gender-Responsive Budgeting</w:t>
      </w:r>
      <w:r w:rsidR="000E5C95" w:rsidRPr="00C94B20">
        <w:rPr>
          <w:rFonts w:ascii="Georgia" w:hAnsi="Georgia" w:cs="Times New Roman"/>
          <w:sz w:val="24"/>
          <w:szCs w:val="24"/>
        </w:rPr>
        <w:t xml:space="preserve"> (</w:t>
      </w:r>
      <w:r w:rsidR="000C6EC5" w:rsidRPr="00C94B20">
        <w:rPr>
          <w:rFonts w:ascii="Georgia" w:hAnsi="Georgia" w:cs="Times New Roman"/>
          <w:sz w:val="24"/>
          <w:szCs w:val="24"/>
        </w:rPr>
        <w:t>GRB</w:t>
      </w:r>
      <w:r w:rsidR="000E5C95" w:rsidRPr="00C94B20">
        <w:rPr>
          <w:rFonts w:ascii="Georgia" w:hAnsi="Georgia" w:cs="Times New Roman"/>
          <w:sz w:val="24"/>
          <w:szCs w:val="24"/>
        </w:rPr>
        <w:t>)</w:t>
      </w:r>
      <w:r w:rsidR="00D05F9A" w:rsidRPr="00C94B20">
        <w:rPr>
          <w:rFonts w:ascii="Georgia" w:hAnsi="Georgia" w:cs="Times New Roman"/>
          <w:sz w:val="24"/>
          <w:szCs w:val="24"/>
        </w:rPr>
        <w:t xml:space="preserve"> in 2014</w:t>
      </w:r>
      <w:r w:rsidR="000C6EC5" w:rsidRPr="00C94B20">
        <w:rPr>
          <w:rFonts w:ascii="Georgia" w:hAnsi="Georgia" w:cs="Times New Roman"/>
          <w:sz w:val="24"/>
          <w:szCs w:val="24"/>
        </w:rPr>
        <w:t xml:space="preserve"> (see NGEC, 2014).</w:t>
      </w:r>
      <w:r w:rsidR="00232826" w:rsidRPr="00C94B20">
        <w:rPr>
          <w:rStyle w:val="FootnoteReference"/>
          <w:rFonts w:ascii="Georgia" w:hAnsi="Georgia" w:cs="Times New Roman"/>
          <w:sz w:val="24"/>
          <w:szCs w:val="24"/>
        </w:rPr>
        <w:footnoteReference w:id="38"/>
      </w:r>
      <w:r w:rsidR="007E2866" w:rsidRPr="00C94B20">
        <w:rPr>
          <w:rFonts w:ascii="Georgia" w:hAnsi="Georgia" w:cs="Times New Roman"/>
          <w:sz w:val="24"/>
          <w:szCs w:val="24"/>
        </w:rPr>
        <w:t xml:space="preserve"> </w:t>
      </w:r>
      <w:r w:rsidR="00F5328E" w:rsidRPr="00C94B20">
        <w:rPr>
          <w:rFonts w:ascii="Georgia" w:hAnsi="Georgia" w:cs="Times New Roman"/>
          <w:sz w:val="24"/>
          <w:szCs w:val="24"/>
        </w:rPr>
        <w:t xml:space="preserve">A baseline survey of </w:t>
      </w:r>
      <w:r w:rsidR="005219C3" w:rsidRPr="00C94B20">
        <w:rPr>
          <w:rFonts w:ascii="Georgia" w:hAnsi="Georgia" w:cs="Times New Roman"/>
          <w:sz w:val="24"/>
          <w:szCs w:val="24"/>
        </w:rPr>
        <w:t>GRB in Kenya</w:t>
      </w:r>
      <w:r w:rsidR="00A57A9A" w:rsidRPr="00C94B20">
        <w:rPr>
          <w:rFonts w:ascii="Georgia" w:hAnsi="Georgia" w:cs="Times New Roman"/>
          <w:sz w:val="24"/>
          <w:szCs w:val="24"/>
        </w:rPr>
        <w:t xml:space="preserve"> </w:t>
      </w:r>
      <w:r w:rsidR="004E5AA2" w:rsidRPr="00C94B20">
        <w:rPr>
          <w:rFonts w:ascii="Georgia" w:hAnsi="Georgia" w:cs="Times New Roman"/>
          <w:sz w:val="24"/>
          <w:szCs w:val="24"/>
        </w:rPr>
        <w:t>c</w:t>
      </w:r>
      <w:r w:rsidR="0005710E" w:rsidRPr="00C94B20">
        <w:rPr>
          <w:rFonts w:ascii="Georgia" w:hAnsi="Georgia" w:cs="Times New Roman"/>
          <w:sz w:val="24"/>
          <w:szCs w:val="24"/>
        </w:rPr>
        <w:t xml:space="preserve">ommissioned by </w:t>
      </w:r>
      <w:r w:rsidR="004E5AA2" w:rsidRPr="00C94B20">
        <w:rPr>
          <w:rFonts w:ascii="Georgia" w:hAnsi="Georgia" w:cs="Times New Roman"/>
          <w:sz w:val="24"/>
          <w:szCs w:val="24"/>
        </w:rPr>
        <w:t>the SDG Kenya Forum</w:t>
      </w:r>
      <w:r w:rsidR="00711FF6" w:rsidRPr="00C94B20">
        <w:rPr>
          <w:rFonts w:ascii="Georgia" w:hAnsi="Georgia" w:cs="Times New Roman"/>
          <w:sz w:val="24"/>
          <w:szCs w:val="24"/>
        </w:rPr>
        <w:t xml:space="preserve"> assessed the degree in which </w:t>
      </w:r>
      <w:r w:rsidR="00C17725" w:rsidRPr="00C94B20">
        <w:rPr>
          <w:rFonts w:ascii="Georgia" w:hAnsi="Georgia" w:cs="Times New Roman"/>
          <w:sz w:val="24"/>
          <w:szCs w:val="24"/>
        </w:rPr>
        <w:t xml:space="preserve">the national budget and the budgets of selected counties </w:t>
      </w:r>
      <w:r w:rsidR="0088696F" w:rsidRPr="00C94B20">
        <w:rPr>
          <w:rFonts w:ascii="Georgia" w:hAnsi="Georgia" w:cs="Times New Roman"/>
          <w:sz w:val="24"/>
          <w:szCs w:val="24"/>
        </w:rPr>
        <w:t>responded to gender needs in 2016-2019</w:t>
      </w:r>
      <w:r w:rsidR="0005710E" w:rsidRPr="00C94B20">
        <w:rPr>
          <w:rFonts w:ascii="Georgia" w:hAnsi="Georgia" w:cs="Times New Roman"/>
          <w:sz w:val="24"/>
          <w:szCs w:val="24"/>
        </w:rPr>
        <w:t xml:space="preserve"> </w:t>
      </w:r>
      <w:r w:rsidR="007671E7" w:rsidRPr="00C94B20">
        <w:rPr>
          <w:rFonts w:ascii="Georgia" w:hAnsi="Georgia" w:cs="Times New Roman"/>
          <w:sz w:val="24"/>
          <w:szCs w:val="24"/>
        </w:rPr>
        <w:t>(Carillion Consultants, 2020).</w:t>
      </w:r>
      <w:r w:rsidR="004E5AA2" w:rsidRPr="00C94B20">
        <w:rPr>
          <w:rFonts w:ascii="Georgia" w:hAnsi="Georgia" w:cs="Times New Roman"/>
          <w:sz w:val="24"/>
          <w:szCs w:val="24"/>
        </w:rPr>
        <w:t xml:space="preserve"> </w:t>
      </w:r>
      <w:r w:rsidR="009F7BB0" w:rsidRPr="00C94B20">
        <w:rPr>
          <w:rFonts w:ascii="Georgia" w:hAnsi="Georgia" w:cs="Times New Roman"/>
          <w:sz w:val="24"/>
          <w:szCs w:val="24"/>
        </w:rPr>
        <w:t>The study showed ‘that both national and county government recognize GRB as ultimate planning and budgeting tool to close ever growing gender inequalities and a single most effective strategy of supporting K</w:t>
      </w:r>
      <w:r w:rsidR="006354C0" w:rsidRPr="00C94B20">
        <w:rPr>
          <w:rFonts w:ascii="Georgia" w:hAnsi="Georgia" w:cs="Times New Roman"/>
          <w:sz w:val="24"/>
          <w:szCs w:val="24"/>
        </w:rPr>
        <w:t>e</w:t>
      </w:r>
      <w:r w:rsidR="009F7BB0" w:rsidRPr="00C94B20">
        <w:rPr>
          <w:rFonts w:ascii="Georgia" w:hAnsi="Georgia" w:cs="Times New Roman"/>
          <w:sz w:val="24"/>
          <w:szCs w:val="24"/>
        </w:rPr>
        <w:t>nya achieve all set targets within the SDGs.’</w:t>
      </w:r>
      <w:r w:rsidR="00D57569" w:rsidRPr="00C94B20">
        <w:rPr>
          <w:rFonts w:ascii="Georgia" w:hAnsi="Georgia" w:cs="Times New Roman"/>
          <w:sz w:val="24"/>
          <w:szCs w:val="24"/>
        </w:rPr>
        <w:t xml:space="preserve"> However, </w:t>
      </w:r>
      <w:r w:rsidR="00401910" w:rsidRPr="00C94B20">
        <w:rPr>
          <w:rFonts w:ascii="Georgia" w:hAnsi="Georgia" w:cs="Times New Roman"/>
          <w:sz w:val="24"/>
          <w:szCs w:val="24"/>
        </w:rPr>
        <w:t xml:space="preserve">‘no efforts are made to delineate quantifiable impact on women and men’ in </w:t>
      </w:r>
      <w:r w:rsidR="00DC40A9" w:rsidRPr="00C94B20">
        <w:rPr>
          <w:rFonts w:ascii="Georgia" w:hAnsi="Georgia" w:cs="Times New Roman"/>
          <w:sz w:val="24"/>
          <w:szCs w:val="24"/>
        </w:rPr>
        <w:t>the budgets of these governments.</w:t>
      </w:r>
      <w:r w:rsidR="00D77B50" w:rsidRPr="00C94B20">
        <w:rPr>
          <w:rFonts w:ascii="Georgia" w:hAnsi="Georgia" w:cs="Times New Roman"/>
          <w:sz w:val="24"/>
          <w:szCs w:val="24"/>
        </w:rPr>
        <w:t xml:space="preserve"> The study furthermore </w:t>
      </w:r>
      <w:r w:rsidR="0073626A" w:rsidRPr="00C94B20">
        <w:rPr>
          <w:rFonts w:ascii="Georgia" w:hAnsi="Georgia" w:cs="Times New Roman"/>
          <w:sz w:val="24"/>
          <w:szCs w:val="24"/>
        </w:rPr>
        <w:t>observed</w:t>
      </w:r>
      <w:r w:rsidR="00D77B50" w:rsidRPr="00C94B20">
        <w:rPr>
          <w:rFonts w:ascii="Georgia" w:hAnsi="Georgia" w:cs="Times New Roman"/>
          <w:sz w:val="24"/>
          <w:szCs w:val="24"/>
        </w:rPr>
        <w:t xml:space="preserve"> that ‘gender equality was not a primary consideration in budget allocations, realignments and reporting</w:t>
      </w:r>
      <w:r w:rsidR="00CC602E" w:rsidRPr="00C94B20">
        <w:rPr>
          <w:rFonts w:ascii="Georgia" w:hAnsi="Georgia" w:cs="Times New Roman"/>
          <w:sz w:val="24"/>
          <w:szCs w:val="24"/>
        </w:rPr>
        <w:t>’.</w:t>
      </w:r>
      <w:r w:rsidR="00A966F8" w:rsidRPr="00C94B20">
        <w:rPr>
          <w:rFonts w:ascii="Georgia" w:hAnsi="Georgia" w:cs="Times New Roman"/>
          <w:sz w:val="24"/>
          <w:szCs w:val="24"/>
        </w:rPr>
        <w:t xml:space="preserve"> The report shows among others that the </w:t>
      </w:r>
      <w:r w:rsidR="006A6355" w:rsidRPr="00C94B20">
        <w:rPr>
          <w:rFonts w:ascii="Georgia" w:hAnsi="Georgia" w:cs="Times New Roman"/>
          <w:sz w:val="24"/>
          <w:szCs w:val="24"/>
        </w:rPr>
        <w:t xml:space="preserve">resources allocated to closing gender gaps are limited if compared to the </w:t>
      </w:r>
      <w:r w:rsidR="001D243C" w:rsidRPr="00C94B20">
        <w:rPr>
          <w:rFonts w:ascii="Georgia" w:hAnsi="Georgia" w:cs="Times New Roman"/>
          <w:sz w:val="24"/>
          <w:szCs w:val="24"/>
        </w:rPr>
        <w:t xml:space="preserve">existing </w:t>
      </w:r>
      <w:r w:rsidR="00D858AF" w:rsidRPr="00C94B20">
        <w:rPr>
          <w:rFonts w:ascii="Georgia" w:hAnsi="Georgia" w:cs="Times New Roman"/>
          <w:sz w:val="24"/>
          <w:szCs w:val="24"/>
        </w:rPr>
        <w:t>degree of gender inequality.</w:t>
      </w:r>
    </w:p>
    <w:p w14:paraId="27680CEE" w14:textId="77777777" w:rsidR="00C94B20" w:rsidRDefault="00C94B20" w:rsidP="00EF4F0A">
      <w:pPr>
        <w:jc w:val="both"/>
        <w:rPr>
          <w:rFonts w:ascii="Georgia" w:hAnsi="Georgia" w:cs="Times New Roman"/>
          <w:sz w:val="24"/>
          <w:szCs w:val="24"/>
        </w:rPr>
      </w:pPr>
    </w:p>
    <w:p w14:paraId="776219CB" w14:textId="285FCE2A" w:rsidR="00835D1B" w:rsidRPr="00C94B20" w:rsidRDefault="00835D1B" w:rsidP="00EF4F0A">
      <w:pPr>
        <w:jc w:val="both"/>
        <w:rPr>
          <w:rFonts w:ascii="Georgia" w:eastAsiaTheme="minorEastAsia" w:hAnsi="Georgia" w:cs="Times New Roman"/>
          <w:sz w:val="24"/>
          <w:szCs w:val="24"/>
        </w:rPr>
      </w:pPr>
    </w:p>
    <w:p w14:paraId="04017684" w14:textId="77777777" w:rsidR="00842963" w:rsidRPr="0049594B" w:rsidRDefault="00842963" w:rsidP="00842963">
      <w:pPr>
        <w:pStyle w:val="Heading1"/>
        <w:numPr>
          <w:ilvl w:val="0"/>
          <w:numId w:val="1"/>
        </w:numPr>
        <w:spacing w:before="0" w:after="120" w:line="240" w:lineRule="auto"/>
        <w:rPr>
          <w:rFonts w:ascii="Georgia" w:eastAsia="Constantia" w:hAnsi="Georgia" w:cs="Times New Roman"/>
          <w:b/>
          <w:bCs/>
          <w:color w:val="000000" w:themeColor="text1"/>
          <w:lang w:eastAsia="en-GB"/>
        </w:rPr>
      </w:pPr>
      <w:bookmarkStart w:id="75" w:name="_Toc145928784"/>
      <w:r w:rsidRPr="0049594B">
        <w:rPr>
          <w:rFonts w:ascii="Georgia" w:eastAsia="Constantia" w:hAnsi="Georgia" w:cs="Times New Roman"/>
          <w:b/>
          <w:bCs/>
          <w:color w:val="000000" w:themeColor="text1"/>
          <w:lang w:eastAsia="en-GB"/>
        </w:rPr>
        <w:t>Inequality in the political and societal discourse</w:t>
      </w:r>
      <w:bookmarkEnd w:id="75"/>
    </w:p>
    <w:tbl>
      <w:tblPr>
        <w:tblStyle w:val="TableGrid"/>
        <w:tblW w:w="0" w:type="auto"/>
        <w:tblLook w:val="04A0" w:firstRow="1" w:lastRow="0" w:firstColumn="1" w:lastColumn="0" w:noHBand="0" w:noVBand="1"/>
      </w:tblPr>
      <w:tblGrid>
        <w:gridCol w:w="9805"/>
      </w:tblGrid>
      <w:tr w:rsidR="00842963" w:rsidRPr="009C5581" w14:paraId="71E2EEBF" w14:textId="77777777" w:rsidTr="00A4493C">
        <w:trPr>
          <w:trHeight w:val="4814"/>
        </w:trPr>
        <w:tc>
          <w:tcPr>
            <w:tcW w:w="9805" w:type="dxa"/>
          </w:tcPr>
          <w:p w14:paraId="472C492B" w14:textId="1A73B972" w:rsidR="00842963" w:rsidRPr="00C94B20" w:rsidRDefault="00842963" w:rsidP="00A4493C">
            <w:pPr>
              <w:spacing w:before="120" w:after="120"/>
              <w:jc w:val="both"/>
              <w:rPr>
                <w:rFonts w:ascii="Georgia" w:hAnsi="Georgia" w:cs="Times New Roman"/>
              </w:rPr>
            </w:pPr>
            <w:bookmarkStart w:id="76" w:name="_Toc108017994"/>
            <w:bookmarkStart w:id="77" w:name="_Toc144414485"/>
            <w:r w:rsidRPr="00C94B20">
              <w:rPr>
                <w:rFonts w:ascii="Georgia" w:hAnsi="Georgia" w:cs="Times New Roman"/>
              </w:rPr>
              <w:t xml:space="preserve">Box </w:t>
            </w:r>
            <w:r w:rsidRPr="00C94B20">
              <w:rPr>
                <w:rFonts w:ascii="Georgia" w:hAnsi="Georgia" w:cs="Times New Roman"/>
              </w:rPr>
              <w:fldChar w:fldCharType="begin"/>
            </w:r>
            <w:r w:rsidRPr="00C94B20">
              <w:rPr>
                <w:rFonts w:ascii="Georgia" w:hAnsi="Georgia" w:cs="Times New Roman"/>
              </w:rPr>
              <w:instrText xml:space="preserve"> SEQ Box \* ARABIC </w:instrText>
            </w:r>
            <w:r w:rsidRPr="00C94B20">
              <w:rPr>
                <w:rFonts w:ascii="Georgia" w:hAnsi="Georgia" w:cs="Times New Roman"/>
              </w:rPr>
              <w:fldChar w:fldCharType="separate"/>
            </w:r>
            <w:r w:rsidR="000F6B8E" w:rsidRPr="00C94B20">
              <w:rPr>
                <w:rFonts w:ascii="Georgia" w:hAnsi="Georgia" w:cs="Times New Roman"/>
                <w:noProof/>
              </w:rPr>
              <w:t>3</w:t>
            </w:r>
            <w:r w:rsidRPr="00C94B20">
              <w:rPr>
                <w:rFonts w:ascii="Georgia" w:hAnsi="Georgia" w:cs="Times New Roman"/>
              </w:rPr>
              <w:fldChar w:fldCharType="end"/>
            </w:r>
            <w:r w:rsidRPr="00C94B20">
              <w:rPr>
                <w:rFonts w:ascii="Georgia" w:hAnsi="Georgia" w:cs="Times New Roman"/>
              </w:rPr>
              <w:t xml:space="preserve">: Summary of inequality in the political </w:t>
            </w:r>
            <w:r w:rsidR="002C65DA" w:rsidRPr="00C94B20">
              <w:rPr>
                <w:rFonts w:ascii="Georgia" w:hAnsi="Georgia" w:cs="Times New Roman"/>
              </w:rPr>
              <w:t xml:space="preserve">and societal </w:t>
            </w:r>
            <w:r w:rsidRPr="00C94B20">
              <w:rPr>
                <w:rFonts w:ascii="Georgia" w:hAnsi="Georgia" w:cs="Times New Roman"/>
              </w:rPr>
              <w:t>discourse</w:t>
            </w:r>
            <w:bookmarkEnd w:id="76"/>
            <w:bookmarkEnd w:id="77"/>
          </w:p>
          <w:p w14:paraId="6091973E" w14:textId="77777777" w:rsidR="00215B5D" w:rsidRPr="00C94B20" w:rsidRDefault="004547A2" w:rsidP="00A4493C">
            <w:pPr>
              <w:pStyle w:val="ListParagraph"/>
              <w:numPr>
                <w:ilvl w:val="0"/>
                <w:numId w:val="18"/>
              </w:numPr>
              <w:tabs>
                <w:tab w:val="left" w:pos="3960"/>
              </w:tabs>
              <w:spacing w:after="120"/>
              <w:jc w:val="both"/>
              <w:rPr>
                <w:rFonts w:ascii="Georgia" w:hAnsi="Georgia" w:cs="Times New Roman"/>
                <w:i/>
                <w:iCs/>
              </w:rPr>
            </w:pPr>
            <w:r w:rsidRPr="00C94B20">
              <w:rPr>
                <w:rFonts w:ascii="Georgia" w:hAnsi="Georgia" w:cs="Times New Roman"/>
                <w:i/>
                <w:iCs/>
              </w:rPr>
              <w:t xml:space="preserve"> </w:t>
            </w:r>
            <w:r w:rsidR="00215B5D" w:rsidRPr="00C94B20">
              <w:rPr>
                <w:rFonts w:ascii="Georgia" w:hAnsi="Georgia" w:cs="Times New Roman"/>
                <w:i/>
                <w:iCs/>
              </w:rPr>
              <w:t>The 2010 Constitution was a cornerstone in the evolution of the political discourse on inequality.</w:t>
            </w:r>
          </w:p>
          <w:p w14:paraId="4C64226E" w14:textId="77777777" w:rsidR="00215B5D" w:rsidRPr="00C94B20" w:rsidRDefault="00215B5D" w:rsidP="00A4493C">
            <w:pPr>
              <w:pStyle w:val="ListParagraph"/>
              <w:numPr>
                <w:ilvl w:val="0"/>
                <w:numId w:val="18"/>
              </w:numPr>
              <w:tabs>
                <w:tab w:val="left" w:pos="3960"/>
              </w:tabs>
              <w:spacing w:after="120"/>
              <w:jc w:val="both"/>
              <w:rPr>
                <w:rFonts w:ascii="Georgia" w:hAnsi="Georgia" w:cs="Times New Roman"/>
                <w:i/>
                <w:iCs/>
              </w:rPr>
            </w:pPr>
            <w:r w:rsidRPr="00C94B20">
              <w:rPr>
                <w:rFonts w:ascii="Georgia" w:hAnsi="Georgia" w:cs="Times New Roman"/>
                <w:i/>
                <w:iCs/>
              </w:rPr>
              <w:t xml:space="preserve">The long-term development strategy Kenya Vision 2030 explicitly aims at reduction of inequality. </w:t>
            </w:r>
          </w:p>
          <w:p w14:paraId="3889A7EF" w14:textId="77777777" w:rsidR="00215B5D" w:rsidRPr="00C94B20" w:rsidRDefault="00215B5D" w:rsidP="00A4493C">
            <w:pPr>
              <w:pStyle w:val="ListParagraph"/>
              <w:numPr>
                <w:ilvl w:val="0"/>
                <w:numId w:val="18"/>
              </w:numPr>
              <w:tabs>
                <w:tab w:val="left" w:pos="3960"/>
              </w:tabs>
              <w:spacing w:after="120"/>
              <w:jc w:val="both"/>
              <w:rPr>
                <w:rFonts w:ascii="Georgia" w:hAnsi="Georgia" w:cs="Times New Roman"/>
                <w:i/>
                <w:iCs/>
              </w:rPr>
            </w:pPr>
            <w:r w:rsidRPr="00C94B20">
              <w:rPr>
                <w:rFonts w:ascii="Georgia" w:hAnsi="Georgia" w:cs="Times New Roman"/>
                <w:i/>
                <w:iCs/>
              </w:rPr>
              <w:t xml:space="preserve">Other strategies and policies developed in the context of Kenya Vision 2030 are aligned to the objectives of the long-term strategy. </w:t>
            </w:r>
          </w:p>
          <w:p w14:paraId="13FC4ABA" w14:textId="43754CF6" w:rsidR="00215B5D" w:rsidRPr="00C94B20" w:rsidRDefault="00215B5D" w:rsidP="00A4493C">
            <w:pPr>
              <w:pStyle w:val="ListParagraph"/>
              <w:numPr>
                <w:ilvl w:val="0"/>
                <w:numId w:val="18"/>
              </w:numPr>
              <w:tabs>
                <w:tab w:val="left" w:pos="3960"/>
              </w:tabs>
              <w:spacing w:after="120"/>
              <w:jc w:val="both"/>
              <w:rPr>
                <w:rFonts w:ascii="Georgia" w:hAnsi="Georgia" w:cs="Times New Roman"/>
                <w:i/>
                <w:iCs/>
              </w:rPr>
            </w:pPr>
            <w:r w:rsidRPr="00C94B20">
              <w:rPr>
                <w:rFonts w:ascii="Georgia" w:hAnsi="Georgia" w:cs="Times New Roman"/>
                <w:i/>
                <w:iCs/>
              </w:rPr>
              <w:t xml:space="preserve">The </w:t>
            </w:r>
            <w:r w:rsidR="00EB224B" w:rsidRPr="00C94B20">
              <w:rPr>
                <w:rFonts w:ascii="Georgia" w:hAnsi="Georgia" w:cs="Times New Roman"/>
                <w:i/>
                <w:iCs/>
              </w:rPr>
              <w:t xml:space="preserve">current </w:t>
            </w:r>
            <w:r w:rsidRPr="00C94B20">
              <w:rPr>
                <w:rFonts w:ascii="Georgia" w:hAnsi="Georgia" w:cs="Times New Roman"/>
                <w:i/>
                <w:iCs/>
              </w:rPr>
              <w:t xml:space="preserve">government programme aims at raising agricultural productivity to address poverty, </w:t>
            </w:r>
            <w:r w:rsidR="00946236" w:rsidRPr="00C94B20">
              <w:rPr>
                <w:rFonts w:ascii="Georgia" w:hAnsi="Georgia" w:cs="Times New Roman"/>
                <w:i/>
                <w:iCs/>
              </w:rPr>
              <w:t xml:space="preserve">which may also contribute to reducing </w:t>
            </w:r>
            <w:r w:rsidRPr="00C94B20">
              <w:rPr>
                <w:rFonts w:ascii="Georgia" w:hAnsi="Georgia" w:cs="Times New Roman"/>
                <w:i/>
                <w:iCs/>
              </w:rPr>
              <w:t xml:space="preserve">inequality. </w:t>
            </w:r>
          </w:p>
          <w:p w14:paraId="50CB7F4F" w14:textId="77777777" w:rsidR="00215B5D" w:rsidRPr="00C94B20" w:rsidRDefault="00215B5D" w:rsidP="00A4493C">
            <w:pPr>
              <w:pStyle w:val="ListParagraph"/>
              <w:numPr>
                <w:ilvl w:val="0"/>
                <w:numId w:val="18"/>
              </w:numPr>
              <w:tabs>
                <w:tab w:val="left" w:pos="3960"/>
              </w:tabs>
              <w:spacing w:after="120"/>
              <w:jc w:val="both"/>
              <w:rPr>
                <w:rFonts w:ascii="Georgia" w:hAnsi="Georgia" w:cs="Times New Roman"/>
                <w:i/>
                <w:iCs/>
              </w:rPr>
            </w:pPr>
            <w:r w:rsidRPr="00C94B20">
              <w:rPr>
                <w:rFonts w:ascii="Georgia" w:hAnsi="Georgia" w:cs="Times New Roman"/>
                <w:i/>
                <w:iCs/>
              </w:rPr>
              <w:t>The programme puts more emphasis on job creation in smallholder agriculture and the non-agricultural informal sector. It aims to finance its higher public expenditure through a tax reform that raises the tax revenue.</w:t>
            </w:r>
          </w:p>
          <w:p w14:paraId="29DFED51" w14:textId="77777777" w:rsidR="00215B5D" w:rsidRPr="00C94B20" w:rsidRDefault="00215B5D" w:rsidP="00A4493C">
            <w:pPr>
              <w:pStyle w:val="ListParagraph"/>
              <w:numPr>
                <w:ilvl w:val="0"/>
                <w:numId w:val="18"/>
              </w:numPr>
              <w:tabs>
                <w:tab w:val="left" w:pos="3960"/>
              </w:tabs>
              <w:spacing w:after="120"/>
              <w:jc w:val="both"/>
              <w:rPr>
                <w:rFonts w:ascii="Georgia" w:hAnsi="Georgia" w:cs="Times New Roman"/>
                <w:i/>
                <w:iCs/>
              </w:rPr>
            </w:pPr>
            <w:r w:rsidRPr="00C94B20">
              <w:rPr>
                <w:rFonts w:ascii="Georgia" w:hAnsi="Georgia" w:cs="Times New Roman"/>
                <w:i/>
                <w:iCs/>
              </w:rPr>
              <w:t xml:space="preserve">In Kenyan society, socio-economic inequality starts to be understood as one of the forms in which inequality is perceived as problematic, aside from the inequality between counties. </w:t>
            </w:r>
          </w:p>
          <w:p w14:paraId="5B0F37F7" w14:textId="0E9FFA52" w:rsidR="00842963" w:rsidRPr="009C5581" w:rsidRDefault="00215B5D" w:rsidP="00A4493C">
            <w:pPr>
              <w:pStyle w:val="ListParagraph"/>
              <w:numPr>
                <w:ilvl w:val="0"/>
                <w:numId w:val="18"/>
              </w:numPr>
              <w:tabs>
                <w:tab w:val="left" w:pos="3960"/>
              </w:tabs>
              <w:spacing w:after="120"/>
              <w:jc w:val="both"/>
              <w:rPr>
                <w:rFonts w:ascii="Times New Roman" w:hAnsi="Times New Roman" w:cs="Times New Roman"/>
                <w:i/>
                <w:iCs/>
                <w:sz w:val="20"/>
                <w:szCs w:val="20"/>
              </w:rPr>
            </w:pPr>
            <w:r w:rsidRPr="00C94B20">
              <w:rPr>
                <w:rFonts w:ascii="Georgia" w:hAnsi="Georgia" w:cs="Times New Roman"/>
                <w:i/>
                <w:iCs/>
              </w:rPr>
              <w:t>Donors align their strategies to the priorities of Kenya Vision 2030 and other national strategies and policies.</w:t>
            </w:r>
          </w:p>
        </w:tc>
      </w:tr>
    </w:tbl>
    <w:p w14:paraId="29EE046F" w14:textId="77777777" w:rsidR="00842963" w:rsidRPr="009C5581" w:rsidRDefault="00842963" w:rsidP="00842963">
      <w:pPr>
        <w:spacing w:after="0" w:line="240" w:lineRule="auto"/>
        <w:rPr>
          <w:rFonts w:ascii="Times New Roman" w:hAnsi="Times New Roman" w:cs="Times New Roman"/>
          <w:lang w:eastAsia="en-GB"/>
        </w:rPr>
      </w:pPr>
    </w:p>
    <w:p w14:paraId="2B2CD14B" w14:textId="0187CB88" w:rsidR="00842963" w:rsidRPr="00C94B20" w:rsidRDefault="00842963" w:rsidP="00842963">
      <w:pPr>
        <w:pStyle w:val="Heading2"/>
        <w:numPr>
          <w:ilvl w:val="1"/>
          <w:numId w:val="1"/>
        </w:numPr>
        <w:spacing w:before="120" w:after="120" w:line="240" w:lineRule="auto"/>
        <w:ind w:left="562" w:hanging="562"/>
        <w:rPr>
          <w:rFonts w:ascii="Georgia" w:hAnsi="Georgia" w:cs="Times New Roman"/>
          <w:color w:val="auto"/>
          <w:sz w:val="24"/>
          <w:szCs w:val="24"/>
          <w:shd w:val="clear" w:color="auto" w:fill="FFFFFF"/>
        </w:rPr>
      </w:pPr>
      <w:bookmarkStart w:id="78" w:name="_Toc145928785"/>
      <w:r w:rsidRPr="00C94B20">
        <w:rPr>
          <w:rFonts w:ascii="Georgia" w:hAnsi="Georgia" w:cs="Times New Roman"/>
          <w:color w:val="auto"/>
          <w:sz w:val="24"/>
          <w:szCs w:val="24"/>
          <w:shd w:val="clear" w:color="auto" w:fill="FFFFFF"/>
        </w:rPr>
        <w:t>Existing policies and strategies</w:t>
      </w:r>
      <w:bookmarkEnd w:id="78"/>
      <w:r w:rsidRPr="00C94B20">
        <w:rPr>
          <w:rFonts w:ascii="Georgia" w:hAnsi="Georgia" w:cs="Times New Roman"/>
          <w:color w:val="auto"/>
          <w:sz w:val="24"/>
          <w:szCs w:val="24"/>
          <w:shd w:val="clear" w:color="auto" w:fill="FFFFFF"/>
        </w:rPr>
        <w:t xml:space="preserve"> </w:t>
      </w:r>
    </w:p>
    <w:p w14:paraId="11A9AF54" w14:textId="0616437A" w:rsidR="000C3C4B" w:rsidRPr="00C94B20" w:rsidRDefault="000C3C4B" w:rsidP="000C3C4B">
      <w:pPr>
        <w:jc w:val="both"/>
        <w:rPr>
          <w:rFonts w:ascii="Georgia" w:hAnsi="Georgia" w:cs="Times New Roman"/>
          <w:sz w:val="24"/>
          <w:szCs w:val="24"/>
        </w:rPr>
      </w:pPr>
      <w:r w:rsidRPr="00C94B20">
        <w:rPr>
          <w:rFonts w:ascii="Georgia" w:hAnsi="Georgia" w:cs="Times New Roman"/>
          <w:i/>
          <w:iCs/>
          <w:sz w:val="24"/>
          <w:szCs w:val="24"/>
        </w:rPr>
        <w:t>Kenya Vision 2030</w:t>
      </w:r>
      <w:r w:rsidRPr="00C94B20">
        <w:rPr>
          <w:rFonts w:ascii="Georgia" w:hAnsi="Georgia" w:cs="Times New Roman"/>
          <w:sz w:val="24"/>
          <w:szCs w:val="24"/>
        </w:rPr>
        <w:t xml:space="preserve"> is the long-term development strategy developed by the Government of Kenya on the basis of a participatory and consultative process that took place in 2006/07. The strategy was launched in 2008 and has three main pillars: (1) an economic and macro pillar; (2) a social pillar; and (3) a political pillar; it furthermore contains so-called ‘foundations for the pillars’.</w:t>
      </w:r>
      <w:r w:rsidRPr="00C94B20">
        <w:rPr>
          <w:rStyle w:val="FootnoteReference"/>
          <w:rFonts w:ascii="Georgia" w:hAnsi="Georgia" w:cs="Times New Roman"/>
          <w:sz w:val="24"/>
          <w:szCs w:val="24"/>
        </w:rPr>
        <w:footnoteReference w:id="39"/>
      </w:r>
      <w:r w:rsidRPr="00C94B20">
        <w:rPr>
          <w:rFonts w:ascii="Georgia" w:hAnsi="Georgia" w:cs="Times New Roman"/>
          <w:sz w:val="24"/>
          <w:szCs w:val="24"/>
        </w:rPr>
        <w:t xml:space="preserve"> Kenya Vision 2030 aims among others at reduction of inequality </w:t>
      </w:r>
      <w:r w:rsidR="00526AB0" w:rsidRPr="00C94B20">
        <w:rPr>
          <w:rFonts w:ascii="Georgia" w:hAnsi="Georgia" w:cs="Times New Roman"/>
          <w:sz w:val="24"/>
          <w:szCs w:val="24"/>
        </w:rPr>
        <w:t xml:space="preserve">(SDG 10) </w:t>
      </w:r>
      <w:r w:rsidRPr="00C94B20">
        <w:rPr>
          <w:rFonts w:ascii="Georgia" w:hAnsi="Georgia" w:cs="Times New Roman"/>
          <w:sz w:val="24"/>
          <w:szCs w:val="24"/>
        </w:rPr>
        <w:t>and</w:t>
      </w:r>
      <w:r w:rsidR="00A36092" w:rsidRPr="00C94B20">
        <w:rPr>
          <w:rFonts w:ascii="Georgia" w:hAnsi="Georgia" w:cs="Times New Roman"/>
          <w:sz w:val="24"/>
          <w:szCs w:val="24"/>
        </w:rPr>
        <w:t xml:space="preserve"> at </w:t>
      </w:r>
      <w:r w:rsidR="0000393A" w:rsidRPr="00C94B20">
        <w:rPr>
          <w:rFonts w:ascii="Georgia" w:hAnsi="Georgia" w:cs="Times New Roman"/>
          <w:sz w:val="24"/>
          <w:szCs w:val="24"/>
        </w:rPr>
        <w:t xml:space="preserve">achieving </w:t>
      </w:r>
      <w:r w:rsidR="00526AB0" w:rsidRPr="00C94B20">
        <w:rPr>
          <w:rFonts w:ascii="Georgia" w:hAnsi="Georgia" w:cs="Times New Roman"/>
          <w:sz w:val="24"/>
          <w:szCs w:val="24"/>
        </w:rPr>
        <w:t>gen</w:t>
      </w:r>
      <w:r w:rsidR="00A36092" w:rsidRPr="00C94B20">
        <w:rPr>
          <w:rFonts w:ascii="Georgia" w:hAnsi="Georgia" w:cs="Times New Roman"/>
          <w:sz w:val="24"/>
          <w:szCs w:val="24"/>
        </w:rPr>
        <w:t>d</w:t>
      </w:r>
      <w:r w:rsidR="00526AB0" w:rsidRPr="00C94B20">
        <w:rPr>
          <w:rFonts w:ascii="Georgia" w:hAnsi="Georgia" w:cs="Times New Roman"/>
          <w:sz w:val="24"/>
          <w:szCs w:val="24"/>
        </w:rPr>
        <w:t xml:space="preserve">er </w:t>
      </w:r>
      <w:r w:rsidR="0000393A" w:rsidRPr="00C94B20">
        <w:rPr>
          <w:rFonts w:ascii="Georgia" w:hAnsi="Georgia" w:cs="Times New Roman"/>
          <w:sz w:val="24"/>
          <w:szCs w:val="24"/>
        </w:rPr>
        <w:t xml:space="preserve">equality (SDG 5). </w:t>
      </w:r>
      <w:r w:rsidR="007A296B" w:rsidRPr="00C94B20">
        <w:rPr>
          <w:rFonts w:ascii="Georgia" w:hAnsi="Georgia" w:cs="Times New Roman"/>
          <w:sz w:val="24"/>
          <w:szCs w:val="24"/>
        </w:rPr>
        <w:t xml:space="preserve">The NGEC monitors the implementation of </w:t>
      </w:r>
      <w:r w:rsidR="00CB1D68" w:rsidRPr="00C94B20">
        <w:rPr>
          <w:rFonts w:ascii="Georgia" w:hAnsi="Georgia" w:cs="Times New Roman"/>
          <w:sz w:val="24"/>
          <w:szCs w:val="24"/>
        </w:rPr>
        <w:t xml:space="preserve">the strategy and particularly the progress </w:t>
      </w:r>
      <w:r w:rsidR="00BB7E5C" w:rsidRPr="00C94B20">
        <w:rPr>
          <w:rFonts w:ascii="Georgia" w:hAnsi="Georgia" w:cs="Times New Roman"/>
          <w:sz w:val="24"/>
          <w:szCs w:val="24"/>
        </w:rPr>
        <w:t>concerning the SDGs 5 and 10.</w:t>
      </w:r>
      <w:r w:rsidRPr="00C94B20">
        <w:rPr>
          <w:rFonts w:ascii="Georgia" w:hAnsi="Georgia" w:cs="Times New Roman"/>
          <w:sz w:val="24"/>
          <w:szCs w:val="24"/>
        </w:rPr>
        <w:t xml:space="preserve"> </w:t>
      </w:r>
      <w:r w:rsidR="0000393A" w:rsidRPr="00C94B20">
        <w:rPr>
          <w:rFonts w:ascii="Georgia" w:hAnsi="Georgia" w:cs="Times New Roman"/>
          <w:sz w:val="24"/>
          <w:szCs w:val="24"/>
        </w:rPr>
        <w:t xml:space="preserve">Kenya Vision 2030 </w:t>
      </w:r>
      <w:r w:rsidRPr="00C94B20">
        <w:rPr>
          <w:rFonts w:ascii="Georgia" w:hAnsi="Georgia" w:cs="Times New Roman"/>
          <w:sz w:val="24"/>
          <w:szCs w:val="24"/>
        </w:rPr>
        <w:t>is implemented by successive five-year medium-term plans (MTPs), which encompass programmes, policies and projects envisioned by the long-term strategy. The first two MTPs covered the periods 2008-2012 and 2013-2017, respectively. MTP3 covers the period 2018-2022. In line with MTP3 ‘and building on the progress made so far under Vision 2030’, the Kenyan Government has in recent years been implementing the so-called “Big Four” Agenda of the former President Uhuru Kenyatta, which comprised food security, affordable housing, manufacturing and affordable healthcare for all. This agenda was ‘designed to help achieve the social and economic pillars of our Vision 2030 and the development aspirations espoused in the Kenyan Constitution.’ Actualization of policies and programmes under each pillar was ‘expected to accelerate and sustain inclusive growth, create opportunities for decent jobs, reduce poverty and income inequality and ensure that we create a healthy and food secure society in which Kenyans have access to affordable and decent housing.’</w:t>
      </w:r>
      <w:r w:rsidRPr="00C94B20">
        <w:rPr>
          <w:rStyle w:val="FootnoteReference"/>
          <w:rFonts w:ascii="Georgia" w:hAnsi="Georgia" w:cs="Times New Roman"/>
          <w:sz w:val="24"/>
          <w:szCs w:val="24"/>
        </w:rPr>
        <w:footnoteReference w:id="40"/>
      </w:r>
      <w:r w:rsidR="00F033C1" w:rsidRPr="00C94B20">
        <w:rPr>
          <w:rFonts w:ascii="Georgia" w:hAnsi="Georgia" w:cs="Times New Roman"/>
          <w:sz w:val="24"/>
          <w:szCs w:val="24"/>
        </w:rPr>
        <w:t xml:space="preserve"> The MTP IV 2022/23-2027/28 is ready and is grounded on the transition of</w:t>
      </w:r>
      <w:r w:rsidR="00A51A57" w:rsidRPr="00C94B20">
        <w:rPr>
          <w:rFonts w:ascii="Georgia" w:hAnsi="Georgia" w:cs="Times New Roman"/>
          <w:sz w:val="24"/>
          <w:szCs w:val="24"/>
        </w:rPr>
        <w:t xml:space="preserve"> the</w:t>
      </w:r>
      <w:r w:rsidR="00F033C1" w:rsidRPr="00C94B20">
        <w:rPr>
          <w:rFonts w:ascii="Georgia" w:hAnsi="Georgia" w:cs="Times New Roman"/>
          <w:sz w:val="24"/>
          <w:szCs w:val="24"/>
        </w:rPr>
        <w:t xml:space="preserve"> Big Four Agenda to the Bottom-</w:t>
      </w:r>
      <w:r w:rsidR="004E73ED" w:rsidRPr="00C94B20">
        <w:rPr>
          <w:rFonts w:ascii="Georgia" w:hAnsi="Georgia" w:cs="Times New Roman"/>
          <w:sz w:val="24"/>
          <w:szCs w:val="24"/>
        </w:rPr>
        <w:t>u</w:t>
      </w:r>
      <w:r w:rsidR="00F033C1" w:rsidRPr="00C94B20">
        <w:rPr>
          <w:rFonts w:ascii="Georgia" w:hAnsi="Georgia" w:cs="Times New Roman"/>
          <w:sz w:val="24"/>
          <w:szCs w:val="24"/>
        </w:rPr>
        <w:t>p Economic Transformative Agenda</w:t>
      </w:r>
      <w:r w:rsidR="004E73ED" w:rsidRPr="00C94B20">
        <w:rPr>
          <w:rFonts w:ascii="Georgia" w:hAnsi="Georgia" w:cs="Times New Roman"/>
          <w:sz w:val="24"/>
          <w:szCs w:val="24"/>
        </w:rPr>
        <w:t xml:space="preserve"> (BETA)</w:t>
      </w:r>
      <w:r w:rsidR="00F033C1" w:rsidRPr="00C94B20">
        <w:rPr>
          <w:rFonts w:ascii="Georgia" w:hAnsi="Georgia" w:cs="Times New Roman"/>
          <w:sz w:val="24"/>
          <w:szCs w:val="24"/>
        </w:rPr>
        <w:t>.</w:t>
      </w:r>
    </w:p>
    <w:p w14:paraId="35B7D86C" w14:textId="3C4DDD1B" w:rsidR="000C3C4B" w:rsidRPr="00C94B20" w:rsidRDefault="000C3C4B" w:rsidP="000C3C4B">
      <w:pPr>
        <w:jc w:val="both"/>
        <w:rPr>
          <w:rFonts w:ascii="Georgia" w:hAnsi="Georgia" w:cs="Times New Roman"/>
          <w:sz w:val="24"/>
          <w:szCs w:val="24"/>
        </w:rPr>
      </w:pPr>
      <w:r w:rsidRPr="00C94B20">
        <w:rPr>
          <w:rFonts w:ascii="Georgia" w:hAnsi="Georgia" w:cs="Times New Roman"/>
          <w:sz w:val="24"/>
          <w:szCs w:val="24"/>
        </w:rPr>
        <w:t xml:space="preserve">A key policy formulated to address inequality is the </w:t>
      </w:r>
      <w:r w:rsidRPr="00C94B20">
        <w:rPr>
          <w:rFonts w:ascii="Georgia" w:hAnsi="Georgia" w:cs="Times New Roman"/>
          <w:i/>
          <w:iCs/>
          <w:sz w:val="24"/>
          <w:szCs w:val="24"/>
        </w:rPr>
        <w:t>National Social Protection Policy</w:t>
      </w:r>
      <w:r w:rsidRPr="00C94B20">
        <w:rPr>
          <w:rFonts w:ascii="Georgia" w:hAnsi="Georgia" w:cs="Times New Roman"/>
          <w:sz w:val="24"/>
          <w:szCs w:val="24"/>
        </w:rPr>
        <w:t xml:space="preserve"> of 2011, which</w:t>
      </w:r>
      <w:r w:rsidR="00A57A9A" w:rsidRPr="00C94B20">
        <w:rPr>
          <w:rFonts w:ascii="Georgia" w:hAnsi="Georgia" w:cs="Times New Roman"/>
          <w:sz w:val="24"/>
          <w:szCs w:val="24"/>
        </w:rPr>
        <w:t xml:space="preserve"> </w:t>
      </w:r>
      <w:r w:rsidRPr="00C94B20">
        <w:rPr>
          <w:rFonts w:ascii="Georgia" w:hAnsi="Georgia" w:cs="Times New Roman"/>
          <w:sz w:val="24"/>
          <w:szCs w:val="24"/>
        </w:rPr>
        <w:t xml:space="preserve">encompassed three pillars of social protection: social assistance, social security and social health insurance. The policy was revised in 2019. The </w:t>
      </w:r>
      <w:r w:rsidRPr="00C94B20">
        <w:rPr>
          <w:rFonts w:ascii="Georgia" w:hAnsi="Georgia" w:cs="Times New Roman"/>
          <w:i/>
          <w:iCs/>
          <w:sz w:val="24"/>
          <w:szCs w:val="24"/>
        </w:rPr>
        <w:t>revised Kenya Social Protection Policy</w:t>
      </w:r>
      <w:r w:rsidRPr="00C94B20">
        <w:rPr>
          <w:rFonts w:ascii="Georgia" w:hAnsi="Georgia" w:cs="Times New Roman"/>
          <w:sz w:val="24"/>
          <w:szCs w:val="24"/>
        </w:rPr>
        <w:t xml:space="preserve"> reorganises social protection into a system with four pillars: income security, social health protection, shock-responsive social protection, as well as complementary programmes (MoL&amp;SP, 2020: 5; MoL, 2021: 5). </w:t>
      </w:r>
    </w:p>
    <w:p w14:paraId="68F675D5" w14:textId="77777777" w:rsidR="000C3C4B" w:rsidRPr="00C94B20" w:rsidRDefault="000C3C4B" w:rsidP="000C3C4B">
      <w:pPr>
        <w:jc w:val="both"/>
        <w:rPr>
          <w:rFonts w:ascii="Georgia" w:hAnsi="Georgia" w:cs="Times New Roman"/>
          <w:sz w:val="24"/>
          <w:szCs w:val="24"/>
        </w:rPr>
      </w:pPr>
      <w:r w:rsidRPr="00C94B20">
        <w:rPr>
          <w:rFonts w:ascii="Georgia" w:hAnsi="Georgia" w:cs="Times New Roman"/>
          <w:sz w:val="24"/>
          <w:szCs w:val="24"/>
        </w:rPr>
        <w:t xml:space="preserve">In relation to affordable healthcare for all, one of the three specific objectives of the </w:t>
      </w:r>
      <w:r w:rsidRPr="00C94B20">
        <w:rPr>
          <w:rFonts w:ascii="Georgia" w:hAnsi="Georgia" w:cs="Times New Roman"/>
          <w:i/>
          <w:iCs/>
          <w:sz w:val="24"/>
          <w:szCs w:val="24"/>
        </w:rPr>
        <w:t>Kenya Health Financing Strategy 2020-2030</w:t>
      </w:r>
      <w:r w:rsidRPr="00C94B20">
        <w:rPr>
          <w:rFonts w:ascii="Georgia" w:hAnsi="Georgia" w:cs="Times New Roman"/>
          <w:sz w:val="24"/>
          <w:szCs w:val="24"/>
        </w:rPr>
        <w:t xml:space="preserve"> developed against the background of Kenya Vision 2030 and the Kenya Health Policy 2014–2030 is to ‘ensure equity in the mobilization and allocation of health funds to guarantee fairness in use’ (MoH, 2020: 7). </w:t>
      </w:r>
    </w:p>
    <w:p w14:paraId="52135AF9" w14:textId="77777777" w:rsidR="000C3C4B" w:rsidRPr="00C94B20" w:rsidRDefault="000C3C4B" w:rsidP="000C3C4B">
      <w:pPr>
        <w:jc w:val="both"/>
        <w:rPr>
          <w:rFonts w:ascii="Georgia" w:hAnsi="Georgia" w:cs="Times New Roman"/>
          <w:sz w:val="24"/>
          <w:szCs w:val="24"/>
        </w:rPr>
      </w:pPr>
      <w:r w:rsidRPr="00C94B20">
        <w:rPr>
          <w:rFonts w:ascii="Georgia" w:hAnsi="Georgia" w:cs="Times New Roman"/>
          <w:sz w:val="24"/>
          <w:szCs w:val="24"/>
        </w:rPr>
        <w:t xml:space="preserve">In 2012, the Ministry of Education elaborated a </w:t>
      </w:r>
      <w:r w:rsidRPr="00C94B20">
        <w:rPr>
          <w:rFonts w:ascii="Georgia" w:hAnsi="Georgia" w:cs="Times New Roman"/>
          <w:i/>
          <w:iCs/>
          <w:sz w:val="24"/>
          <w:szCs w:val="24"/>
        </w:rPr>
        <w:t>Policy Framework for Education</w:t>
      </w:r>
      <w:r w:rsidRPr="00C94B20">
        <w:rPr>
          <w:rFonts w:ascii="Georgia" w:hAnsi="Georgia" w:cs="Times New Roman"/>
          <w:sz w:val="24"/>
          <w:szCs w:val="24"/>
        </w:rPr>
        <w:t xml:space="preserve">, which emphasizes the Free Primary Education introduced in 2003 and the Free Day Secondary Education introduced in 2008 and a policy to improve the coverage of marginalized, hard-to-reach and vulnerable groups (MoE, 2012). Later on, the Ministry developed the </w:t>
      </w:r>
      <w:r w:rsidRPr="00C94B20">
        <w:rPr>
          <w:rFonts w:ascii="Georgia" w:hAnsi="Georgia" w:cs="Times New Roman"/>
          <w:i/>
          <w:iCs/>
          <w:sz w:val="24"/>
          <w:szCs w:val="24"/>
        </w:rPr>
        <w:t>Education for Sustainable Development Policy for the Education Sector</w:t>
      </w:r>
      <w:r w:rsidRPr="00C94B20">
        <w:rPr>
          <w:rFonts w:ascii="Georgia" w:hAnsi="Georgia" w:cs="Times New Roman"/>
          <w:sz w:val="24"/>
          <w:szCs w:val="24"/>
        </w:rPr>
        <w:t xml:space="preserve"> (MoE, 2017). The objective of the policy is ‘to re-orient education and learning towards sustainable development’. The policy does not explicitly refer to inequality, but includes measures for accelerating solutions at local level for disadvantaged communities. </w:t>
      </w:r>
    </w:p>
    <w:p w14:paraId="4B95E031" w14:textId="77777777" w:rsidR="000C3C4B" w:rsidRPr="00C94B20" w:rsidRDefault="000C3C4B" w:rsidP="000C3C4B">
      <w:pPr>
        <w:jc w:val="both"/>
        <w:rPr>
          <w:rFonts w:ascii="Georgia" w:hAnsi="Georgia" w:cs="Times New Roman"/>
          <w:sz w:val="24"/>
          <w:szCs w:val="24"/>
        </w:rPr>
      </w:pPr>
      <w:r w:rsidRPr="00C94B20">
        <w:rPr>
          <w:rFonts w:ascii="Georgia" w:hAnsi="Georgia" w:cs="Times New Roman"/>
          <w:sz w:val="24"/>
          <w:szCs w:val="24"/>
        </w:rPr>
        <w:t xml:space="preserve"> The </w:t>
      </w:r>
      <w:r w:rsidRPr="00C94B20">
        <w:rPr>
          <w:rFonts w:ascii="Georgia" w:hAnsi="Georgia" w:cs="Times New Roman"/>
          <w:i/>
          <w:iCs/>
          <w:sz w:val="24"/>
          <w:szCs w:val="24"/>
        </w:rPr>
        <w:t>3</w:t>
      </w:r>
      <w:r w:rsidRPr="00C94B20">
        <w:rPr>
          <w:rFonts w:ascii="Georgia" w:hAnsi="Georgia" w:cs="Times New Roman"/>
          <w:i/>
          <w:iCs/>
          <w:sz w:val="24"/>
          <w:szCs w:val="24"/>
          <w:vertAlign w:val="superscript"/>
        </w:rPr>
        <w:t>rd</w:t>
      </w:r>
      <w:r w:rsidRPr="00C94B20">
        <w:rPr>
          <w:rFonts w:ascii="Georgia" w:hAnsi="Georgia" w:cs="Times New Roman"/>
          <w:i/>
          <w:iCs/>
          <w:sz w:val="24"/>
          <w:szCs w:val="24"/>
        </w:rPr>
        <w:t xml:space="preserve"> Decent Work Country Programme 2021-2024</w:t>
      </w:r>
      <w:r w:rsidRPr="00C94B20">
        <w:rPr>
          <w:rFonts w:ascii="Georgia" w:hAnsi="Georgia" w:cs="Times New Roman"/>
          <w:sz w:val="24"/>
          <w:szCs w:val="24"/>
        </w:rPr>
        <w:t xml:space="preserve"> formulated by the Ministry of Labour and her social partners in collaboration with the ILO is also aligned to Kenya Vision 2030. It envisages, among others, a reducing of gender inequalities, strengthening of social protecting programmes and systems, increases in productivity and increased access to decent jobs, particularly for disadvantaged groups of the population (MoL, 2021).</w:t>
      </w:r>
    </w:p>
    <w:p w14:paraId="1CA8B4C7" w14:textId="1F274516" w:rsidR="00D81F02" w:rsidRPr="00C94B20" w:rsidRDefault="000C3C4B" w:rsidP="00D81F02">
      <w:pPr>
        <w:jc w:val="both"/>
        <w:rPr>
          <w:rFonts w:ascii="Georgia" w:hAnsi="Georgia" w:cs="Times New Roman"/>
          <w:sz w:val="24"/>
          <w:szCs w:val="24"/>
        </w:rPr>
      </w:pPr>
      <w:r w:rsidRPr="00C94B20">
        <w:rPr>
          <w:rFonts w:ascii="Georgia" w:hAnsi="Georgia" w:cs="Times New Roman"/>
          <w:sz w:val="24"/>
          <w:szCs w:val="24"/>
        </w:rPr>
        <w:t xml:space="preserve">Finally, the election programme </w:t>
      </w:r>
      <w:r w:rsidRPr="00C94B20">
        <w:rPr>
          <w:rFonts w:ascii="Georgia" w:hAnsi="Georgia" w:cs="Times New Roman"/>
          <w:i/>
          <w:iCs/>
          <w:sz w:val="24"/>
          <w:szCs w:val="24"/>
        </w:rPr>
        <w:t>The Kenya Kwanza Plan: The Bottom</w:t>
      </w:r>
      <w:r w:rsidR="002C1993" w:rsidRPr="00C94B20">
        <w:rPr>
          <w:rFonts w:ascii="Georgia" w:hAnsi="Georgia" w:cs="Times New Roman"/>
          <w:i/>
          <w:iCs/>
          <w:sz w:val="24"/>
          <w:szCs w:val="24"/>
        </w:rPr>
        <w:t>-</w:t>
      </w:r>
      <w:r w:rsidRPr="00C94B20">
        <w:rPr>
          <w:rFonts w:ascii="Georgia" w:hAnsi="Georgia" w:cs="Times New Roman"/>
          <w:i/>
          <w:iCs/>
          <w:sz w:val="24"/>
          <w:szCs w:val="24"/>
        </w:rPr>
        <w:t xml:space="preserve">up Economic </w:t>
      </w:r>
      <w:r w:rsidR="00667BFE" w:rsidRPr="00C94B20">
        <w:rPr>
          <w:rFonts w:ascii="Georgia" w:hAnsi="Georgia" w:cs="Times New Roman"/>
          <w:i/>
          <w:iCs/>
          <w:sz w:val="24"/>
          <w:szCs w:val="24"/>
        </w:rPr>
        <w:t>T</w:t>
      </w:r>
      <w:r w:rsidRPr="00C94B20">
        <w:rPr>
          <w:rFonts w:ascii="Georgia" w:hAnsi="Georgia" w:cs="Times New Roman"/>
          <w:i/>
          <w:iCs/>
          <w:sz w:val="24"/>
          <w:szCs w:val="24"/>
        </w:rPr>
        <w:t xml:space="preserve">ransformation Agenda </w:t>
      </w:r>
      <w:r w:rsidR="00333717" w:rsidRPr="00C94B20">
        <w:rPr>
          <w:rFonts w:ascii="Georgia" w:hAnsi="Georgia" w:cs="Times New Roman"/>
          <w:i/>
          <w:iCs/>
          <w:sz w:val="24"/>
          <w:szCs w:val="24"/>
        </w:rPr>
        <w:t xml:space="preserve">(BETA) </w:t>
      </w:r>
      <w:r w:rsidRPr="00C94B20">
        <w:rPr>
          <w:rFonts w:ascii="Georgia" w:hAnsi="Georgia" w:cs="Times New Roman"/>
          <w:i/>
          <w:iCs/>
          <w:sz w:val="24"/>
          <w:szCs w:val="24"/>
        </w:rPr>
        <w:t>2022-2027</w:t>
      </w:r>
      <w:r w:rsidRPr="00C94B20">
        <w:rPr>
          <w:rFonts w:ascii="Georgia" w:hAnsi="Georgia" w:cs="Times New Roman"/>
          <w:sz w:val="24"/>
          <w:szCs w:val="24"/>
        </w:rPr>
        <w:t xml:space="preserve"> of </w:t>
      </w:r>
      <w:r w:rsidR="000668BC" w:rsidRPr="00C94B20">
        <w:rPr>
          <w:rFonts w:ascii="Georgia" w:hAnsi="Georgia" w:cs="Times New Roman"/>
          <w:sz w:val="24"/>
          <w:szCs w:val="24"/>
        </w:rPr>
        <w:t>P</w:t>
      </w:r>
      <w:r w:rsidRPr="00C94B20">
        <w:rPr>
          <w:rFonts w:ascii="Georgia" w:hAnsi="Georgia" w:cs="Times New Roman"/>
          <w:sz w:val="24"/>
          <w:szCs w:val="24"/>
        </w:rPr>
        <w:t xml:space="preserve">resident </w:t>
      </w:r>
      <w:r w:rsidR="00333717" w:rsidRPr="00C94B20">
        <w:rPr>
          <w:rFonts w:ascii="Georgia" w:hAnsi="Georgia" w:cs="Times New Roman"/>
          <w:sz w:val="24"/>
          <w:szCs w:val="24"/>
        </w:rPr>
        <w:t xml:space="preserve">Dr. </w:t>
      </w:r>
      <w:r w:rsidRPr="00C94B20">
        <w:rPr>
          <w:rFonts w:ascii="Georgia" w:hAnsi="Georgia" w:cs="Times New Roman"/>
          <w:sz w:val="24"/>
          <w:szCs w:val="24"/>
        </w:rPr>
        <w:t xml:space="preserve">William Ruto </w:t>
      </w:r>
      <w:r w:rsidR="00333717" w:rsidRPr="00C94B20">
        <w:rPr>
          <w:rFonts w:ascii="Georgia" w:hAnsi="Georgia" w:cs="Times New Roman"/>
          <w:sz w:val="24"/>
          <w:szCs w:val="24"/>
        </w:rPr>
        <w:t xml:space="preserve">ideologically and </w:t>
      </w:r>
      <w:r w:rsidRPr="00C94B20">
        <w:rPr>
          <w:rFonts w:ascii="Georgia" w:hAnsi="Georgia" w:cs="Times New Roman"/>
          <w:sz w:val="24"/>
          <w:szCs w:val="24"/>
        </w:rPr>
        <w:t>explicitly refers to inequality in its plans for Kenya.</w:t>
      </w:r>
      <w:r w:rsidRPr="00C94B20">
        <w:rPr>
          <w:rStyle w:val="FootnoteReference"/>
          <w:rFonts w:ascii="Georgia" w:hAnsi="Georgia" w:cs="Times New Roman"/>
          <w:sz w:val="24"/>
          <w:szCs w:val="24"/>
        </w:rPr>
        <w:footnoteReference w:id="41"/>
      </w:r>
      <w:r w:rsidRPr="00C94B20">
        <w:rPr>
          <w:rFonts w:ascii="Georgia" w:hAnsi="Georgia" w:cs="Times New Roman"/>
          <w:sz w:val="24"/>
          <w:szCs w:val="24"/>
        </w:rPr>
        <w:t xml:space="preserve"> </w:t>
      </w:r>
      <w:r w:rsidR="00333717" w:rsidRPr="00C94B20">
        <w:rPr>
          <w:rFonts w:ascii="Georgia" w:hAnsi="Georgia" w:cs="Times New Roman"/>
          <w:sz w:val="24"/>
          <w:szCs w:val="24"/>
        </w:rPr>
        <w:t xml:space="preserve">BETA </w:t>
      </w:r>
      <w:r w:rsidRPr="00C94B20">
        <w:rPr>
          <w:rFonts w:ascii="Georgia" w:hAnsi="Georgia" w:cs="Times New Roman"/>
          <w:sz w:val="24"/>
          <w:szCs w:val="24"/>
        </w:rPr>
        <w:t>proposes to establish an ‘engagement platform’ that will recognise various stakeholders ‘to address the cohesion and inequality challenges of the country’ (The Kenya Kwanza Plan, 2022: 59). It does mention ending (extreme) poverty as a goal and raising agricultural productivity as a way to address poverty (ibid.; 15).. It explicitly promises to improve the opportunities for people with disabilities (ibid.; 54).</w:t>
      </w:r>
      <w:r w:rsidR="001D5645" w:rsidRPr="00C94B20">
        <w:rPr>
          <w:rFonts w:ascii="Georgia" w:hAnsi="Georgia" w:cs="Times New Roman"/>
          <w:sz w:val="24"/>
          <w:szCs w:val="24"/>
        </w:rPr>
        <w:t xml:space="preserve"> </w:t>
      </w:r>
      <w:r w:rsidR="00550C3D" w:rsidRPr="00C94B20">
        <w:rPr>
          <w:rFonts w:ascii="Georgia" w:hAnsi="Georgia" w:cs="Times New Roman"/>
          <w:sz w:val="24"/>
          <w:szCs w:val="24"/>
        </w:rPr>
        <w:t xml:space="preserve">However, </w:t>
      </w:r>
      <w:r w:rsidR="00550C3D" w:rsidRPr="00C94B20">
        <w:rPr>
          <w:rFonts w:ascii="Georgia" w:hAnsi="Georgia" w:cs="Times New Roman"/>
          <w:i/>
          <w:iCs/>
          <w:sz w:val="24"/>
          <w:szCs w:val="24"/>
        </w:rPr>
        <w:t>The Kenya Kwanza Plan</w:t>
      </w:r>
      <w:r w:rsidR="00550C3D" w:rsidRPr="00C94B20">
        <w:rPr>
          <w:rFonts w:ascii="Georgia" w:hAnsi="Georgia" w:cs="Times New Roman"/>
          <w:sz w:val="24"/>
          <w:szCs w:val="24"/>
        </w:rPr>
        <w:t xml:space="preserve"> became the plan of the coalition government</w:t>
      </w:r>
      <w:r w:rsidR="00083B19" w:rsidRPr="00C94B20">
        <w:rPr>
          <w:rFonts w:ascii="Georgia" w:hAnsi="Georgia" w:cs="Times New Roman"/>
          <w:sz w:val="24"/>
          <w:szCs w:val="24"/>
        </w:rPr>
        <w:t xml:space="preserve"> and in the implementation of the plan </w:t>
      </w:r>
      <w:r w:rsidR="00597005" w:rsidRPr="00C94B20">
        <w:rPr>
          <w:rFonts w:ascii="Georgia" w:hAnsi="Georgia" w:cs="Times New Roman"/>
          <w:sz w:val="24"/>
          <w:szCs w:val="24"/>
        </w:rPr>
        <w:t xml:space="preserve">there is evidence that </w:t>
      </w:r>
      <w:r w:rsidR="0058117F" w:rsidRPr="00C94B20">
        <w:rPr>
          <w:rFonts w:ascii="Georgia" w:hAnsi="Georgia" w:cs="Times New Roman"/>
          <w:sz w:val="24"/>
          <w:szCs w:val="24"/>
        </w:rPr>
        <w:t>poverty, inequality of opportunity and inequality of</w:t>
      </w:r>
      <w:r w:rsidR="002B498A" w:rsidRPr="00C94B20">
        <w:rPr>
          <w:rFonts w:ascii="Georgia" w:hAnsi="Georgia" w:cs="Times New Roman"/>
          <w:sz w:val="24"/>
          <w:szCs w:val="24"/>
        </w:rPr>
        <w:t xml:space="preserve"> outcome are addressed.</w:t>
      </w:r>
      <w:r w:rsidR="003E24B3" w:rsidRPr="00C94B20">
        <w:rPr>
          <w:rFonts w:ascii="Georgia" w:hAnsi="Georgia" w:cs="Times New Roman"/>
          <w:sz w:val="24"/>
          <w:szCs w:val="24"/>
        </w:rPr>
        <w:t xml:space="preserve"> </w:t>
      </w:r>
    </w:p>
    <w:p w14:paraId="43074C87" w14:textId="72027419" w:rsidR="00622E4B" w:rsidRPr="00C94B20" w:rsidRDefault="007C5D18" w:rsidP="00D81F02">
      <w:pPr>
        <w:jc w:val="both"/>
        <w:rPr>
          <w:rFonts w:ascii="Georgia" w:hAnsi="Georgia" w:cs="Times New Roman"/>
          <w:sz w:val="24"/>
          <w:szCs w:val="24"/>
        </w:rPr>
      </w:pPr>
      <w:r w:rsidRPr="00C94B20">
        <w:rPr>
          <w:rFonts w:ascii="Georgia" w:hAnsi="Georgia" w:cs="Times New Roman"/>
          <w:sz w:val="24"/>
          <w:szCs w:val="24"/>
        </w:rPr>
        <w:t>The National Treasury and Planning (2022)</w:t>
      </w:r>
      <w:r w:rsidR="00622E4B" w:rsidRPr="00C94B20">
        <w:rPr>
          <w:rFonts w:ascii="Georgia" w:hAnsi="Georgia" w:cs="Times New Roman"/>
          <w:sz w:val="24"/>
          <w:szCs w:val="24"/>
        </w:rPr>
        <w:t xml:space="preserve"> list</w:t>
      </w:r>
      <w:r w:rsidR="00F4464A" w:rsidRPr="00C94B20">
        <w:rPr>
          <w:rFonts w:ascii="Georgia" w:hAnsi="Georgia" w:cs="Times New Roman"/>
          <w:sz w:val="24"/>
          <w:szCs w:val="24"/>
        </w:rPr>
        <w:t>s</w:t>
      </w:r>
      <w:r w:rsidR="00622E4B" w:rsidRPr="00C94B20">
        <w:rPr>
          <w:rFonts w:ascii="Georgia" w:hAnsi="Georgia" w:cs="Times New Roman"/>
          <w:sz w:val="24"/>
          <w:szCs w:val="24"/>
        </w:rPr>
        <w:t xml:space="preserve"> the five Sectors that form the core pillars of the Government Manifesto: </w:t>
      </w:r>
      <w:r w:rsidR="00977B6C" w:rsidRPr="00C94B20">
        <w:rPr>
          <w:rFonts w:ascii="Georgia" w:hAnsi="Georgia" w:cs="Times New Roman"/>
          <w:sz w:val="24"/>
          <w:szCs w:val="24"/>
        </w:rPr>
        <w:t xml:space="preserve">(1) </w:t>
      </w:r>
      <w:r w:rsidR="00622E4B" w:rsidRPr="00C94B20">
        <w:rPr>
          <w:rFonts w:ascii="Georgia" w:hAnsi="Georgia" w:cs="Times New Roman"/>
          <w:sz w:val="24"/>
          <w:szCs w:val="24"/>
        </w:rPr>
        <w:t xml:space="preserve">Agriculture; </w:t>
      </w:r>
      <w:r w:rsidR="00977B6C" w:rsidRPr="00C94B20">
        <w:rPr>
          <w:rFonts w:ascii="Georgia" w:hAnsi="Georgia" w:cs="Times New Roman"/>
          <w:sz w:val="24"/>
          <w:szCs w:val="24"/>
        </w:rPr>
        <w:t xml:space="preserve">(2) </w:t>
      </w:r>
      <w:r w:rsidR="00622E4B" w:rsidRPr="00C94B20">
        <w:rPr>
          <w:rFonts w:ascii="Georgia" w:hAnsi="Georgia" w:cs="Times New Roman"/>
          <w:sz w:val="24"/>
          <w:szCs w:val="24"/>
        </w:rPr>
        <w:t>Micro</w:t>
      </w:r>
      <w:r w:rsidR="00977B6C" w:rsidRPr="00C94B20">
        <w:rPr>
          <w:rFonts w:ascii="Georgia" w:hAnsi="Georgia" w:cs="Times New Roman"/>
          <w:sz w:val="24"/>
          <w:szCs w:val="24"/>
        </w:rPr>
        <w:t>,</w:t>
      </w:r>
      <w:r w:rsidR="00622E4B" w:rsidRPr="00C94B20">
        <w:rPr>
          <w:rFonts w:ascii="Georgia" w:hAnsi="Georgia" w:cs="Times New Roman"/>
          <w:sz w:val="24"/>
          <w:szCs w:val="24"/>
        </w:rPr>
        <w:t xml:space="preserve"> Small and Medium Enterprise Economy; </w:t>
      </w:r>
      <w:r w:rsidR="00977B6C" w:rsidRPr="00C94B20">
        <w:rPr>
          <w:rFonts w:ascii="Georgia" w:hAnsi="Georgia" w:cs="Times New Roman"/>
          <w:sz w:val="24"/>
          <w:szCs w:val="24"/>
        </w:rPr>
        <w:t xml:space="preserve">(3) </w:t>
      </w:r>
      <w:r w:rsidR="00622E4B" w:rsidRPr="00C94B20">
        <w:rPr>
          <w:rFonts w:ascii="Georgia" w:hAnsi="Georgia" w:cs="Times New Roman"/>
          <w:sz w:val="24"/>
          <w:szCs w:val="24"/>
        </w:rPr>
        <w:t xml:space="preserve">Housing and Settlement; </w:t>
      </w:r>
      <w:r w:rsidR="00977B6C" w:rsidRPr="00C94B20">
        <w:rPr>
          <w:rFonts w:ascii="Georgia" w:hAnsi="Georgia" w:cs="Times New Roman"/>
          <w:sz w:val="24"/>
          <w:szCs w:val="24"/>
        </w:rPr>
        <w:t xml:space="preserve">(4) </w:t>
      </w:r>
      <w:r w:rsidR="00622E4B" w:rsidRPr="00C94B20">
        <w:rPr>
          <w:rFonts w:ascii="Georgia" w:hAnsi="Georgia" w:cs="Times New Roman"/>
          <w:sz w:val="24"/>
          <w:szCs w:val="24"/>
        </w:rPr>
        <w:t>Healthcare; and</w:t>
      </w:r>
      <w:r w:rsidR="00977B6C" w:rsidRPr="00C94B20">
        <w:rPr>
          <w:rFonts w:ascii="Georgia" w:hAnsi="Georgia" w:cs="Times New Roman"/>
          <w:sz w:val="24"/>
          <w:szCs w:val="24"/>
        </w:rPr>
        <w:t xml:space="preserve"> (5)</w:t>
      </w:r>
      <w:r w:rsidR="00622E4B" w:rsidRPr="00C94B20">
        <w:rPr>
          <w:rFonts w:ascii="Georgia" w:hAnsi="Georgia" w:cs="Times New Roman"/>
          <w:sz w:val="24"/>
          <w:szCs w:val="24"/>
        </w:rPr>
        <w:t xml:space="preserve"> Digital Superhighway and Creative Economy.</w:t>
      </w:r>
    </w:p>
    <w:p w14:paraId="52B9A1D6" w14:textId="5271099E" w:rsidR="007E12D0" w:rsidRPr="00C94B20" w:rsidRDefault="009A0796" w:rsidP="001D5ABD">
      <w:pPr>
        <w:jc w:val="both"/>
        <w:rPr>
          <w:rFonts w:ascii="Georgia" w:hAnsi="Georgia" w:cs="Times New Roman"/>
          <w:sz w:val="24"/>
          <w:szCs w:val="24"/>
        </w:rPr>
      </w:pPr>
      <w:r w:rsidRPr="00C94B20">
        <w:rPr>
          <w:rFonts w:ascii="Georgia" w:hAnsi="Georgia" w:cs="Times New Roman"/>
          <w:sz w:val="24"/>
          <w:szCs w:val="24"/>
        </w:rPr>
        <w:fldChar w:fldCharType="begin"/>
      </w:r>
      <w:r w:rsidRPr="00C94B20">
        <w:rPr>
          <w:rFonts w:ascii="Georgia" w:hAnsi="Georgia" w:cs="Times New Roman"/>
          <w:sz w:val="24"/>
          <w:szCs w:val="24"/>
        </w:rPr>
        <w:instrText xml:space="preserve"> REF _Ref119423344 \h  \* MERGEFORMAT </w:instrText>
      </w:r>
      <w:r w:rsidRPr="00C94B20">
        <w:rPr>
          <w:rFonts w:ascii="Georgia" w:hAnsi="Georgia" w:cs="Times New Roman"/>
          <w:sz w:val="24"/>
          <w:szCs w:val="24"/>
        </w:rPr>
      </w:r>
      <w:r w:rsidRPr="00C94B20">
        <w:rPr>
          <w:rFonts w:ascii="Georgia" w:hAnsi="Georgia" w:cs="Times New Roman"/>
          <w:sz w:val="24"/>
          <w:szCs w:val="24"/>
        </w:rPr>
        <w:fldChar w:fldCharType="separate"/>
      </w:r>
      <w:r w:rsidR="000F6B8E" w:rsidRPr="00C94B20">
        <w:rPr>
          <w:rFonts w:ascii="Georgia" w:hAnsi="Georgia" w:cs="Times New Roman"/>
          <w:sz w:val="24"/>
          <w:szCs w:val="24"/>
        </w:rPr>
        <w:t xml:space="preserve">Figure </w:t>
      </w:r>
      <w:r w:rsidR="000F6B8E" w:rsidRPr="00C94B20">
        <w:rPr>
          <w:rFonts w:ascii="Georgia" w:hAnsi="Georgia" w:cs="Times New Roman"/>
          <w:smallCaps/>
          <w:noProof/>
          <w:sz w:val="24"/>
          <w:szCs w:val="24"/>
        </w:rPr>
        <w:t>10</w:t>
      </w:r>
      <w:r w:rsidRPr="00C94B20">
        <w:rPr>
          <w:rFonts w:ascii="Georgia" w:hAnsi="Georgia" w:cs="Times New Roman"/>
          <w:sz w:val="24"/>
          <w:szCs w:val="24"/>
        </w:rPr>
        <w:fldChar w:fldCharType="end"/>
      </w:r>
      <w:r w:rsidRPr="00C94B20">
        <w:rPr>
          <w:rFonts w:ascii="Georgia" w:hAnsi="Georgia" w:cs="Times New Roman"/>
          <w:sz w:val="24"/>
          <w:szCs w:val="24"/>
        </w:rPr>
        <w:t xml:space="preserve"> presents a timeline of </w:t>
      </w:r>
      <w:r w:rsidR="00723BF6" w:rsidRPr="00C94B20">
        <w:rPr>
          <w:rFonts w:ascii="Georgia" w:hAnsi="Georgia" w:cs="Times New Roman"/>
          <w:sz w:val="24"/>
          <w:szCs w:val="24"/>
        </w:rPr>
        <w:t>selected</w:t>
      </w:r>
      <w:r w:rsidRPr="00C94B20">
        <w:rPr>
          <w:rFonts w:ascii="Georgia" w:hAnsi="Georgia" w:cs="Times New Roman"/>
          <w:sz w:val="24"/>
          <w:szCs w:val="24"/>
        </w:rPr>
        <w:t xml:space="preserve"> key national policy strategies and programmes since 2008.</w:t>
      </w:r>
      <w:r w:rsidR="00226B55" w:rsidRPr="00C94B20">
        <w:rPr>
          <w:rFonts w:ascii="Georgia" w:hAnsi="Georgia" w:cs="Times New Roman"/>
          <w:sz w:val="24"/>
          <w:szCs w:val="24"/>
        </w:rPr>
        <w:t xml:space="preserve"> </w:t>
      </w:r>
    </w:p>
    <w:p w14:paraId="49987383" w14:textId="77777777" w:rsidR="00654273" w:rsidRPr="00C94B20" w:rsidRDefault="00654273" w:rsidP="00654273">
      <w:pPr>
        <w:jc w:val="both"/>
        <w:rPr>
          <w:rFonts w:ascii="Georgia" w:hAnsi="Georgia" w:cs="Times New Roman"/>
          <w:iCs/>
          <w:color w:val="000000" w:themeColor="text1"/>
          <w:sz w:val="24"/>
          <w:szCs w:val="24"/>
        </w:rPr>
      </w:pPr>
      <w:r w:rsidRPr="00C94B20">
        <w:rPr>
          <w:rFonts w:ascii="Georgia" w:hAnsi="Georgia" w:cs="Times New Roman"/>
          <w:sz w:val="24"/>
          <w:szCs w:val="24"/>
        </w:rPr>
        <w:t xml:space="preserve">Relevant for all strategies and programmes is the Constitution of Kenya of 2010 and that Kenya is a signatory to various international and regional conventions and/or treaties. </w:t>
      </w:r>
    </w:p>
    <w:p w14:paraId="4A26EFB7" w14:textId="77777777" w:rsidR="00654273" w:rsidRPr="009C5581" w:rsidRDefault="00654273" w:rsidP="001D5ABD">
      <w:pPr>
        <w:jc w:val="both"/>
        <w:rPr>
          <w:rFonts w:ascii="Times New Roman" w:hAnsi="Times New Roman" w:cs="Times New Roman"/>
        </w:rPr>
      </w:pPr>
    </w:p>
    <w:p w14:paraId="41E7D5C9" w14:textId="1811BF41" w:rsidR="00BF46C4" w:rsidRPr="009C5581" w:rsidRDefault="00BF46C4" w:rsidP="000119C8">
      <w:pPr>
        <w:spacing w:after="120" w:line="240" w:lineRule="auto"/>
        <w:jc w:val="center"/>
        <w:rPr>
          <w:rFonts w:ascii="Times New Roman" w:hAnsi="Times New Roman" w:cs="Times New Roman"/>
          <w:iCs/>
          <w:color w:val="000000" w:themeColor="text1"/>
          <w:sz w:val="20"/>
          <w:szCs w:val="20"/>
        </w:rPr>
      </w:pPr>
      <w:bookmarkStart w:id="79" w:name="_Ref119423344"/>
      <w:bookmarkStart w:id="80" w:name="_Toc119509941"/>
      <w:bookmarkStart w:id="81" w:name="_Toc144414582"/>
      <w:r w:rsidRPr="009C5581">
        <w:rPr>
          <w:rFonts w:ascii="Times New Roman" w:hAnsi="Times New Roman" w:cs="Times New Roman"/>
          <w:b/>
          <w:sz w:val="20"/>
          <w:szCs w:val="20"/>
        </w:rPr>
        <w:t xml:space="preserve">Figure </w:t>
      </w:r>
      <w:r w:rsidR="00B84F08" w:rsidRPr="009C5581">
        <w:rPr>
          <w:rFonts w:ascii="Times New Roman" w:hAnsi="Times New Roman" w:cs="Times New Roman"/>
          <w:b/>
          <w:sz w:val="20"/>
          <w:szCs w:val="20"/>
        </w:rPr>
        <w:fldChar w:fldCharType="begin"/>
      </w:r>
      <w:r w:rsidR="00B84F08" w:rsidRPr="009C5581">
        <w:rPr>
          <w:rFonts w:ascii="Times New Roman" w:hAnsi="Times New Roman" w:cs="Times New Roman"/>
          <w:b/>
          <w:sz w:val="20"/>
          <w:szCs w:val="20"/>
        </w:rPr>
        <w:instrText xml:space="preserve"> SEQ Figure \* ARABIC </w:instrText>
      </w:r>
      <w:r w:rsidR="00B84F08" w:rsidRPr="009C5581">
        <w:rPr>
          <w:rFonts w:ascii="Times New Roman" w:hAnsi="Times New Roman" w:cs="Times New Roman"/>
          <w:b/>
          <w:sz w:val="20"/>
          <w:szCs w:val="20"/>
        </w:rPr>
        <w:fldChar w:fldCharType="separate"/>
      </w:r>
      <w:r w:rsidR="000F6B8E">
        <w:rPr>
          <w:rFonts w:ascii="Times New Roman" w:hAnsi="Times New Roman" w:cs="Times New Roman"/>
          <w:b/>
          <w:noProof/>
          <w:sz w:val="20"/>
          <w:szCs w:val="20"/>
        </w:rPr>
        <w:t>10</w:t>
      </w:r>
      <w:r w:rsidR="00B84F08" w:rsidRPr="009C5581">
        <w:rPr>
          <w:rFonts w:ascii="Times New Roman" w:hAnsi="Times New Roman" w:cs="Times New Roman"/>
          <w:b/>
          <w:sz w:val="20"/>
          <w:szCs w:val="20"/>
        </w:rPr>
        <w:fldChar w:fldCharType="end"/>
      </w:r>
      <w:bookmarkEnd w:id="79"/>
      <w:r w:rsidRPr="009C5581">
        <w:rPr>
          <w:rFonts w:ascii="Times New Roman" w:hAnsi="Times New Roman" w:cs="Times New Roman"/>
          <w:b/>
          <w:smallCaps/>
          <w:sz w:val="20"/>
          <w:szCs w:val="20"/>
        </w:rPr>
        <w:t xml:space="preserve">: </w:t>
      </w:r>
      <w:r w:rsidRPr="009C5581">
        <w:rPr>
          <w:rFonts w:ascii="Times New Roman" w:hAnsi="Times New Roman" w:cs="Times New Roman"/>
          <w:iCs/>
          <w:color w:val="000000" w:themeColor="text1"/>
          <w:sz w:val="20"/>
          <w:szCs w:val="20"/>
        </w:rPr>
        <w:t xml:space="preserve">Timeline of </w:t>
      </w:r>
      <w:r w:rsidR="005F1042" w:rsidRPr="009C5581">
        <w:rPr>
          <w:rFonts w:ascii="Times New Roman" w:hAnsi="Times New Roman" w:cs="Times New Roman"/>
          <w:iCs/>
          <w:color w:val="000000" w:themeColor="text1"/>
          <w:sz w:val="20"/>
          <w:szCs w:val="20"/>
        </w:rPr>
        <w:t xml:space="preserve">selected </w:t>
      </w:r>
      <w:r w:rsidRPr="009C5581">
        <w:rPr>
          <w:rFonts w:ascii="Times New Roman" w:hAnsi="Times New Roman" w:cs="Times New Roman"/>
          <w:iCs/>
          <w:color w:val="000000" w:themeColor="text1"/>
          <w:sz w:val="20"/>
          <w:szCs w:val="20"/>
        </w:rPr>
        <w:t>key national policy strategies and programmes, 200</w:t>
      </w:r>
      <w:r w:rsidR="00B4651F" w:rsidRPr="009C5581">
        <w:rPr>
          <w:rFonts w:ascii="Times New Roman" w:hAnsi="Times New Roman" w:cs="Times New Roman"/>
          <w:iCs/>
          <w:color w:val="000000" w:themeColor="text1"/>
          <w:sz w:val="20"/>
          <w:szCs w:val="20"/>
        </w:rPr>
        <w:t>8</w:t>
      </w:r>
      <w:r w:rsidRPr="009C5581">
        <w:rPr>
          <w:rFonts w:ascii="Times New Roman" w:hAnsi="Times New Roman" w:cs="Times New Roman"/>
          <w:iCs/>
          <w:color w:val="000000" w:themeColor="text1"/>
          <w:sz w:val="20"/>
          <w:szCs w:val="20"/>
        </w:rPr>
        <w:t>-202</w:t>
      </w:r>
      <w:r w:rsidR="00C929E9" w:rsidRPr="009C5581">
        <w:rPr>
          <w:rFonts w:ascii="Times New Roman" w:hAnsi="Times New Roman" w:cs="Times New Roman"/>
          <w:iCs/>
          <w:color w:val="000000" w:themeColor="text1"/>
          <w:sz w:val="20"/>
          <w:szCs w:val="20"/>
        </w:rPr>
        <w:t>3</w:t>
      </w:r>
      <w:bookmarkEnd w:id="80"/>
      <w:bookmarkEnd w:id="81"/>
    </w:p>
    <w:p w14:paraId="467F382A" w14:textId="77777777" w:rsidR="00921D4E" w:rsidRPr="009C5581" w:rsidRDefault="00921D4E" w:rsidP="000B0B49">
      <w:pPr>
        <w:spacing w:after="0" w:line="240" w:lineRule="auto"/>
        <w:jc w:val="center"/>
        <w:rPr>
          <w:rFonts w:ascii="Times New Roman" w:hAnsi="Times New Roman" w:cs="Times New Roman"/>
          <w:iCs/>
          <w:color w:val="000000" w:themeColor="text1"/>
          <w:sz w:val="16"/>
          <w:szCs w:val="16"/>
        </w:rPr>
      </w:pPr>
    </w:p>
    <w:p w14:paraId="34E1B4F6" w14:textId="77777777" w:rsidR="00921D4E" w:rsidRPr="009C5581" w:rsidRDefault="00921D4E" w:rsidP="000B0B49">
      <w:pPr>
        <w:spacing w:after="0" w:line="240" w:lineRule="auto"/>
        <w:jc w:val="center"/>
        <w:rPr>
          <w:rFonts w:ascii="Times New Roman" w:hAnsi="Times New Roman" w:cs="Times New Roman"/>
          <w:iCs/>
          <w:color w:val="000000" w:themeColor="text1"/>
          <w:sz w:val="16"/>
          <w:szCs w:val="16"/>
        </w:rPr>
      </w:pPr>
    </w:p>
    <w:p w14:paraId="35B732F9" w14:textId="77777777" w:rsidR="00912FBA" w:rsidRPr="009C5581" w:rsidRDefault="00912FBA" w:rsidP="000B0B49">
      <w:pPr>
        <w:spacing w:after="0" w:line="240" w:lineRule="auto"/>
        <w:jc w:val="center"/>
        <w:rPr>
          <w:rFonts w:ascii="Times New Roman" w:hAnsi="Times New Roman" w:cs="Times New Roman"/>
          <w:iCs/>
          <w:color w:val="000000" w:themeColor="text1"/>
          <w:sz w:val="16"/>
          <w:szCs w:val="16"/>
        </w:rPr>
      </w:pPr>
    </w:p>
    <w:p w14:paraId="1DC5B7BB" w14:textId="7609ABCE" w:rsidR="00912FBA" w:rsidRPr="009C5581" w:rsidRDefault="00912FBA" w:rsidP="00912FBA">
      <w:pPr>
        <w:kinsoku w:val="0"/>
        <w:overflowPunct w:val="0"/>
        <w:autoSpaceDE w:val="0"/>
        <w:autoSpaceDN w:val="0"/>
        <w:adjustRightInd w:val="0"/>
        <w:spacing w:after="0" w:line="240" w:lineRule="auto"/>
        <w:rPr>
          <w:rFonts w:ascii="Times New Roman" w:hAnsi="Times New Roman" w:cs="Times New Roman"/>
          <w:sz w:val="20"/>
          <w:szCs w:val="20"/>
        </w:rPr>
      </w:pPr>
      <w:r w:rsidRPr="009C5581">
        <w:rPr>
          <w:rFonts w:ascii="Times New Roman" w:hAnsi="Times New Roman" w:cs="Times New Roman"/>
          <w:noProof/>
          <w:sz w:val="20"/>
          <w:szCs w:val="20"/>
          <w:lang w:val="en-US"/>
        </w:rPr>
        <mc:AlternateContent>
          <mc:Choice Requires="wpg">
            <w:drawing>
              <wp:inline distT="0" distB="0" distL="0" distR="0" wp14:anchorId="5E2FC6AC" wp14:editId="618532B2">
                <wp:extent cx="6134100" cy="2085975"/>
                <wp:effectExtent l="0" t="0" r="0" b="952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085975"/>
                          <a:chOff x="0" y="0"/>
                          <a:chExt cx="9003" cy="2743"/>
                        </a:xfrm>
                      </wpg:grpSpPr>
                      <wps:wsp>
                        <wps:cNvPr id="16" name="Freeform 3"/>
                        <wps:cNvSpPr>
                          <a:spLocks/>
                        </wps:cNvSpPr>
                        <wps:spPr bwMode="auto">
                          <a:xfrm>
                            <a:off x="0"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748"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CCA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1497"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6"/>
                        <wps:cNvSpPr>
                          <a:spLocks/>
                        </wps:cNvSpPr>
                        <wps:spPr bwMode="auto">
                          <a:xfrm>
                            <a:off x="2246"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BE8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
                        <wps:cNvSpPr>
                          <a:spLocks/>
                        </wps:cNvSpPr>
                        <wps:spPr bwMode="auto">
                          <a:xfrm>
                            <a:off x="2995"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C55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
                        <wps:cNvSpPr>
                          <a:spLocks/>
                        </wps:cNvSpPr>
                        <wps:spPr bwMode="auto">
                          <a:xfrm>
                            <a:off x="3743"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4492"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DA1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
                        <wps:cNvSpPr>
                          <a:spLocks/>
                        </wps:cNvSpPr>
                        <wps:spPr bwMode="auto">
                          <a:xfrm>
                            <a:off x="5241"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538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1"/>
                        <wps:cNvSpPr>
                          <a:spLocks/>
                        </wps:cNvSpPr>
                        <wps:spPr bwMode="auto">
                          <a:xfrm>
                            <a:off x="5990"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
                        <wps:cNvSpPr>
                          <a:spLocks/>
                        </wps:cNvSpPr>
                        <wps:spPr bwMode="auto">
                          <a:xfrm>
                            <a:off x="6739"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E6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3"/>
                        <wps:cNvSpPr>
                          <a:spLocks/>
                        </wps:cNvSpPr>
                        <wps:spPr bwMode="auto">
                          <a:xfrm>
                            <a:off x="7487"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4"/>
                        <wps:cNvSpPr>
                          <a:spLocks/>
                        </wps:cNvSpPr>
                        <wps:spPr bwMode="auto">
                          <a:xfrm>
                            <a:off x="8236" y="1321"/>
                            <a:ext cx="752" cy="123"/>
                          </a:xfrm>
                          <a:custGeom>
                            <a:avLst/>
                            <a:gdLst>
                              <a:gd name="T0" fmla="*/ 751 w 752"/>
                              <a:gd name="T1" fmla="*/ 0 h 123"/>
                              <a:gd name="T2" fmla="*/ 0 w 752"/>
                              <a:gd name="T3" fmla="*/ 0 h 123"/>
                              <a:gd name="T4" fmla="*/ 0 w 752"/>
                              <a:gd name="T5" fmla="*/ 122 h 123"/>
                              <a:gd name="T6" fmla="*/ 751 w 752"/>
                              <a:gd name="T7" fmla="*/ 122 h 123"/>
                              <a:gd name="T8" fmla="*/ 751 w 752"/>
                              <a:gd name="T9" fmla="*/ 0 h 123"/>
                            </a:gdLst>
                            <a:ahLst/>
                            <a:cxnLst>
                              <a:cxn ang="0">
                                <a:pos x="T0" y="T1"/>
                              </a:cxn>
                              <a:cxn ang="0">
                                <a:pos x="T2" y="T3"/>
                              </a:cxn>
                              <a:cxn ang="0">
                                <a:pos x="T4" y="T5"/>
                              </a:cxn>
                              <a:cxn ang="0">
                                <a:pos x="T6" y="T7"/>
                              </a:cxn>
                              <a:cxn ang="0">
                                <a:pos x="T8" y="T9"/>
                              </a:cxn>
                            </a:cxnLst>
                            <a:rect l="0" t="0" r="r" b="b"/>
                            <a:pathLst>
                              <a:path w="752" h="123">
                                <a:moveTo>
                                  <a:pt x="751" y="0"/>
                                </a:moveTo>
                                <a:lnTo>
                                  <a:pt x="0" y="0"/>
                                </a:lnTo>
                                <a:lnTo>
                                  <a:pt x="0" y="122"/>
                                </a:lnTo>
                                <a:lnTo>
                                  <a:pt x="751" y="122"/>
                                </a:lnTo>
                                <a:lnTo>
                                  <a:pt x="75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
                        <wps:cNvSpPr>
                          <a:spLocks/>
                        </wps:cNvSpPr>
                        <wps:spPr bwMode="auto">
                          <a:xfrm>
                            <a:off x="0" y="1316"/>
                            <a:ext cx="9003" cy="142"/>
                          </a:xfrm>
                          <a:custGeom>
                            <a:avLst/>
                            <a:gdLst>
                              <a:gd name="T0" fmla="*/ 8968 w 9003"/>
                              <a:gd name="T1" fmla="*/ 0 h 142"/>
                              <a:gd name="T2" fmla="*/ 8253 w 9003"/>
                              <a:gd name="T3" fmla="*/ 108 h 142"/>
                              <a:gd name="T4" fmla="*/ 8968 w 9003"/>
                              <a:gd name="T5" fmla="*/ 0 h 142"/>
                              <a:gd name="T6" fmla="*/ 8220 w 9003"/>
                              <a:gd name="T7" fmla="*/ 0 h 142"/>
                              <a:gd name="T8" fmla="*/ 7504 w 9003"/>
                              <a:gd name="T9" fmla="*/ 108 h 142"/>
                              <a:gd name="T10" fmla="*/ 8220 w 9003"/>
                              <a:gd name="T11" fmla="*/ 0 h 142"/>
                              <a:gd name="T12" fmla="*/ 7471 w 9003"/>
                              <a:gd name="T13" fmla="*/ 0 h 142"/>
                              <a:gd name="T14" fmla="*/ 6756 w 9003"/>
                              <a:gd name="T15" fmla="*/ 120 h 142"/>
                              <a:gd name="T16" fmla="*/ 7471 w 9003"/>
                              <a:gd name="T17" fmla="*/ 12 h 142"/>
                              <a:gd name="T18" fmla="*/ 6722 w 9003"/>
                              <a:gd name="T19" fmla="*/ 0 h 142"/>
                              <a:gd name="T20" fmla="*/ 6722 w 9003"/>
                              <a:gd name="T21" fmla="*/ 108 h 142"/>
                              <a:gd name="T22" fmla="*/ 6722 w 9003"/>
                              <a:gd name="T23" fmla="*/ 12 h 142"/>
                              <a:gd name="T24" fmla="*/ 5973 w 9003"/>
                              <a:gd name="T25" fmla="*/ 0 h 142"/>
                              <a:gd name="T26" fmla="*/ 5973 w 9003"/>
                              <a:gd name="T27" fmla="*/ 120 h 142"/>
                              <a:gd name="T28" fmla="*/ 5258 w 9003"/>
                              <a:gd name="T29" fmla="*/ 12 h 142"/>
                              <a:gd name="T30" fmla="*/ 5258 w 9003"/>
                              <a:gd name="T31" fmla="*/ 0 h 142"/>
                              <a:gd name="T32" fmla="*/ 5224 w 9003"/>
                              <a:gd name="T33" fmla="*/ 12 h 142"/>
                              <a:gd name="T34" fmla="*/ 4509 w 9003"/>
                              <a:gd name="T35" fmla="*/ 12 h 142"/>
                              <a:gd name="T36" fmla="*/ 4509 w 9003"/>
                              <a:gd name="T37" fmla="*/ 0 h 142"/>
                              <a:gd name="T38" fmla="*/ 4476 w 9003"/>
                              <a:gd name="T39" fmla="*/ 12 h 142"/>
                              <a:gd name="T40" fmla="*/ 3760 w 9003"/>
                              <a:gd name="T41" fmla="*/ 12 h 142"/>
                              <a:gd name="T42" fmla="*/ 3760 w 9003"/>
                              <a:gd name="T43" fmla="*/ 0 h 142"/>
                              <a:gd name="T44" fmla="*/ 3727 w 9003"/>
                              <a:gd name="T45" fmla="*/ 12 h 142"/>
                              <a:gd name="T46" fmla="*/ 3012 w 9003"/>
                              <a:gd name="T47" fmla="*/ 12 h 142"/>
                              <a:gd name="T48" fmla="*/ 3012 w 9003"/>
                              <a:gd name="T49" fmla="*/ 0 h 142"/>
                              <a:gd name="T50" fmla="*/ 2978 w 9003"/>
                              <a:gd name="T51" fmla="*/ 12 h 142"/>
                              <a:gd name="T52" fmla="*/ 2263 w 9003"/>
                              <a:gd name="T53" fmla="*/ 12 h 142"/>
                              <a:gd name="T54" fmla="*/ 2263 w 9003"/>
                              <a:gd name="T55" fmla="*/ 0 h 142"/>
                              <a:gd name="T56" fmla="*/ 2229 w 9003"/>
                              <a:gd name="T57" fmla="*/ 12 h 142"/>
                              <a:gd name="T58" fmla="*/ 1514 w 9003"/>
                              <a:gd name="T59" fmla="*/ 12 h 142"/>
                              <a:gd name="T60" fmla="*/ 1514 w 9003"/>
                              <a:gd name="T61" fmla="*/ 0 h 142"/>
                              <a:gd name="T62" fmla="*/ 1480 w 9003"/>
                              <a:gd name="T63" fmla="*/ 12 h 142"/>
                              <a:gd name="T64" fmla="*/ 765 w 9003"/>
                              <a:gd name="T65" fmla="*/ 108 h 142"/>
                              <a:gd name="T66" fmla="*/ 1480 w 9003"/>
                              <a:gd name="T67" fmla="*/ 0 h 142"/>
                              <a:gd name="T68" fmla="*/ 0 w 9003"/>
                              <a:gd name="T69" fmla="*/ 0 h 142"/>
                              <a:gd name="T70" fmla="*/ 732 w 9003"/>
                              <a:gd name="T71" fmla="*/ 108 h 142"/>
                              <a:gd name="T72" fmla="*/ 732 w 9003"/>
                              <a:gd name="T73" fmla="*/ 141 h 142"/>
                              <a:gd name="T74" fmla="*/ 1480 w 9003"/>
                              <a:gd name="T75" fmla="*/ 132 h 142"/>
                              <a:gd name="T76" fmla="*/ 2229 w 9003"/>
                              <a:gd name="T77" fmla="*/ 141 h 142"/>
                              <a:gd name="T78" fmla="*/ 3012 w 9003"/>
                              <a:gd name="T79" fmla="*/ 141 h 142"/>
                              <a:gd name="T80" fmla="*/ 4476 w 9003"/>
                              <a:gd name="T81" fmla="*/ 141 h 142"/>
                              <a:gd name="T82" fmla="*/ 5258 w 9003"/>
                              <a:gd name="T83" fmla="*/ 141 h 142"/>
                              <a:gd name="T84" fmla="*/ 5973 w 9003"/>
                              <a:gd name="T85" fmla="*/ 141 h 142"/>
                              <a:gd name="T86" fmla="*/ 6756 w 9003"/>
                              <a:gd name="T87" fmla="*/ 141 h 142"/>
                              <a:gd name="T88" fmla="*/ 7471 w 9003"/>
                              <a:gd name="T89" fmla="*/ 141 h 142"/>
                              <a:gd name="T90" fmla="*/ 8253 w 9003"/>
                              <a:gd name="T91" fmla="*/ 141 h 142"/>
                              <a:gd name="T92" fmla="*/ 9002 w 9003"/>
                              <a:gd name="T93" fmla="*/ 108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03" h="142">
                                <a:moveTo>
                                  <a:pt x="9002" y="0"/>
                                </a:moveTo>
                                <a:lnTo>
                                  <a:pt x="8968" y="0"/>
                                </a:lnTo>
                                <a:lnTo>
                                  <a:pt x="8968" y="0"/>
                                </a:lnTo>
                                <a:lnTo>
                                  <a:pt x="8968" y="12"/>
                                </a:lnTo>
                                <a:lnTo>
                                  <a:pt x="8968" y="108"/>
                                </a:lnTo>
                                <a:lnTo>
                                  <a:pt x="8253" y="108"/>
                                </a:lnTo>
                                <a:lnTo>
                                  <a:pt x="8253" y="12"/>
                                </a:lnTo>
                                <a:lnTo>
                                  <a:pt x="8968" y="12"/>
                                </a:lnTo>
                                <a:lnTo>
                                  <a:pt x="8968" y="0"/>
                                </a:lnTo>
                                <a:lnTo>
                                  <a:pt x="8253" y="0"/>
                                </a:lnTo>
                                <a:lnTo>
                                  <a:pt x="8220" y="0"/>
                                </a:lnTo>
                                <a:lnTo>
                                  <a:pt x="8220" y="0"/>
                                </a:lnTo>
                                <a:lnTo>
                                  <a:pt x="8220" y="12"/>
                                </a:lnTo>
                                <a:lnTo>
                                  <a:pt x="8220" y="108"/>
                                </a:lnTo>
                                <a:lnTo>
                                  <a:pt x="7504" y="108"/>
                                </a:lnTo>
                                <a:lnTo>
                                  <a:pt x="7504" y="12"/>
                                </a:lnTo>
                                <a:lnTo>
                                  <a:pt x="8220" y="12"/>
                                </a:lnTo>
                                <a:lnTo>
                                  <a:pt x="8220" y="0"/>
                                </a:lnTo>
                                <a:lnTo>
                                  <a:pt x="7504" y="0"/>
                                </a:lnTo>
                                <a:lnTo>
                                  <a:pt x="7471" y="0"/>
                                </a:lnTo>
                                <a:lnTo>
                                  <a:pt x="7471" y="0"/>
                                </a:lnTo>
                                <a:lnTo>
                                  <a:pt x="7471" y="12"/>
                                </a:lnTo>
                                <a:lnTo>
                                  <a:pt x="7471" y="120"/>
                                </a:lnTo>
                                <a:lnTo>
                                  <a:pt x="6756" y="120"/>
                                </a:lnTo>
                                <a:lnTo>
                                  <a:pt x="6756" y="108"/>
                                </a:lnTo>
                                <a:lnTo>
                                  <a:pt x="6756" y="12"/>
                                </a:lnTo>
                                <a:lnTo>
                                  <a:pt x="7471" y="12"/>
                                </a:lnTo>
                                <a:lnTo>
                                  <a:pt x="7471" y="0"/>
                                </a:lnTo>
                                <a:lnTo>
                                  <a:pt x="6756" y="0"/>
                                </a:lnTo>
                                <a:lnTo>
                                  <a:pt x="6722" y="0"/>
                                </a:lnTo>
                                <a:lnTo>
                                  <a:pt x="6722" y="0"/>
                                </a:lnTo>
                                <a:lnTo>
                                  <a:pt x="6722" y="12"/>
                                </a:lnTo>
                                <a:lnTo>
                                  <a:pt x="6722" y="108"/>
                                </a:lnTo>
                                <a:lnTo>
                                  <a:pt x="6007" y="108"/>
                                </a:lnTo>
                                <a:lnTo>
                                  <a:pt x="6007" y="12"/>
                                </a:lnTo>
                                <a:lnTo>
                                  <a:pt x="6722" y="12"/>
                                </a:lnTo>
                                <a:lnTo>
                                  <a:pt x="6722" y="0"/>
                                </a:lnTo>
                                <a:lnTo>
                                  <a:pt x="6007" y="0"/>
                                </a:lnTo>
                                <a:lnTo>
                                  <a:pt x="5973" y="0"/>
                                </a:lnTo>
                                <a:lnTo>
                                  <a:pt x="5973" y="0"/>
                                </a:lnTo>
                                <a:lnTo>
                                  <a:pt x="5973" y="12"/>
                                </a:lnTo>
                                <a:lnTo>
                                  <a:pt x="5973" y="120"/>
                                </a:lnTo>
                                <a:lnTo>
                                  <a:pt x="5258" y="120"/>
                                </a:lnTo>
                                <a:lnTo>
                                  <a:pt x="5258" y="108"/>
                                </a:lnTo>
                                <a:lnTo>
                                  <a:pt x="5258" y="12"/>
                                </a:lnTo>
                                <a:lnTo>
                                  <a:pt x="5973" y="12"/>
                                </a:lnTo>
                                <a:lnTo>
                                  <a:pt x="5973" y="0"/>
                                </a:lnTo>
                                <a:lnTo>
                                  <a:pt x="5258" y="0"/>
                                </a:lnTo>
                                <a:lnTo>
                                  <a:pt x="5224" y="0"/>
                                </a:lnTo>
                                <a:lnTo>
                                  <a:pt x="5224" y="0"/>
                                </a:lnTo>
                                <a:lnTo>
                                  <a:pt x="5224" y="12"/>
                                </a:lnTo>
                                <a:lnTo>
                                  <a:pt x="5224" y="108"/>
                                </a:lnTo>
                                <a:lnTo>
                                  <a:pt x="4509" y="108"/>
                                </a:lnTo>
                                <a:lnTo>
                                  <a:pt x="4509" y="12"/>
                                </a:lnTo>
                                <a:lnTo>
                                  <a:pt x="5224" y="12"/>
                                </a:lnTo>
                                <a:lnTo>
                                  <a:pt x="5224" y="0"/>
                                </a:lnTo>
                                <a:lnTo>
                                  <a:pt x="4509" y="0"/>
                                </a:lnTo>
                                <a:lnTo>
                                  <a:pt x="4476" y="0"/>
                                </a:lnTo>
                                <a:lnTo>
                                  <a:pt x="4476" y="0"/>
                                </a:lnTo>
                                <a:lnTo>
                                  <a:pt x="4476" y="12"/>
                                </a:lnTo>
                                <a:lnTo>
                                  <a:pt x="4476" y="108"/>
                                </a:lnTo>
                                <a:lnTo>
                                  <a:pt x="3760" y="108"/>
                                </a:lnTo>
                                <a:lnTo>
                                  <a:pt x="3760" y="12"/>
                                </a:lnTo>
                                <a:lnTo>
                                  <a:pt x="4476" y="12"/>
                                </a:lnTo>
                                <a:lnTo>
                                  <a:pt x="4476" y="0"/>
                                </a:lnTo>
                                <a:lnTo>
                                  <a:pt x="3760" y="0"/>
                                </a:lnTo>
                                <a:lnTo>
                                  <a:pt x="3727" y="0"/>
                                </a:lnTo>
                                <a:lnTo>
                                  <a:pt x="3727" y="0"/>
                                </a:lnTo>
                                <a:lnTo>
                                  <a:pt x="3727" y="12"/>
                                </a:lnTo>
                                <a:lnTo>
                                  <a:pt x="3727" y="108"/>
                                </a:lnTo>
                                <a:lnTo>
                                  <a:pt x="3012" y="108"/>
                                </a:lnTo>
                                <a:lnTo>
                                  <a:pt x="3012" y="12"/>
                                </a:lnTo>
                                <a:lnTo>
                                  <a:pt x="3727" y="12"/>
                                </a:lnTo>
                                <a:lnTo>
                                  <a:pt x="3727" y="0"/>
                                </a:lnTo>
                                <a:lnTo>
                                  <a:pt x="3012" y="0"/>
                                </a:lnTo>
                                <a:lnTo>
                                  <a:pt x="2978" y="0"/>
                                </a:lnTo>
                                <a:lnTo>
                                  <a:pt x="2978" y="0"/>
                                </a:lnTo>
                                <a:lnTo>
                                  <a:pt x="2978" y="12"/>
                                </a:lnTo>
                                <a:lnTo>
                                  <a:pt x="2978" y="108"/>
                                </a:lnTo>
                                <a:lnTo>
                                  <a:pt x="2263" y="108"/>
                                </a:lnTo>
                                <a:lnTo>
                                  <a:pt x="2263" y="12"/>
                                </a:lnTo>
                                <a:lnTo>
                                  <a:pt x="2978" y="12"/>
                                </a:lnTo>
                                <a:lnTo>
                                  <a:pt x="2978" y="0"/>
                                </a:lnTo>
                                <a:lnTo>
                                  <a:pt x="2263" y="0"/>
                                </a:lnTo>
                                <a:lnTo>
                                  <a:pt x="2229" y="0"/>
                                </a:lnTo>
                                <a:lnTo>
                                  <a:pt x="2229" y="0"/>
                                </a:lnTo>
                                <a:lnTo>
                                  <a:pt x="2229" y="12"/>
                                </a:lnTo>
                                <a:lnTo>
                                  <a:pt x="2229" y="108"/>
                                </a:lnTo>
                                <a:lnTo>
                                  <a:pt x="1514" y="108"/>
                                </a:lnTo>
                                <a:lnTo>
                                  <a:pt x="1514" y="12"/>
                                </a:lnTo>
                                <a:lnTo>
                                  <a:pt x="2229" y="12"/>
                                </a:lnTo>
                                <a:lnTo>
                                  <a:pt x="2229" y="0"/>
                                </a:lnTo>
                                <a:lnTo>
                                  <a:pt x="1514" y="0"/>
                                </a:lnTo>
                                <a:lnTo>
                                  <a:pt x="1480" y="0"/>
                                </a:lnTo>
                                <a:lnTo>
                                  <a:pt x="1480" y="0"/>
                                </a:lnTo>
                                <a:lnTo>
                                  <a:pt x="1480" y="12"/>
                                </a:lnTo>
                                <a:lnTo>
                                  <a:pt x="1480" y="120"/>
                                </a:lnTo>
                                <a:lnTo>
                                  <a:pt x="765" y="120"/>
                                </a:lnTo>
                                <a:lnTo>
                                  <a:pt x="765" y="108"/>
                                </a:lnTo>
                                <a:lnTo>
                                  <a:pt x="765" y="12"/>
                                </a:lnTo>
                                <a:lnTo>
                                  <a:pt x="1480" y="12"/>
                                </a:lnTo>
                                <a:lnTo>
                                  <a:pt x="1480" y="0"/>
                                </a:lnTo>
                                <a:lnTo>
                                  <a:pt x="765" y="0"/>
                                </a:lnTo>
                                <a:lnTo>
                                  <a:pt x="732" y="0"/>
                                </a:lnTo>
                                <a:lnTo>
                                  <a:pt x="0" y="0"/>
                                </a:lnTo>
                                <a:lnTo>
                                  <a:pt x="0" y="12"/>
                                </a:lnTo>
                                <a:lnTo>
                                  <a:pt x="732" y="12"/>
                                </a:lnTo>
                                <a:lnTo>
                                  <a:pt x="732" y="108"/>
                                </a:lnTo>
                                <a:lnTo>
                                  <a:pt x="0" y="108"/>
                                </a:lnTo>
                                <a:lnTo>
                                  <a:pt x="0" y="141"/>
                                </a:lnTo>
                                <a:lnTo>
                                  <a:pt x="732" y="141"/>
                                </a:lnTo>
                                <a:lnTo>
                                  <a:pt x="765" y="141"/>
                                </a:lnTo>
                                <a:lnTo>
                                  <a:pt x="765" y="132"/>
                                </a:lnTo>
                                <a:lnTo>
                                  <a:pt x="1480" y="132"/>
                                </a:lnTo>
                                <a:lnTo>
                                  <a:pt x="1480" y="141"/>
                                </a:lnTo>
                                <a:lnTo>
                                  <a:pt x="1514" y="141"/>
                                </a:lnTo>
                                <a:lnTo>
                                  <a:pt x="2229" y="141"/>
                                </a:lnTo>
                                <a:lnTo>
                                  <a:pt x="2263" y="141"/>
                                </a:lnTo>
                                <a:lnTo>
                                  <a:pt x="2978" y="141"/>
                                </a:lnTo>
                                <a:lnTo>
                                  <a:pt x="3012" y="141"/>
                                </a:lnTo>
                                <a:lnTo>
                                  <a:pt x="3727" y="141"/>
                                </a:lnTo>
                                <a:lnTo>
                                  <a:pt x="3760" y="141"/>
                                </a:lnTo>
                                <a:lnTo>
                                  <a:pt x="4476" y="141"/>
                                </a:lnTo>
                                <a:lnTo>
                                  <a:pt x="4509" y="141"/>
                                </a:lnTo>
                                <a:lnTo>
                                  <a:pt x="5224" y="141"/>
                                </a:lnTo>
                                <a:lnTo>
                                  <a:pt x="5258" y="141"/>
                                </a:lnTo>
                                <a:lnTo>
                                  <a:pt x="5258" y="132"/>
                                </a:lnTo>
                                <a:lnTo>
                                  <a:pt x="5973" y="132"/>
                                </a:lnTo>
                                <a:lnTo>
                                  <a:pt x="5973" y="141"/>
                                </a:lnTo>
                                <a:lnTo>
                                  <a:pt x="6007" y="141"/>
                                </a:lnTo>
                                <a:lnTo>
                                  <a:pt x="6722" y="141"/>
                                </a:lnTo>
                                <a:lnTo>
                                  <a:pt x="6756" y="141"/>
                                </a:lnTo>
                                <a:lnTo>
                                  <a:pt x="6756" y="132"/>
                                </a:lnTo>
                                <a:lnTo>
                                  <a:pt x="7471" y="132"/>
                                </a:lnTo>
                                <a:lnTo>
                                  <a:pt x="7471" y="141"/>
                                </a:lnTo>
                                <a:lnTo>
                                  <a:pt x="7504" y="141"/>
                                </a:lnTo>
                                <a:lnTo>
                                  <a:pt x="8220" y="141"/>
                                </a:lnTo>
                                <a:lnTo>
                                  <a:pt x="8253" y="141"/>
                                </a:lnTo>
                                <a:lnTo>
                                  <a:pt x="8968" y="141"/>
                                </a:lnTo>
                                <a:lnTo>
                                  <a:pt x="9002" y="141"/>
                                </a:lnTo>
                                <a:lnTo>
                                  <a:pt x="9002" y="108"/>
                                </a:lnTo>
                                <a:lnTo>
                                  <a:pt x="9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
                        <wps:cNvSpPr>
                          <a:spLocks/>
                        </wps:cNvSpPr>
                        <wps:spPr bwMode="auto">
                          <a:xfrm>
                            <a:off x="797" y="2278"/>
                            <a:ext cx="642" cy="456"/>
                          </a:xfrm>
                          <a:custGeom>
                            <a:avLst/>
                            <a:gdLst>
                              <a:gd name="T0" fmla="*/ 331 w 642"/>
                              <a:gd name="T1" fmla="*/ 0 h 456"/>
                              <a:gd name="T2" fmla="*/ 267 w 642"/>
                              <a:gd name="T3" fmla="*/ 73 h 456"/>
                              <a:gd name="T4" fmla="*/ 175 w 642"/>
                              <a:gd name="T5" fmla="*/ 91 h 456"/>
                              <a:gd name="T6" fmla="*/ 98 w 642"/>
                              <a:gd name="T7" fmla="*/ 123 h 456"/>
                              <a:gd name="T8" fmla="*/ 40 w 642"/>
                              <a:gd name="T9" fmla="*/ 168 h 456"/>
                              <a:gd name="T10" fmla="*/ 5 w 642"/>
                              <a:gd name="T11" fmla="*/ 221 h 456"/>
                              <a:gd name="T12" fmla="*/ 0 w 642"/>
                              <a:gd name="T13" fmla="*/ 283 h 456"/>
                              <a:gd name="T14" fmla="*/ 25 w 642"/>
                              <a:gd name="T15" fmla="*/ 340 h 456"/>
                              <a:gd name="T16" fmla="*/ 78 w 642"/>
                              <a:gd name="T17" fmla="*/ 390 h 456"/>
                              <a:gd name="T18" fmla="*/ 155 w 642"/>
                              <a:gd name="T19" fmla="*/ 428 h 456"/>
                              <a:gd name="T20" fmla="*/ 251 w 642"/>
                              <a:gd name="T21" fmla="*/ 451 h 456"/>
                              <a:gd name="T22" fmla="*/ 337 w 642"/>
                              <a:gd name="T23" fmla="*/ 455 h 456"/>
                              <a:gd name="T24" fmla="*/ 420 w 642"/>
                              <a:gd name="T25" fmla="*/ 446 h 456"/>
                              <a:gd name="T26" fmla="*/ 494 w 642"/>
                              <a:gd name="T27" fmla="*/ 425 h 456"/>
                              <a:gd name="T28" fmla="*/ 558 w 642"/>
                              <a:gd name="T29" fmla="*/ 393 h 456"/>
                              <a:gd name="T30" fmla="*/ 606 w 642"/>
                              <a:gd name="T31" fmla="*/ 352 h 456"/>
                              <a:gd name="T32" fmla="*/ 636 w 642"/>
                              <a:gd name="T33" fmla="*/ 304 h 456"/>
                              <a:gd name="T34" fmla="*/ 641 w 642"/>
                              <a:gd name="T35" fmla="*/ 243 h 456"/>
                              <a:gd name="T36" fmla="*/ 616 w 642"/>
                              <a:gd name="T37" fmla="*/ 185 h 456"/>
                              <a:gd name="T38" fmla="*/ 562 w 642"/>
                              <a:gd name="T39" fmla="*/ 135 h 456"/>
                              <a:gd name="T40" fmla="*/ 486 w 642"/>
                              <a:gd name="T41" fmla="*/ 97 h 456"/>
                              <a:gd name="T42" fmla="*/ 390 w 642"/>
                              <a:gd name="T43" fmla="*/ 75 h 456"/>
                              <a:gd name="T44" fmla="*/ 331 w 642"/>
                              <a:gd name="T4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42" h="456">
                                <a:moveTo>
                                  <a:pt x="331" y="0"/>
                                </a:moveTo>
                                <a:lnTo>
                                  <a:pt x="267" y="73"/>
                                </a:lnTo>
                                <a:lnTo>
                                  <a:pt x="175" y="91"/>
                                </a:lnTo>
                                <a:lnTo>
                                  <a:pt x="98" y="123"/>
                                </a:lnTo>
                                <a:lnTo>
                                  <a:pt x="40" y="168"/>
                                </a:lnTo>
                                <a:lnTo>
                                  <a:pt x="5" y="221"/>
                                </a:lnTo>
                                <a:lnTo>
                                  <a:pt x="0" y="283"/>
                                </a:lnTo>
                                <a:lnTo>
                                  <a:pt x="25" y="340"/>
                                </a:lnTo>
                                <a:lnTo>
                                  <a:pt x="78" y="390"/>
                                </a:lnTo>
                                <a:lnTo>
                                  <a:pt x="155" y="428"/>
                                </a:lnTo>
                                <a:lnTo>
                                  <a:pt x="251" y="451"/>
                                </a:lnTo>
                                <a:lnTo>
                                  <a:pt x="337" y="455"/>
                                </a:lnTo>
                                <a:lnTo>
                                  <a:pt x="420" y="446"/>
                                </a:lnTo>
                                <a:lnTo>
                                  <a:pt x="494" y="425"/>
                                </a:lnTo>
                                <a:lnTo>
                                  <a:pt x="558" y="393"/>
                                </a:lnTo>
                                <a:lnTo>
                                  <a:pt x="606" y="352"/>
                                </a:lnTo>
                                <a:lnTo>
                                  <a:pt x="636" y="304"/>
                                </a:lnTo>
                                <a:lnTo>
                                  <a:pt x="641" y="243"/>
                                </a:lnTo>
                                <a:lnTo>
                                  <a:pt x="616" y="185"/>
                                </a:lnTo>
                                <a:lnTo>
                                  <a:pt x="562" y="135"/>
                                </a:lnTo>
                                <a:lnTo>
                                  <a:pt x="486" y="97"/>
                                </a:lnTo>
                                <a:lnTo>
                                  <a:pt x="390" y="75"/>
                                </a:lnTo>
                                <a:lnTo>
                                  <a:pt x="331" y="0"/>
                                </a:lnTo>
                                <a:close/>
                              </a:path>
                            </a:pathLst>
                          </a:custGeom>
                          <a:solidFill>
                            <a:srgbClr val="CCA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7"/>
                        <wps:cNvSpPr>
                          <a:spLocks/>
                        </wps:cNvSpPr>
                        <wps:spPr bwMode="auto">
                          <a:xfrm>
                            <a:off x="1119" y="1471"/>
                            <a:ext cx="20" cy="772"/>
                          </a:xfrm>
                          <a:custGeom>
                            <a:avLst/>
                            <a:gdLst>
                              <a:gd name="T0" fmla="*/ 0 w 20"/>
                              <a:gd name="T1" fmla="*/ 0 h 772"/>
                              <a:gd name="T2" fmla="*/ 5 w 20"/>
                              <a:gd name="T3" fmla="*/ 771 h 772"/>
                            </a:gdLst>
                            <a:ahLst/>
                            <a:cxnLst>
                              <a:cxn ang="0">
                                <a:pos x="T0" y="T1"/>
                              </a:cxn>
                              <a:cxn ang="0">
                                <a:pos x="T2" y="T3"/>
                              </a:cxn>
                            </a:cxnLst>
                            <a:rect l="0" t="0" r="r" b="b"/>
                            <a:pathLst>
                              <a:path w="20" h="772">
                                <a:moveTo>
                                  <a:pt x="0" y="0"/>
                                </a:moveTo>
                                <a:lnTo>
                                  <a:pt x="5" y="771"/>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8"/>
                        <wps:cNvSpPr>
                          <a:spLocks/>
                        </wps:cNvSpPr>
                        <wps:spPr bwMode="auto">
                          <a:xfrm>
                            <a:off x="4541" y="202"/>
                            <a:ext cx="639" cy="442"/>
                          </a:xfrm>
                          <a:custGeom>
                            <a:avLst/>
                            <a:gdLst>
                              <a:gd name="T0" fmla="*/ 286 w 639"/>
                              <a:gd name="T1" fmla="*/ 0 h 442"/>
                              <a:gd name="T2" fmla="*/ 205 w 639"/>
                              <a:gd name="T3" fmla="*/ 10 h 442"/>
                              <a:gd name="T4" fmla="*/ 132 w 639"/>
                              <a:gd name="T5" fmla="*/ 33 h 442"/>
                              <a:gd name="T6" fmla="*/ 71 w 639"/>
                              <a:gd name="T7" fmla="*/ 64 h 442"/>
                              <a:gd name="T8" fmla="*/ 26 w 639"/>
                              <a:gd name="T9" fmla="*/ 105 h 442"/>
                              <a:gd name="T10" fmla="*/ 0 w 639"/>
                              <a:gd name="T11" fmla="*/ 152 h 442"/>
                              <a:gd name="T12" fmla="*/ 0 w 639"/>
                              <a:gd name="T13" fmla="*/ 211 h 442"/>
                              <a:gd name="T14" fmla="*/ 30 w 639"/>
                              <a:gd name="T15" fmla="*/ 265 h 442"/>
                              <a:gd name="T16" fmla="*/ 87 w 639"/>
                              <a:gd name="T17" fmla="*/ 311 h 442"/>
                              <a:gd name="T18" fmla="*/ 167 w 639"/>
                              <a:gd name="T19" fmla="*/ 345 h 442"/>
                              <a:gd name="T20" fmla="*/ 265 w 639"/>
                              <a:gd name="T21" fmla="*/ 364 h 442"/>
                              <a:gd name="T22" fmla="*/ 330 w 639"/>
                              <a:gd name="T23" fmla="*/ 441 h 442"/>
                              <a:gd name="T24" fmla="*/ 388 w 639"/>
                              <a:gd name="T25" fmla="*/ 362 h 442"/>
                              <a:gd name="T26" fmla="*/ 478 w 639"/>
                              <a:gd name="T27" fmla="*/ 343 h 442"/>
                              <a:gd name="T28" fmla="*/ 553 w 639"/>
                              <a:gd name="T29" fmla="*/ 309 h 442"/>
                              <a:gd name="T30" fmla="*/ 607 w 639"/>
                              <a:gd name="T31" fmla="*/ 266 h 442"/>
                              <a:gd name="T32" fmla="*/ 638 w 639"/>
                              <a:gd name="T33" fmla="*/ 213 h 442"/>
                              <a:gd name="T34" fmla="*/ 638 w 639"/>
                              <a:gd name="T35" fmla="*/ 154 h 442"/>
                              <a:gd name="T36" fmla="*/ 608 w 639"/>
                              <a:gd name="T37" fmla="*/ 100 h 442"/>
                              <a:gd name="T38" fmla="*/ 551 w 639"/>
                              <a:gd name="T39" fmla="*/ 54 h 442"/>
                              <a:gd name="T40" fmla="*/ 471 w 639"/>
                              <a:gd name="T41" fmla="*/ 20 h 442"/>
                              <a:gd name="T42" fmla="*/ 373 w 639"/>
                              <a:gd name="T43" fmla="*/ 1 h 442"/>
                              <a:gd name="T44" fmla="*/ 286 w 639"/>
                              <a:gd name="T45"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9" h="442">
                                <a:moveTo>
                                  <a:pt x="286" y="0"/>
                                </a:moveTo>
                                <a:lnTo>
                                  <a:pt x="205" y="10"/>
                                </a:lnTo>
                                <a:lnTo>
                                  <a:pt x="132" y="33"/>
                                </a:lnTo>
                                <a:lnTo>
                                  <a:pt x="71" y="64"/>
                                </a:lnTo>
                                <a:lnTo>
                                  <a:pt x="26" y="105"/>
                                </a:lnTo>
                                <a:lnTo>
                                  <a:pt x="0" y="152"/>
                                </a:lnTo>
                                <a:lnTo>
                                  <a:pt x="0" y="211"/>
                                </a:lnTo>
                                <a:lnTo>
                                  <a:pt x="30" y="265"/>
                                </a:lnTo>
                                <a:lnTo>
                                  <a:pt x="87" y="311"/>
                                </a:lnTo>
                                <a:lnTo>
                                  <a:pt x="167" y="345"/>
                                </a:lnTo>
                                <a:lnTo>
                                  <a:pt x="265" y="364"/>
                                </a:lnTo>
                                <a:lnTo>
                                  <a:pt x="330" y="441"/>
                                </a:lnTo>
                                <a:lnTo>
                                  <a:pt x="388" y="362"/>
                                </a:lnTo>
                                <a:lnTo>
                                  <a:pt x="478" y="343"/>
                                </a:lnTo>
                                <a:lnTo>
                                  <a:pt x="553" y="309"/>
                                </a:lnTo>
                                <a:lnTo>
                                  <a:pt x="607" y="266"/>
                                </a:lnTo>
                                <a:lnTo>
                                  <a:pt x="638" y="213"/>
                                </a:lnTo>
                                <a:lnTo>
                                  <a:pt x="638" y="154"/>
                                </a:lnTo>
                                <a:lnTo>
                                  <a:pt x="608" y="100"/>
                                </a:lnTo>
                                <a:lnTo>
                                  <a:pt x="551" y="54"/>
                                </a:lnTo>
                                <a:lnTo>
                                  <a:pt x="471" y="20"/>
                                </a:lnTo>
                                <a:lnTo>
                                  <a:pt x="373" y="1"/>
                                </a:lnTo>
                                <a:lnTo>
                                  <a:pt x="286" y="0"/>
                                </a:lnTo>
                                <a:close/>
                              </a:path>
                            </a:pathLst>
                          </a:custGeom>
                          <a:solidFill>
                            <a:srgbClr val="F724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9"/>
                        <wps:cNvSpPr>
                          <a:spLocks/>
                        </wps:cNvSpPr>
                        <wps:spPr bwMode="auto">
                          <a:xfrm>
                            <a:off x="4866" y="701"/>
                            <a:ext cx="20" cy="611"/>
                          </a:xfrm>
                          <a:custGeom>
                            <a:avLst/>
                            <a:gdLst>
                              <a:gd name="T0" fmla="*/ 0 w 20"/>
                              <a:gd name="T1" fmla="*/ 0 h 611"/>
                              <a:gd name="T2" fmla="*/ 9 w 20"/>
                              <a:gd name="T3" fmla="*/ 610 h 611"/>
                            </a:gdLst>
                            <a:ahLst/>
                            <a:cxnLst>
                              <a:cxn ang="0">
                                <a:pos x="T0" y="T1"/>
                              </a:cxn>
                              <a:cxn ang="0">
                                <a:pos x="T2" y="T3"/>
                              </a:cxn>
                            </a:cxnLst>
                            <a:rect l="0" t="0" r="r" b="b"/>
                            <a:pathLst>
                              <a:path w="20" h="611">
                                <a:moveTo>
                                  <a:pt x="0" y="0"/>
                                </a:moveTo>
                                <a:lnTo>
                                  <a:pt x="9" y="610"/>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0"/>
                        <wps:cNvSpPr>
                          <a:spLocks/>
                        </wps:cNvSpPr>
                        <wps:spPr bwMode="auto">
                          <a:xfrm>
                            <a:off x="377" y="448"/>
                            <a:ext cx="20" cy="864"/>
                          </a:xfrm>
                          <a:custGeom>
                            <a:avLst/>
                            <a:gdLst>
                              <a:gd name="T0" fmla="*/ 12 w 20"/>
                              <a:gd name="T1" fmla="*/ 0 h 864"/>
                              <a:gd name="T2" fmla="*/ 0 w 20"/>
                              <a:gd name="T3" fmla="*/ 863 h 864"/>
                            </a:gdLst>
                            <a:ahLst/>
                            <a:cxnLst>
                              <a:cxn ang="0">
                                <a:pos x="T0" y="T1"/>
                              </a:cxn>
                              <a:cxn ang="0">
                                <a:pos x="T2" y="T3"/>
                              </a:cxn>
                            </a:cxnLst>
                            <a:rect l="0" t="0" r="r" b="b"/>
                            <a:pathLst>
                              <a:path w="20" h="864">
                                <a:moveTo>
                                  <a:pt x="12" y="0"/>
                                </a:moveTo>
                                <a:lnTo>
                                  <a:pt x="0" y="863"/>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1"/>
                        <wps:cNvSpPr>
                          <a:spLocks/>
                        </wps:cNvSpPr>
                        <wps:spPr bwMode="auto">
                          <a:xfrm>
                            <a:off x="7093" y="1445"/>
                            <a:ext cx="20" cy="658"/>
                          </a:xfrm>
                          <a:custGeom>
                            <a:avLst/>
                            <a:gdLst>
                              <a:gd name="T0" fmla="*/ 0 w 20"/>
                              <a:gd name="T1" fmla="*/ 0 h 658"/>
                              <a:gd name="T2" fmla="*/ 14 w 20"/>
                              <a:gd name="T3" fmla="*/ 657 h 658"/>
                            </a:gdLst>
                            <a:ahLst/>
                            <a:cxnLst>
                              <a:cxn ang="0">
                                <a:pos x="T0" y="T1"/>
                              </a:cxn>
                              <a:cxn ang="0">
                                <a:pos x="T2" y="T3"/>
                              </a:cxn>
                            </a:cxnLst>
                            <a:rect l="0" t="0" r="r" b="b"/>
                            <a:pathLst>
                              <a:path w="20" h="658">
                                <a:moveTo>
                                  <a:pt x="0" y="0"/>
                                </a:moveTo>
                                <a:lnTo>
                                  <a:pt x="14" y="657"/>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2"/>
                        <wps:cNvSpPr>
                          <a:spLocks/>
                        </wps:cNvSpPr>
                        <wps:spPr bwMode="auto">
                          <a:xfrm>
                            <a:off x="48" y="14"/>
                            <a:ext cx="639" cy="409"/>
                          </a:xfrm>
                          <a:custGeom>
                            <a:avLst/>
                            <a:gdLst>
                              <a:gd name="T0" fmla="*/ 286 w 639"/>
                              <a:gd name="T1" fmla="*/ 0 h 409"/>
                              <a:gd name="T2" fmla="*/ 205 w 639"/>
                              <a:gd name="T3" fmla="*/ 10 h 409"/>
                              <a:gd name="T4" fmla="*/ 132 w 639"/>
                              <a:gd name="T5" fmla="*/ 30 h 409"/>
                              <a:gd name="T6" fmla="*/ 71 w 639"/>
                              <a:gd name="T7" fmla="*/ 60 h 409"/>
                              <a:gd name="T8" fmla="*/ 26 w 639"/>
                              <a:gd name="T9" fmla="*/ 97 h 409"/>
                              <a:gd name="T10" fmla="*/ 0 w 639"/>
                              <a:gd name="T11" fmla="*/ 140 h 409"/>
                              <a:gd name="T12" fmla="*/ 0 w 639"/>
                              <a:gd name="T13" fmla="*/ 195 h 409"/>
                              <a:gd name="T14" fmla="*/ 30 w 639"/>
                              <a:gd name="T15" fmla="*/ 245 h 409"/>
                              <a:gd name="T16" fmla="*/ 87 w 639"/>
                              <a:gd name="T17" fmla="*/ 288 h 409"/>
                              <a:gd name="T18" fmla="*/ 167 w 639"/>
                              <a:gd name="T19" fmla="*/ 319 h 409"/>
                              <a:gd name="T20" fmla="*/ 265 w 639"/>
                              <a:gd name="T21" fmla="*/ 337 h 409"/>
                              <a:gd name="T22" fmla="*/ 330 w 639"/>
                              <a:gd name="T23" fmla="*/ 408 h 409"/>
                              <a:gd name="T24" fmla="*/ 388 w 639"/>
                              <a:gd name="T25" fmla="*/ 335 h 409"/>
                              <a:gd name="T26" fmla="*/ 478 w 639"/>
                              <a:gd name="T27" fmla="*/ 317 h 409"/>
                              <a:gd name="T28" fmla="*/ 553 w 639"/>
                              <a:gd name="T29" fmla="*/ 286 h 409"/>
                              <a:gd name="T30" fmla="*/ 607 w 639"/>
                              <a:gd name="T31" fmla="*/ 246 h 409"/>
                              <a:gd name="T32" fmla="*/ 638 w 639"/>
                              <a:gd name="T33" fmla="*/ 197 h 409"/>
                              <a:gd name="T34" fmla="*/ 638 w 639"/>
                              <a:gd name="T35" fmla="*/ 143 h 409"/>
                              <a:gd name="T36" fmla="*/ 608 w 639"/>
                              <a:gd name="T37" fmla="*/ 93 h 409"/>
                              <a:gd name="T38" fmla="*/ 551 w 639"/>
                              <a:gd name="T39" fmla="*/ 50 h 409"/>
                              <a:gd name="T40" fmla="*/ 471 w 639"/>
                              <a:gd name="T41" fmla="*/ 19 h 409"/>
                              <a:gd name="T42" fmla="*/ 373 w 639"/>
                              <a:gd name="T43" fmla="*/ 1 h 409"/>
                              <a:gd name="T44" fmla="*/ 286 w 639"/>
                              <a:gd name="T45"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9" h="409">
                                <a:moveTo>
                                  <a:pt x="286" y="0"/>
                                </a:moveTo>
                                <a:lnTo>
                                  <a:pt x="205" y="10"/>
                                </a:lnTo>
                                <a:lnTo>
                                  <a:pt x="132" y="30"/>
                                </a:lnTo>
                                <a:lnTo>
                                  <a:pt x="71" y="60"/>
                                </a:lnTo>
                                <a:lnTo>
                                  <a:pt x="26" y="97"/>
                                </a:lnTo>
                                <a:lnTo>
                                  <a:pt x="0" y="140"/>
                                </a:lnTo>
                                <a:lnTo>
                                  <a:pt x="0" y="195"/>
                                </a:lnTo>
                                <a:lnTo>
                                  <a:pt x="30" y="245"/>
                                </a:lnTo>
                                <a:lnTo>
                                  <a:pt x="87" y="288"/>
                                </a:lnTo>
                                <a:lnTo>
                                  <a:pt x="167" y="319"/>
                                </a:lnTo>
                                <a:lnTo>
                                  <a:pt x="265" y="337"/>
                                </a:lnTo>
                                <a:lnTo>
                                  <a:pt x="330" y="408"/>
                                </a:lnTo>
                                <a:lnTo>
                                  <a:pt x="388" y="335"/>
                                </a:lnTo>
                                <a:lnTo>
                                  <a:pt x="478" y="317"/>
                                </a:lnTo>
                                <a:lnTo>
                                  <a:pt x="553" y="286"/>
                                </a:lnTo>
                                <a:lnTo>
                                  <a:pt x="607" y="246"/>
                                </a:lnTo>
                                <a:lnTo>
                                  <a:pt x="638" y="197"/>
                                </a:lnTo>
                                <a:lnTo>
                                  <a:pt x="638" y="143"/>
                                </a:lnTo>
                                <a:lnTo>
                                  <a:pt x="608" y="93"/>
                                </a:lnTo>
                                <a:lnTo>
                                  <a:pt x="551" y="50"/>
                                </a:lnTo>
                                <a:lnTo>
                                  <a:pt x="471" y="19"/>
                                </a:lnTo>
                                <a:lnTo>
                                  <a:pt x="373" y="1"/>
                                </a:lnTo>
                                <a:lnTo>
                                  <a:pt x="28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3"/>
                        <wps:cNvSpPr>
                          <a:spLocks/>
                        </wps:cNvSpPr>
                        <wps:spPr bwMode="auto">
                          <a:xfrm>
                            <a:off x="6784" y="2134"/>
                            <a:ext cx="646" cy="505"/>
                          </a:xfrm>
                          <a:custGeom>
                            <a:avLst/>
                            <a:gdLst>
                              <a:gd name="T0" fmla="*/ 333 w 646"/>
                              <a:gd name="T1" fmla="*/ 0 h 505"/>
                              <a:gd name="T2" fmla="*/ 268 w 646"/>
                              <a:gd name="T3" fmla="*/ 81 h 505"/>
                              <a:gd name="T4" fmla="*/ 177 w 646"/>
                              <a:gd name="T5" fmla="*/ 101 h 505"/>
                              <a:gd name="T6" fmla="*/ 99 w 646"/>
                              <a:gd name="T7" fmla="*/ 137 h 505"/>
                              <a:gd name="T8" fmla="*/ 41 w 646"/>
                              <a:gd name="T9" fmla="*/ 186 h 505"/>
                              <a:gd name="T10" fmla="*/ 7 w 646"/>
                              <a:gd name="T11" fmla="*/ 245 h 505"/>
                              <a:gd name="T12" fmla="*/ 0 w 646"/>
                              <a:gd name="T13" fmla="*/ 302 h 505"/>
                              <a:gd name="T14" fmla="*/ 15 w 646"/>
                              <a:gd name="T15" fmla="*/ 357 h 505"/>
                              <a:gd name="T16" fmla="*/ 50 w 646"/>
                              <a:gd name="T17" fmla="*/ 406 h 505"/>
                              <a:gd name="T18" fmla="*/ 103 w 646"/>
                              <a:gd name="T19" fmla="*/ 448 h 505"/>
                              <a:gd name="T20" fmla="*/ 172 w 646"/>
                              <a:gd name="T21" fmla="*/ 479 h 505"/>
                              <a:gd name="T22" fmla="*/ 253 w 646"/>
                              <a:gd name="T23" fmla="*/ 499 h 505"/>
                              <a:gd name="T24" fmla="*/ 339 w 646"/>
                              <a:gd name="T25" fmla="*/ 504 h 505"/>
                              <a:gd name="T26" fmla="*/ 422 w 646"/>
                              <a:gd name="T27" fmla="*/ 494 h 505"/>
                              <a:gd name="T28" fmla="*/ 496 w 646"/>
                              <a:gd name="T29" fmla="*/ 470 h 505"/>
                              <a:gd name="T30" fmla="*/ 560 w 646"/>
                              <a:gd name="T31" fmla="*/ 436 h 505"/>
                              <a:gd name="T32" fmla="*/ 608 w 646"/>
                              <a:gd name="T33" fmla="*/ 390 h 505"/>
                              <a:gd name="T34" fmla="*/ 638 w 646"/>
                              <a:gd name="T35" fmla="*/ 337 h 505"/>
                              <a:gd name="T36" fmla="*/ 645 w 646"/>
                              <a:gd name="T37" fmla="*/ 280 h 505"/>
                              <a:gd name="T38" fmla="*/ 630 w 646"/>
                              <a:gd name="T39" fmla="*/ 225 h 505"/>
                              <a:gd name="T40" fmla="*/ 595 w 646"/>
                              <a:gd name="T41" fmla="*/ 176 h 505"/>
                              <a:gd name="T42" fmla="*/ 542 w 646"/>
                              <a:gd name="T43" fmla="*/ 134 h 505"/>
                              <a:gd name="T44" fmla="*/ 473 w 646"/>
                              <a:gd name="T45" fmla="*/ 103 h 505"/>
                              <a:gd name="T46" fmla="*/ 392 w 646"/>
                              <a:gd name="T47" fmla="*/ 83 h 505"/>
                              <a:gd name="T48" fmla="*/ 333 w 646"/>
                              <a:gd name="T49"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6" h="505">
                                <a:moveTo>
                                  <a:pt x="333" y="0"/>
                                </a:moveTo>
                                <a:lnTo>
                                  <a:pt x="268" y="81"/>
                                </a:lnTo>
                                <a:lnTo>
                                  <a:pt x="177" y="101"/>
                                </a:lnTo>
                                <a:lnTo>
                                  <a:pt x="99" y="137"/>
                                </a:lnTo>
                                <a:lnTo>
                                  <a:pt x="41" y="186"/>
                                </a:lnTo>
                                <a:lnTo>
                                  <a:pt x="7" y="245"/>
                                </a:lnTo>
                                <a:lnTo>
                                  <a:pt x="0" y="302"/>
                                </a:lnTo>
                                <a:lnTo>
                                  <a:pt x="15" y="357"/>
                                </a:lnTo>
                                <a:lnTo>
                                  <a:pt x="50" y="406"/>
                                </a:lnTo>
                                <a:lnTo>
                                  <a:pt x="103" y="448"/>
                                </a:lnTo>
                                <a:lnTo>
                                  <a:pt x="172" y="479"/>
                                </a:lnTo>
                                <a:lnTo>
                                  <a:pt x="253" y="499"/>
                                </a:lnTo>
                                <a:lnTo>
                                  <a:pt x="339" y="504"/>
                                </a:lnTo>
                                <a:lnTo>
                                  <a:pt x="422" y="494"/>
                                </a:lnTo>
                                <a:lnTo>
                                  <a:pt x="496" y="470"/>
                                </a:lnTo>
                                <a:lnTo>
                                  <a:pt x="560" y="436"/>
                                </a:lnTo>
                                <a:lnTo>
                                  <a:pt x="608" y="390"/>
                                </a:lnTo>
                                <a:lnTo>
                                  <a:pt x="638" y="337"/>
                                </a:lnTo>
                                <a:lnTo>
                                  <a:pt x="645" y="280"/>
                                </a:lnTo>
                                <a:lnTo>
                                  <a:pt x="630" y="225"/>
                                </a:lnTo>
                                <a:lnTo>
                                  <a:pt x="595" y="176"/>
                                </a:lnTo>
                                <a:lnTo>
                                  <a:pt x="542" y="134"/>
                                </a:lnTo>
                                <a:lnTo>
                                  <a:pt x="473" y="103"/>
                                </a:lnTo>
                                <a:lnTo>
                                  <a:pt x="392" y="83"/>
                                </a:lnTo>
                                <a:lnTo>
                                  <a:pt x="333" y="0"/>
                                </a:lnTo>
                                <a:close/>
                              </a:path>
                            </a:pathLst>
                          </a:custGeom>
                          <a:solidFill>
                            <a:srgbClr val="E6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4"/>
                        <wps:cNvSpPr>
                          <a:spLocks/>
                        </wps:cNvSpPr>
                        <wps:spPr bwMode="auto">
                          <a:xfrm>
                            <a:off x="1874" y="580"/>
                            <a:ext cx="20" cy="733"/>
                          </a:xfrm>
                          <a:custGeom>
                            <a:avLst/>
                            <a:gdLst>
                              <a:gd name="T0" fmla="*/ 4 w 20"/>
                              <a:gd name="T1" fmla="*/ 0 h 733"/>
                              <a:gd name="T2" fmla="*/ 0 w 20"/>
                              <a:gd name="T3" fmla="*/ 732 h 733"/>
                            </a:gdLst>
                            <a:ahLst/>
                            <a:cxnLst>
                              <a:cxn ang="0">
                                <a:pos x="T0" y="T1"/>
                              </a:cxn>
                              <a:cxn ang="0">
                                <a:pos x="T2" y="T3"/>
                              </a:cxn>
                            </a:cxnLst>
                            <a:rect l="0" t="0" r="r" b="b"/>
                            <a:pathLst>
                              <a:path w="20" h="733">
                                <a:moveTo>
                                  <a:pt x="4" y="0"/>
                                </a:moveTo>
                                <a:lnTo>
                                  <a:pt x="0" y="732"/>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5"/>
                        <wps:cNvSpPr>
                          <a:spLocks/>
                        </wps:cNvSpPr>
                        <wps:spPr bwMode="auto">
                          <a:xfrm>
                            <a:off x="1509" y="126"/>
                            <a:ext cx="644" cy="415"/>
                          </a:xfrm>
                          <a:custGeom>
                            <a:avLst/>
                            <a:gdLst>
                              <a:gd name="T0" fmla="*/ 345 w 644"/>
                              <a:gd name="T1" fmla="*/ 0 h 415"/>
                              <a:gd name="T2" fmla="*/ 259 w 644"/>
                              <a:gd name="T3" fmla="*/ 2 h 415"/>
                              <a:gd name="T4" fmla="*/ 180 w 644"/>
                              <a:gd name="T5" fmla="*/ 17 h 415"/>
                              <a:gd name="T6" fmla="*/ 111 w 644"/>
                              <a:gd name="T7" fmla="*/ 42 h 415"/>
                              <a:gd name="T8" fmla="*/ 56 w 644"/>
                              <a:gd name="T9" fmla="*/ 75 h 415"/>
                              <a:gd name="T10" fmla="*/ 17 w 644"/>
                              <a:gd name="T11" fmla="*/ 115 h 415"/>
                              <a:gd name="T12" fmla="*/ 0 w 644"/>
                              <a:gd name="T13" fmla="*/ 161 h 415"/>
                              <a:gd name="T14" fmla="*/ 8 w 644"/>
                              <a:gd name="T15" fmla="*/ 217 h 415"/>
                              <a:gd name="T16" fmla="*/ 47 w 644"/>
                              <a:gd name="T17" fmla="*/ 267 h 415"/>
                              <a:gd name="T18" fmla="*/ 112 w 644"/>
                              <a:gd name="T19" fmla="*/ 308 h 415"/>
                              <a:gd name="T20" fmla="*/ 197 w 644"/>
                              <a:gd name="T21" fmla="*/ 336 h 415"/>
                              <a:gd name="T22" fmla="*/ 297 w 644"/>
                              <a:gd name="T23" fmla="*/ 349 h 415"/>
                              <a:gd name="T24" fmla="*/ 373 w 644"/>
                              <a:gd name="T25" fmla="*/ 414 h 415"/>
                              <a:gd name="T26" fmla="*/ 419 w 644"/>
                              <a:gd name="T27" fmla="*/ 342 h 415"/>
                              <a:gd name="T28" fmla="*/ 506 w 644"/>
                              <a:gd name="T29" fmla="*/ 318 h 415"/>
                              <a:gd name="T30" fmla="*/ 575 w 644"/>
                              <a:gd name="T31" fmla="*/ 283 h 415"/>
                              <a:gd name="T32" fmla="*/ 622 w 644"/>
                              <a:gd name="T33" fmla="*/ 239 h 415"/>
                              <a:gd name="T34" fmla="*/ 643 w 644"/>
                              <a:gd name="T35" fmla="*/ 188 h 415"/>
                              <a:gd name="T36" fmla="*/ 634 w 644"/>
                              <a:gd name="T37" fmla="*/ 132 h 415"/>
                              <a:gd name="T38" fmla="*/ 595 w 644"/>
                              <a:gd name="T39" fmla="*/ 82 h 415"/>
                              <a:gd name="T40" fmla="*/ 531 w 644"/>
                              <a:gd name="T41" fmla="*/ 41 h 415"/>
                              <a:gd name="T42" fmla="*/ 446 w 644"/>
                              <a:gd name="T43" fmla="*/ 13 h 415"/>
                              <a:gd name="T44" fmla="*/ 345 w 644"/>
                              <a:gd name="T45"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44" h="415">
                                <a:moveTo>
                                  <a:pt x="345" y="0"/>
                                </a:moveTo>
                                <a:lnTo>
                                  <a:pt x="259" y="2"/>
                                </a:lnTo>
                                <a:lnTo>
                                  <a:pt x="180" y="17"/>
                                </a:lnTo>
                                <a:lnTo>
                                  <a:pt x="111" y="42"/>
                                </a:lnTo>
                                <a:lnTo>
                                  <a:pt x="56" y="75"/>
                                </a:lnTo>
                                <a:lnTo>
                                  <a:pt x="17" y="115"/>
                                </a:lnTo>
                                <a:lnTo>
                                  <a:pt x="0" y="161"/>
                                </a:lnTo>
                                <a:lnTo>
                                  <a:pt x="8" y="217"/>
                                </a:lnTo>
                                <a:lnTo>
                                  <a:pt x="47" y="267"/>
                                </a:lnTo>
                                <a:lnTo>
                                  <a:pt x="112" y="308"/>
                                </a:lnTo>
                                <a:lnTo>
                                  <a:pt x="197" y="336"/>
                                </a:lnTo>
                                <a:lnTo>
                                  <a:pt x="297" y="349"/>
                                </a:lnTo>
                                <a:lnTo>
                                  <a:pt x="373" y="414"/>
                                </a:lnTo>
                                <a:lnTo>
                                  <a:pt x="419" y="342"/>
                                </a:lnTo>
                                <a:lnTo>
                                  <a:pt x="506" y="318"/>
                                </a:lnTo>
                                <a:lnTo>
                                  <a:pt x="575" y="283"/>
                                </a:lnTo>
                                <a:lnTo>
                                  <a:pt x="622" y="239"/>
                                </a:lnTo>
                                <a:lnTo>
                                  <a:pt x="643" y="188"/>
                                </a:lnTo>
                                <a:lnTo>
                                  <a:pt x="634" y="132"/>
                                </a:lnTo>
                                <a:lnTo>
                                  <a:pt x="595" y="82"/>
                                </a:lnTo>
                                <a:lnTo>
                                  <a:pt x="531" y="41"/>
                                </a:lnTo>
                                <a:lnTo>
                                  <a:pt x="446" y="13"/>
                                </a:lnTo>
                                <a:lnTo>
                                  <a:pt x="345"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6"/>
                        <wps:cNvSpPr>
                          <a:spLocks/>
                        </wps:cNvSpPr>
                        <wps:spPr bwMode="auto">
                          <a:xfrm>
                            <a:off x="2587" y="1412"/>
                            <a:ext cx="20" cy="704"/>
                          </a:xfrm>
                          <a:custGeom>
                            <a:avLst/>
                            <a:gdLst>
                              <a:gd name="T0" fmla="*/ 0 w 20"/>
                              <a:gd name="T1" fmla="*/ 0 h 704"/>
                              <a:gd name="T2" fmla="*/ 10 w 20"/>
                              <a:gd name="T3" fmla="*/ 703 h 704"/>
                            </a:gdLst>
                            <a:ahLst/>
                            <a:cxnLst>
                              <a:cxn ang="0">
                                <a:pos x="T0" y="T1"/>
                              </a:cxn>
                              <a:cxn ang="0">
                                <a:pos x="T2" y="T3"/>
                              </a:cxn>
                            </a:cxnLst>
                            <a:rect l="0" t="0" r="r" b="b"/>
                            <a:pathLst>
                              <a:path w="20" h="704">
                                <a:moveTo>
                                  <a:pt x="0" y="0"/>
                                </a:moveTo>
                                <a:lnTo>
                                  <a:pt x="10" y="703"/>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7"/>
                        <wps:cNvSpPr>
                          <a:spLocks/>
                        </wps:cNvSpPr>
                        <wps:spPr bwMode="auto">
                          <a:xfrm>
                            <a:off x="2288" y="2115"/>
                            <a:ext cx="638" cy="391"/>
                          </a:xfrm>
                          <a:custGeom>
                            <a:avLst/>
                            <a:gdLst>
                              <a:gd name="T0" fmla="*/ 307 w 638"/>
                              <a:gd name="T1" fmla="*/ 0 h 391"/>
                              <a:gd name="T2" fmla="*/ 248 w 638"/>
                              <a:gd name="T3" fmla="*/ 52 h 391"/>
                              <a:gd name="T4" fmla="*/ 159 w 638"/>
                              <a:gd name="T5" fmla="*/ 70 h 391"/>
                              <a:gd name="T6" fmla="*/ 84 w 638"/>
                              <a:gd name="T7" fmla="*/ 101 h 391"/>
                              <a:gd name="T8" fmla="*/ 30 w 638"/>
                              <a:gd name="T9" fmla="*/ 142 h 391"/>
                              <a:gd name="T10" fmla="*/ 0 w 638"/>
                              <a:gd name="T11" fmla="*/ 191 h 391"/>
                              <a:gd name="T12" fmla="*/ 0 w 638"/>
                              <a:gd name="T13" fmla="*/ 246 h 391"/>
                              <a:gd name="T14" fmla="*/ 30 w 638"/>
                              <a:gd name="T15" fmla="*/ 296 h 391"/>
                              <a:gd name="T16" fmla="*/ 87 w 638"/>
                              <a:gd name="T17" fmla="*/ 339 h 391"/>
                              <a:gd name="T18" fmla="*/ 167 w 638"/>
                              <a:gd name="T19" fmla="*/ 371 h 391"/>
                              <a:gd name="T20" fmla="*/ 265 w 638"/>
                              <a:gd name="T21" fmla="*/ 388 h 391"/>
                              <a:gd name="T22" fmla="*/ 351 w 638"/>
                              <a:gd name="T23" fmla="*/ 390 h 391"/>
                              <a:gd name="T24" fmla="*/ 433 w 638"/>
                              <a:gd name="T25" fmla="*/ 380 h 391"/>
                              <a:gd name="T26" fmla="*/ 505 w 638"/>
                              <a:gd name="T27" fmla="*/ 359 h 391"/>
                              <a:gd name="T28" fmla="*/ 566 w 638"/>
                              <a:gd name="T29" fmla="*/ 329 h 391"/>
                              <a:gd name="T30" fmla="*/ 611 w 638"/>
                              <a:gd name="T31" fmla="*/ 292 h 391"/>
                              <a:gd name="T32" fmla="*/ 636 w 638"/>
                              <a:gd name="T33" fmla="*/ 248 h 391"/>
                              <a:gd name="T34" fmla="*/ 637 w 638"/>
                              <a:gd name="T35" fmla="*/ 193 h 391"/>
                              <a:gd name="T36" fmla="*/ 606 w 638"/>
                              <a:gd name="T37" fmla="*/ 142 h 391"/>
                              <a:gd name="T38" fmla="*/ 549 w 638"/>
                              <a:gd name="T39" fmla="*/ 100 h 391"/>
                              <a:gd name="T40" fmla="*/ 469 w 638"/>
                              <a:gd name="T41" fmla="*/ 68 h 391"/>
                              <a:gd name="T42" fmla="*/ 371 w 638"/>
                              <a:gd name="T43" fmla="*/ 50 h 391"/>
                              <a:gd name="T44" fmla="*/ 307 w 638"/>
                              <a:gd name="T45"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8" h="391">
                                <a:moveTo>
                                  <a:pt x="307" y="0"/>
                                </a:moveTo>
                                <a:lnTo>
                                  <a:pt x="248" y="52"/>
                                </a:lnTo>
                                <a:lnTo>
                                  <a:pt x="159" y="70"/>
                                </a:lnTo>
                                <a:lnTo>
                                  <a:pt x="84" y="101"/>
                                </a:lnTo>
                                <a:lnTo>
                                  <a:pt x="30" y="142"/>
                                </a:lnTo>
                                <a:lnTo>
                                  <a:pt x="0" y="191"/>
                                </a:lnTo>
                                <a:lnTo>
                                  <a:pt x="0" y="246"/>
                                </a:lnTo>
                                <a:lnTo>
                                  <a:pt x="30" y="296"/>
                                </a:lnTo>
                                <a:lnTo>
                                  <a:pt x="87" y="339"/>
                                </a:lnTo>
                                <a:lnTo>
                                  <a:pt x="167" y="371"/>
                                </a:lnTo>
                                <a:lnTo>
                                  <a:pt x="265" y="388"/>
                                </a:lnTo>
                                <a:lnTo>
                                  <a:pt x="351" y="390"/>
                                </a:lnTo>
                                <a:lnTo>
                                  <a:pt x="433" y="380"/>
                                </a:lnTo>
                                <a:lnTo>
                                  <a:pt x="505" y="359"/>
                                </a:lnTo>
                                <a:lnTo>
                                  <a:pt x="566" y="329"/>
                                </a:lnTo>
                                <a:lnTo>
                                  <a:pt x="611" y="292"/>
                                </a:lnTo>
                                <a:lnTo>
                                  <a:pt x="636" y="248"/>
                                </a:lnTo>
                                <a:lnTo>
                                  <a:pt x="637" y="193"/>
                                </a:lnTo>
                                <a:lnTo>
                                  <a:pt x="606" y="142"/>
                                </a:lnTo>
                                <a:lnTo>
                                  <a:pt x="549" y="100"/>
                                </a:lnTo>
                                <a:lnTo>
                                  <a:pt x="469" y="68"/>
                                </a:lnTo>
                                <a:lnTo>
                                  <a:pt x="371" y="50"/>
                                </a:lnTo>
                                <a:lnTo>
                                  <a:pt x="307" y="0"/>
                                </a:lnTo>
                                <a:close/>
                              </a:path>
                            </a:pathLst>
                          </a:custGeom>
                          <a:solidFill>
                            <a:srgbClr val="BE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8"/>
                        <wps:cNvSpPr>
                          <a:spLocks/>
                        </wps:cNvSpPr>
                        <wps:spPr bwMode="auto">
                          <a:xfrm>
                            <a:off x="2288" y="2115"/>
                            <a:ext cx="638" cy="391"/>
                          </a:xfrm>
                          <a:custGeom>
                            <a:avLst/>
                            <a:gdLst>
                              <a:gd name="T0" fmla="*/ 307 w 638"/>
                              <a:gd name="T1" fmla="*/ 0 h 391"/>
                              <a:gd name="T2" fmla="*/ 371 w 638"/>
                              <a:gd name="T3" fmla="*/ 50 h 391"/>
                              <a:gd name="T4" fmla="*/ 469 w 638"/>
                              <a:gd name="T5" fmla="*/ 68 h 391"/>
                              <a:gd name="T6" fmla="*/ 549 w 638"/>
                              <a:gd name="T7" fmla="*/ 100 h 391"/>
                              <a:gd name="T8" fmla="*/ 606 w 638"/>
                              <a:gd name="T9" fmla="*/ 142 h 391"/>
                              <a:gd name="T10" fmla="*/ 637 w 638"/>
                              <a:gd name="T11" fmla="*/ 193 h 391"/>
                              <a:gd name="T12" fmla="*/ 636 w 638"/>
                              <a:gd name="T13" fmla="*/ 248 h 391"/>
                              <a:gd name="T14" fmla="*/ 611 w 638"/>
                              <a:gd name="T15" fmla="*/ 292 h 391"/>
                              <a:gd name="T16" fmla="*/ 566 w 638"/>
                              <a:gd name="T17" fmla="*/ 329 h 391"/>
                              <a:gd name="T18" fmla="*/ 505 w 638"/>
                              <a:gd name="T19" fmla="*/ 359 h 391"/>
                              <a:gd name="T20" fmla="*/ 433 w 638"/>
                              <a:gd name="T21" fmla="*/ 380 h 391"/>
                              <a:gd name="T22" fmla="*/ 351 w 638"/>
                              <a:gd name="T23" fmla="*/ 390 h 391"/>
                              <a:gd name="T24" fmla="*/ 265 w 638"/>
                              <a:gd name="T25" fmla="*/ 388 h 391"/>
                              <a:gd name="T26" fmla="*/ 167 w 638"/>
                              <a:gd name="T27" fmla="*/ 371 h 391"/>
                              <a:gd name="T28" fmla="*/ 87 w 638"/>
                              <a:gd name="T29" fmla="*/ 339 h 391"/>
                              <a:gd name="T30" fmla="*/ 30 w 638"/>
                              <a:gd name="T31" fmla="*/ 296 h 391"/>
                              <a:gd name="T32" fmla="*/ 0 w 638"/>
                              <a:gd name="T33" fmla="*/ 246 h 391"/>
                              <a:gd name="T34" fmla="*/ 0 w 638"/>
                              <a:gd name="T35" fmla="*/ 191 h 391"/>
                              <a:gd name="T36" fmla="*/ 30 w 638"/>
                              <a:gd name="T37" fmla="*/ 142 h 391"/>
                              <a:gd name="T38" fmla="*/ 84 w 638"/>
                              <a:gd name="T39" fmla="*/ 101 h 391"/>
                              <a:gd name="T40" fmla="*/ 159 w 638"/>
                              <a:gd name="T41" fmla="*/ 70 h 391"/>
                              <a:gd name="T42" fmla="*/ 248 w 638"/>
                              <a:gd name="T43" fmla="*/ 52 h 391"/>
                              <a:gd name="T44" fmla="*/ 307 w 638"/>
                              <a:gd name="T45"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8" h="391">
                                <a:moveTo>
                                  <a:pt x="307" y="0"/>
                                </a:moveTo>
                                <a:lnTo>
                                  <a:pt x="371" y="50"/>
                                </a:lnTo>
                                <a:lnTo>
                                  <a:pt x="469" y="68"/>
                                </a:lnTo>
                                <a:lnTo>
                                  <a:pt x="549" y="100"/>
                                </a:lnTo>
                                <a:lnTo>
                                  <a:pt x="606" y="142"/>
                                </a:lnTo>
                                <a:lnTo>
                                  <a:pt x="637" y="193"/>
                                </a:lnTo>
                                <a:lnTo>
                                  <a:pt x="636" y="248"/>
                                </a:lnTo>
                                <a:lnTo>
                                  <a:pt x="611" y="292"/>
                                </a:lnTo>
                                <a:lnTo>
                                  <a:pt x="566" y="329"/>
                                </a:lnTo>
                                <a:lnTo>
                                  <a:pt x="505" y="359"/>
                                </a:lnTo>
                                <a:lnTo>
                                  <a:pt x="433" y="380"/>
                                </a:lnTo>
                                <a:lnTo>
                                  <a:pt x="351" y="390"/>
                                </a:lnTo>
                                <a:lnTo>
                                  <a:pt x="265" y="388"/>
                                </a:lnTo>
                                <a:lnTo>
                                  <a:pt x="167" y="371"/>
                                </a:lnTo>
                                <a:lnTo>
                                  <a:pt x="87" y="339"/>
                                </a:lnTo>
                                <a:lnTo>
                                  <a:pt x="30" y="296"/>
                                </a:lnTo>
                                <a:lnTo>
                                  <a:pt x="0" y="246"/>
                                </a:lnTo>
                                <a:lnTo>
                                  <a:pt x="0" y="191"/>
                                </a:lnTo>
                                <a:lnTo>
                                  <a:pt x="30" y="142"/>
                                </a:lnTo>
                                <a:lnTo>
                                  <a:pt x="84" y="101"/>
                                </a:lnTo>
                                <a:lnTo>
                                  <a:pt x="159" y="70"/>
                                </a:lnTo>
                                <a:lnTo>
                                  <a:pt x="248" y="52"/>
                                </a:lnTo>
                                <a:lnTo>
                                  <a:pt x="307" y="0"/>
                                </a:lnTo>
                                <a:close/>
                              </a:path>
                            </a:pathLst>
                          </a:custGeom>
                          <a:noFill/>
                          <a:ln w="72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9"/>
                        <wps:cNvSpPr>
                          <a:spLocks/>
                        </wps:cNvSpPr>
                        <wps:spPr bwMode="auto">
                          <a:xfrm>
                            <a:off x="3355" y="439"/>
                            <a:ext cx="20" cy="864"/>
                          </a:xfrm>
                          <a:custGeom>
                            <a:avLst/>
                            <a:gdLst>
                              <a:gd name="T0" fmla="*/ 0 w 20"/>
                              <a:gd name="T1" fmla="*/ 0 h 864"/>
                              <a:gd name="T2" fmla="*/ 17 w 20"/>
                              <a:gd name="T3" fmla="*/ 863 h 864"/>
                            </a:gdLst>
                            <a:ahLst/>
                            <a:cxnLst>
                              <a:cxn ang="0">
                                <a:pos x="T0" y="T1"/>
                              </a:cxn>
                              <a:cxn ang="0">
                                <a:pos x="T2" y="T3"/>
                              </a:cxn>
                            </a:cxnLst>
                            <a:rect l="0" t="0" r="r" b="b"/>
                            <a:pathLst>
                              <a:path w="20" h="864">
                                <a:moveTo>
                                  <a:pt x="0" y="0"/>
                                </a:moveTo>
                                <a:lnTo>
                                  <a:pt x="17" y="863"/>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0"/>
                        <wps:cNvSpPr>
                          <a:spLocks/>
                        </wps:cNvSpPr>
                        <wps:spPr bwMode="auto">
                          <a:xfrm>
                            <a:off x="3010" y="0"/>
                            <a:ext cx="638" cy="409"/>
                          </a:xfrm>
                          <a:custGeom>
                            <a:avLst/>
                            <a:gdLst>
                              <a:gd name="T0" fmla="*/ 286 w 638"/>
                              <a:gd name="T1" fmla="*/ 0 h 409"/>
                              <a:gd name="T2" fmla="*/ 205 w 638"/>
                              <a:gd name="T3" fmla="*/ 10 h 409"/>
                              <a:gd name="T4" fmla="*/ 132 w 638"/>
                              <a:gd name="T5" fmla="*/ 30 h 409"/>
                              <a:gd name="T6" fmla="*/ 71 w 638"/>
                              <a:gd name="T7" fmla="*/ 60 h 409"/>
                              <a:gd name="T8" fmla="*/ 26 w 638"/>
                              <a:gd name="T9" fmla="*/ 97 h 409"/>
                              <a:gd name="T10" fmla="*/ 0 w 638"/>
                              <a:gd name="T11" fmla="*/ 141 h 409"/>
                              <a:gd name="T12" fmla="*/ 0 w 638"/>
                              <a:gd name="T13" fmla="*/ 195 h 409"/>
                              <a:gd name="T14" fmla="*/ 30 w 638"/>
                              <a:gd name="T15" fmla="*/ 245 h 409"/>
                              <a:gd name="T16" fmla="*/ 87 w 638"/>
                              <a:gd name="T17" fmla="*/ 288 h 409"/>
                              <a:gd name="T18" fmla="*/ 167 w 638"/>
                              <a:gd name="T19" fmla="*/ 319 h 409"/>
                              <a:gd name="T20" fmla="*/ 264 w 638"/>
                              <a:gd name="T21" fmla="*/ 337 h 409"/>
                              <a:gd name="T22" fmla="*/ 329 w 638"/>
                              <a:gd name="T23" fmla="*/ 408 h 409"/>
                              <a:gd name="T24" fmla="*/ 388 w 638"/>
                              <a:gd name="T25" fmla="*/ 335 h 409"/>
                              <a:gd name="T26" fmla="*/ 478 w 638"/>
                              <a:gd name="T27" fmla="*/ 317 h 409"/>
                              <a:gd name="T28" fmla="*/ 552 w 638"/>
                              <a:gd name="T29" fmla="*/ 287 h 409"/>
                              <a:gd name="T30" fmla="*/ 606 w 638"/>
                              <a:gd name="T31" fmla="*/ 246 h 409"/>
                              <a:gd name="T32" fmla="*/ 637 w 638"/>
                              <a:gd name="T33" fmla="*/ 198 h 409"/>
                              <a:gd name="T34" fmla="*/ 637 w 638"/>
                              <a:gd name="T35" fmla="*/ 143 h 409"/>
                              <a:gd name="T36" fmla="*/ 607 w 638"/>
                              <a:gd name="T37" fmla="*/ 93 h 409"/>
                              <a:gd name="T38" fmla="*/ 550 w 638"/>
                              <a:gd name="T39" fmla="*/ 50 h 409"/>
                              <a:gd name="T40" fmla="*/ 470 w 638"/>
                              <a:gd name="T41" fmla="*/ 19 h 409"/>
                              <a:gd name="T42" fmla="*/ 372 w 638"/>
                              <a:gd name="T43" fmla="*/ 1 h 409"/>
                              <a:gd name="T44" fmla="*/ 286 w 638"/>
                              <a:gd name="T45"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8" h="409">
                                <a:moveTo>
                                  <a:pt x="286" y="0"/>
                                </a:moveTo>
                                <a:lnTo>
                                  <a:pt x="205" y="10"/>
                                </a:lnTo>
                                <a:lnTo>
                                  <a:pt x="132" y="30"/>
                                </a:lnTo>
                                <a:lnTo>
                                  <a:pt x="71" y="60"/>
                                </a:lnTo>
                                <a:lnTo>
                                  <a:pt x="26" y="97"/>
                                </a:lnTo>
                                <a:lnTo>
                                  <a:pt x="0" y="141"/>
                                </a:lnTo>
                                <a:lnTo>
                                  <a:pt x="0" y="195"/>
                                </a:lnTo>
                                <a:lnTo>
                                  <a:pt x="30" y="245"/>
                                </a:lnTo>
                                <a:lnTo>
                                  <a:pt x="87" y="288"/>
                                </a:lnTo>
                                <a:lnTo>
                                  <a:pt x="167" y="319"/>
                                </a:lnTo>
                                <a:lnTo>
                                  <a:pt x="264" y="337"/>
                                </a:lnTo>
                                <a:lnTo>
                                  <a:pt x="329" y="408"/>
                                </a:lnTo>
                                <a:lnTo>
                                  <a:pt x="388" y="335"/>
                                </a:lnTo>
                                <a:lnTo>
                                  <a:pt x="478" y="317"/>
                                </a:lnTo>
                                <a:lnTo>
                                  <a:pt x="552" y="287"/>
                                </a:lnTo>
                                <a:lnTo>
                                  <a:pt x="606" y="246"/>
                                </a:lnTo>
                                <a:lnTo>
                                  <a:pt x="637" y="198"/>
                                </a:lnTo>
                                <a:lnTo>
                                  <a:pt x="637" y="143"/>
                                </a:lnTo>
                                <a:lnTo>
                                  <a:pt x="607" y="93"/>
                                </a:lnTo>
                                <a:lnTo>
                                  <a:pt x="550" y="50"/>
                                </a:lnTo>
                                <a:lnTo>
                                  <a:pt x="470" y="19"/>
                                </a:lnTo>
                                <a:lnTo>
                                  <a:pt x="372" y="1"/>
                                </a:lnTo>
                                <a:lnTo>
                                  <a:pt x="286"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1"/>
                        <wps:cNvSpPr>
                          <a:spLocks/>
                        </wps:cNvSpPr>
                        <wps:spPr bwMode="auto">
                          <a:xfrm>
                            <a:off x="4096" y="1444"/>
                            <a:ext cx="20" cy="806"/>
                          </a:xfrm>
                          <a:custGeom>
                            <a:avLst/>
                            <a:gdLst>
                              <a:gd name="T0" fmla="*/ 0 w 20"/>
                              <a:gd name="T1" fmla="*/ 0 h 806"/>
                              <a:gd name="T2" fmla="*/ 16 w 20"/>
                              <a:gd name="T3" fmla="*/ 806 h 806"/>
                            </a:gdLst>
                            <a:ahLst/>
                            <a:cxnLst>
                              <a:cxn ang="0">
                                <a:pos x="T0" y="T1"/>
                              </a:cxn>
                              <a:cxn ang="0">
                                <a:pos x="T2" y="T3"/>
                              </a:cxn>
                            </a:cxnLst>
                            <a:rect l="0" t="0" r="r" b="b"/>
                            <a:pathLst>
                              <a:path w="20" h="806">
                                <a:moveTo>
                                  <a:pt x="0" y="0"/>
                                </a:moveTo>
                                <a:lnTo>
                                  <a:pt x="16" y="806"/>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2"/>
                        <wps:cNvSpPr>
                          <a:spLocks/>
                        </wps:cNvSpPr>
                        <wps:spPr bwMode="auto">
                          <a:xfrm>
                            <a:off x="3798" y="2266"/>
                            <a:ext cx="642" cy="477"/>
                          </a:xfrm>
                          <a:custGeom>
                            <a:avLst/>
                            <a:gdLst>
                              <a:gd name="T0" fmla="*/ 310 w 642"/>
                              <a:gd name="T1" fmla="*/ 0 h 477"/>
                              <a:gd name="T2" fmla="*/ 251 w 642"/>
                              <a:gd name="T3" fmla="*/ 64 h 477"/>
                              <a:gd name="T4" fmla="*/ 161 w 642"/>
                              <a:gd name="T5" fmla="*/ 86 h 477"/>
                              <a:gd name="T6" fmla="*/ 87 w 642"/>
                              <a:gd name="T7" fmla="*/ 124 h 477"/>
                              <a:gd name="T8" fmla="*/ 32 w 642"/>
                              <a:gd name="T9" fmla="*/ 174 h 477"/>
                              <a:gd name="T10" fmla="*/ 2 w 642"/>
                              <a:gd name="T11" fmla="*/ 233 h 477"/>
                              <a:gd name="T12" fmla="*/ 0 w 642"/>
                              <a:gd name="T13" fmla="*/ 289 h 477"/>
                              <a:gd name="T14" fmla="*/ 19 w 642"/>
                              <a:gd name="T15" fmla="*/ 342 h 477"/>
                              <a:gd name="T16" fmla="*/ 58 w 642"/>
                              <a:gd name="T17" fmla="*/ 389 h 477"/>
                              <a:gd name="T18" fmla="*/ 114 w 642"/>
                              <a:gd name="T19" fmla="*/ 428 h 477"/>
                              <a:gd name="T20" fmla="*/ 184 w 642"/>
                              <a:gd name="T21" fmla="*/ 458 h 477"/>
                              <a:gd name="T22" fmla="*/ 267 w 642"/>
                              <a:gd name="T23" fmla="*/ 474 h 477"/>
                              <a:gd name="T24" fmla="*/ 354 w 642"/>
                              <a:gd name="T25" fmla="*/ 476 h 477"/>
                              <a:gd name="T26" fmla="*/ 435 w 642"/>
                              <a:gd name="T27" fmla="*/ 463 h 477"/>
                              <a:gd name="T28" fmla="*/ 508 w 642"/>
                              <a:gd name="T29" fmla="*/ 438 h 477"/>
                              <a:gd name="T30" fmla="*/ 568 w 642"/>
                              <a:gd name="T31" fmla="*/ 402 h 477"/>
                              <a:gd name="T32" fmla="*/ 613 w 642"/>
                              <a:gd name="T33" fmla="*/ 356 h 477"/>
                              <a:gd name="T34" fmla="*/ 639 w 642"/>
                              <a:gd name="T35" fmla="*/ 302 h 477"/>
                              <a:gd name="T36" fmla="*/ 641 w 642"/>
                              <a:gd name="T37" fmla="*/ 246 h 477"/>
                              <a:gd name="T38" fmla="*/ 622 w 642"/>
                              <a:gd name="T39" fmla="*/ 194 h 477"/>
                              <a:gd name="T40" fmla="*/ 583 w 642"/>
                              <a:gd name="T41" fmla="*/ 146 h 477"/>
                              <a:gd name="T42" fmla="*/ 527 w 642"/>
                              <a:gd name="T43" fmla="*/ 107 h 477"/>
                              <a:gd name="T44" fmla="*/ 456 w 642"/>
                              <a:gd name="T45" fmla="*/ 78 h 477"/>
                              <a:gd name="T46" fmla="*/ 374 w 642"/>
                              <a:gd name="T47" fmla="*/ 62 h 477"/>
                              <a:gd name="T48" fmla="*/ 310 w 642"/>
                              <a:gd name="T49"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2" h="477">
                                <a:moveTo>
                                  <a:pt x="310" y="0"/>
                                </a:moveTo>
                                <a:lnTo>
                                  <a:pt x="251" y="64"/>
                                </a:lnTo>
                                <a:lnTo>
                                  <a:pt x="161" y="86"/>
                                </a:lnTo>
                                <a:lnTo>
                                  <a:pt x="87" y="124"/>
                                </a:lnTo>
                                <a:lnTo>
                                  <a:pt x="32" y="174"/>
                                </a:lnTo>
                                <a:lnTo>
                                  <a:pt x="2" y="233"/>
                                </a:lnTo>
                                <a:lnTo>
                                  <a:pt x="0" y="289"/>
                                </a:lnTo>
                                <a:lnTo>
                                  <a:pt x="19" y="342"/>
                                </a:lnTo>
                                <a:lnTo>
                                  <a:pt x="58" y="389"/>
                                </a:lnTo>
                                <a:lnTo>
                                  <a:pt x="114" y="428"/>
                                </a:lnTo>
                                <a:lnTo>
                                  <a:pt x="184" y="458"/>
                                </a:lnTo>
                                <a:lnTo>
                                  <a:pt x="267" y="474"/>
                                </a:lnTo>
                                <a:lnTo>
                                  <a:pt x="354" y="476"/>
                                </a:lnTo>
                                <a:lnTo>
                                  <a:pt x="435" y="463"/>
                                </a:lnTo>
                                <a:lnTo>
                                  <a:pt x="508" y="438"/>
                                </a:lnTo>
                                <a:lnTo>
                                  <a:pt x="568" y="402"/>
                                </a:lnTo>
                                <a:lnTo>
                                  <a:pt x="613" y="356"/>
                                </a:lnTo>
                                <a:lnTo>
                                  <a:pt x="639" y="302"/>
                                </a:lnTo>
                                <a:lnTo>
                                  <a:pt x="641" y="246"/>
                                </a:lnTo>
                                <a:lnTo>
                                  <a:pt x="622" y="194"/>
                                </a:lnTo>
                                <a:lnTo>
                                  <a:pt x="583" y="146"/>
                                </a:lnTo>
                                <a:lnTo>
                                  <a:pt x="527" y="107"/>
                                </a:lnTo>
                                <a:lnTo>
                                  <a:pt x="456" y="78"/>
                                </a:lnTo>
                                <a:lnTo>
                                  <a:pt x="374" y="62"/>
                                </a:lnTo>
                                <a:lnTo>
                                  <a:pt x="31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3"/>
                        <wps:cNvSpPr>
                          <a:spLocks/>
                        </wps:cNvSpPr>
                        <wps:spPr bwMode="auto">
                          <a:xfrm>
                            <a:off x="7536" y="222"/>
                            <a:ext cx="639" cy="443"/>
                          </a:xfrm>
                          <a:custGeom>
                            <a:avLst/>
                            <a:gdLst>
                              <a:gd name="T0" fmla="*/ 286 w 639"/>
                              <a:gd name="T1" fmla="*/ 0 h 443"/>
                              <a:gd name="T2" fmla="*/ 205 w 639"/>
                              <a:gd name="T3" fmla="*/ 10 h 443"/>
                              <a:gd name="T4" fmla="*/ 132 w 639"/>
                              <a:gd name="T5" fmla="*/ 33 h 443"/>
                              <a:gd name="T6" fmla="*/ 71 w 639"/>
                              <a:gd name="T7" fmla="*/ 65 h 443"/>
                              <a:gd name="T8" fmla="*/ 26 w 639"/>
                              <a:gd name="T9" fmla="*/ 105 h 443"/>
                              <a:gd name="T10" fmla="*/ 0 w 639"/>
                              <a:gd name="T11" fmla="*/ 152 h 443"/>
                              <a:gd name="T12" fmla="*/ 0 w 639"/>
                              <a:gd name="T13" fmla="*/ 211 h 443"/>
                              <a:gd name="T14" fmla="*/ 30 w 639"/>
                              <a:gd name="T15" fmla="*/ 266 h 443"/>
                              <a:gd name="T16" fmla="*/ 87 w 639"/>
                              <a:gd name="T17" fmla="*/ 312 h 443"/>
                              <a:gd name="T18" fmla="*/ 167 w 639"/>
                              <a:gd name="T19" fmla="*/ 346 h 443"/>
                              <a:gd name="T20" fmla="*/ 265 w 639"/>
                              <a:gd name="T21" fmla="*/ 365 h 443"/>
                              <a:gd name="T22" fmla="*/ 330 w 639"/>
                              <a:gd name="T23" fmla="*/ 442 h 443"/>
                              <a:gd name="T24" fmla="*/ 388 w 639"/>
                              <a:gd name="T25" fmla="*/ 363 h 443"/>
                              <a:gd name="T26" fmla="*/ 478 w 639"/>
                              <a:gd name="T27" fmla="*/ 344 h 443"/>
                              <a:gd name="T28" fmla="*/ 553 w 639"/>
                              <a:gd name="T29" fmla="*/ 310 h 443"/>
                              <a:gd name="T30" fmla="*/ 607 w 639"/>
                              <a:gd name="T31" fmla="*/ 266 h 443"/>
                              <a:gd name="T32" fmla="*/ 638 w 639"/>
                              <a:gd name="T33" fmla="*/ 214 h 443"/>
                              <a:gd name="T34" fmla="*/ 638 w 639"/>
                              <a:gd name="T35" fmla="*/ 155 h 443"/>
                              <a:gd name="T36" fmla="*/ 608 w 639"/>
                              <a:gd name="T37" fmla="*/ 101 h 443"/>
                              <a:gd name="T38" fmla="*/ 551 w 639"/>
                              <a:gd name="T39" fmla="*/ 55 h 443"/>
                              <a:gd name="T40" fmla="*/ 471 w 639"/>
                              <a:gd name="T41" fmla="*/ 20 h 443"/>
                              <a:gd name="T42" fmla="*/ 373 w 639"/>
                              <a:gd name="T43" fmla="*/ 1 h 443"/>
                              <a:gd name="T44" fmla="*/ 286 w 639"/>
                              <a:gd name="T4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9" h="443">
                                <a:moveTo>
                                  <a:pt x="286" y="0"/>
                                </a:moveTo>
                                <a:lnTo>
                                  <a:pt x="205" y="10"/>
                                </a:lnTo>
                                <a:lnTo>
                                  <a:pt x="132" y="33"/>
                                </a:lnTo>
                                <a:lnTo>
                                  <a:pt x="71" y="65"/>
                                </a:lnTo>
                                <a:lnTo>
                                  <a:pt x="26" y="105"/>
                                </a:lnTo>
                                <a:lnTo>
                                  <a:pt x="0" y="152"/>
                                </a:lnTo>
                                <a:lnTo>
                                  <a:pt x="0" y="211"/>
                                </a:lnTo>
                                <a:lnTo>
                                  <a:pt x="30" y="266"/>
                                </a:lnTo>
                                <a:lnTo>
                                  <a:pt x="87" y="312"/>
                                </a:lnTo>
                                <a:lnTo>
                                  <a:pt x="167" y="346"/>
                                </a:lnTo>
                                <a:lnTo>
                                  <a:pt x="265" y="365"/>
                                </a:lnTo>
                                <a:lnTo>
                                  <a:pt x="330" y="442"/>
                                </a:lnTo>
                                <a:lnTo>
                                  <a:pt x="388" y="363"/>
                                </a:lnTo>
                                <a:lnTo>
                                  <a:pt x="478" y="344"/>
                                </a:lnTo>
                                <a:lnTo>
                                  <a:pt x="553" y="310"/>
                                </a:lnTo>
                                <a:lnTo>
                                  <a:pt x="607" y="266"/>
                                </a:lnTo>
                                <a:lnTo>
                                  <a:pt x="638" y="214"/>
                                </a:lnTo>
                                <a:lnTo>
                                  <a:pt x="638" y="155"/>
                                </a:lnTo>
                                <a:lnTo>
                                  <a:pt x="608" y="101"/>
                                </a:lnTo>
                                <a:lnTo>
                                  <a:pt x="551" y="55"/>
                                </a:lnTo>
                                <a:lnTo>
                                  <a:pt x="471" y="20"/>
                                </a:lnTo>
                                <a:lnTo>
                                  <a:pt x="373" y="1"/>
                                </a:lnTo>
                                <a:lnTo>
                                  <a:pt x="286" y="0"/>
                                </a:lnTo>
                                <a:close/>
                              </a:path>
                            </a:pathLst>
                          </a:custGeom>
                          <a:solidFill>
                            <a:srgbClr val="1F38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4"/>
                        <wps:cNvSpPr>
                          <a:spLocks/>
                        </wps:cNvSpPr>
                        <wps:spPr bwMode="auto">
                          <a:xfrm>
                            <a:off x="7861" y="686"/>
                            <a:ext cx="20" cy="613"/>
                          </a:xfrm>
                          <a:custGeom>
                            <a:avLst/>
                            <a:gdLst>
                              <a:gd name="T0" fmla="*/ 0 w 20"/>
                              <a:gd name="T1" fmla="*/ 0 h 613"/>
                              <a:gd name="T2" fmla="*/ 9 w 20"/>
                              <a:gd name="T3" fmla="*/ 612 h 613"/>
                            </a:gdLst>
                            <a:ahLst/>
                            <a:cxnLst>
                              <a:cxn ang="0">
                                <a:pos x="T0" y="T1"/>
                              </a:cxn>
                              <a:cxn ang="0">
                                <a:pos x="T2" y="T3"/>
                              </a:cxn>
                            </a:cxnLst>
                            <a:rect l="0" t="0" r="r" b="b"/>
                            <a:pathLst>
                              <a:path w="20" h="613">
                                <a:moveTo>
                                  <a:pt x="0" y="0"/>
                                </a:moveTo>
                                <a:lnTo>
                                  <a:pt x="9" y="612"/>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5"/>
                        <wps:cNvSpPr>
                          <a:spLocks/>
                        </wps:cNvSpPr>
                        <wps:spPr bwMode="auto">
                          <a:xfrm>
                            <a:off x="5596" y="1453"/>
                            <a:ext cx="20" cy="676"/>
                          </a:xfrm>
                          <a:custGeom>
                            <a:avLst/>
                            <a:gdLst>
                              <a:gd name="T0" fmla="*/ 0 w 20"/>
                              <a:gd name="T1" fmla="*/ 0 h 676"/>
                              <a:gd name="T2" fmla="*/ 14 w 20"/>
                              <a:gd name="T3" fmla="*/ 675 h 676"/>
                            </a:gdLst>
                            <a:ahLst/>
                            <a:cxnLst>
                              <a:cxn ang="0">
                                <a:pos x="T0" y="T1"/>
                              </a:cxn>
                              <a:cxn ang="0">
                                <a:pos x="T2" y="T3"/>
                              </a:cxn>
                            </a:cxnLst>
                            <a:rect l="0" t="0" r="r" b="b"/>
                            <a:pathLst>
                              <a:path w="20" h="676">
                                <a:moveTo>
                                  <a:pt x="0" y="0"/>
                                </a:moveTo>
                                <a:lnTo>
                                  <a:pt x="14" y="675"/>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6"/>
                        <wps:cNvSpPr>
                          <a:spLocks/>
                        </wps:cNvSpPr>
                        <wps:spPr bwMode="auto">
                          <a:xfrm>
                            <a:off x="5286" y="2040"/>
                            <a:ext cx="646" cy="502"/>
                          </a:xfrm>
                          <a:custGeom>
                            <a:avLst/>
                            <a:gdLst>
                              <a:gd name="T0" fmla="*/ 333 w 646"/>
                              <a:gd name="T1" fmla="*/ 0 h 502"/>
                              <a:gd name="T2" fmla="*/ 268 w 646"/>
                              <a:gd name="T3" fmla="*/ 81 h 502"/>
                              <a:gd name="T4" fmla="*/ 177 w 646"/>
                              <a:gd name="T5" fmla="*/ 100 h 502"/>
                              <a:gd name="T6" fmla="*/ 99 w 646"/>
                              <a:gd name="T7" fmla="*/ 136 h 502"/>
                              <a:gd name="T8" fmla="*/ 41 w 646"/>
                              <a:gd name="T9" fmla="*/ 185 h 502"/>
                              <a:gd name="T10" fmla="*/ 7 w 646"/>
                              <a:gd name="T11" fmla="*/ 244 h 502"/>
                              <a:gd name="T12" fmla="*/ 0 w 646"/>
                              <a:gd name="T13" fmla="*/ 301 h 502"/>
                              <a:gd name="T14" fmla="*/ 15 w 646"/>
                              <a:gd name="T15" fmla="*/ 355 h 502"/>
                              <a:gd name="T16" fmla="*/ 50 w 646"/>
                              <a:gd name="T17" fmla="*/ 404 h 502"/>
                              <a:gd name="T18" fmla="*/ 103 w 646"/>
                              <a:gd name="T19" fmla="*/ 445 h 502"/>
                              <a:gd name="T20" fmla="*/ 172 w 646"/>
                              <a:gd name="T21" fmla="*/ 477 h 502"/>
                              <a:gd name="T22" fmla="*/ 253 w 646"/>
                              <a:gd name="T23" fmla="*/ 497 h 502"/>
                              <a:gd name="T24" fmla="*/ 339 w 646"/>
                              <a:gd name="T25" fmla="*/ 501 h 502"/>
                              <a:gd name="T26" fmla="*/ 422 w 646"/>
                              <a:gd name="T27" fmla="*/ 491 h 502"/>
                              <a:gd name="T28" fmla="*/ 496 w 646"/>
                              <a:gd name="T29" fmla="*/ 468 h 502"/>
                              <a:gd name="T30" fmla="*/ 560 w 646"/>
                              <a:gd name="T31" fmla="*/ 433 h 502"/>
                              <a:gd name="T32" fmla="*/ 608 w 646"/>
                              <a:gd name="T33" fmla="*/ 389 h 502"/>
                              <a:gd name="T34" fmla="*/ 638 w 646"/>
                              <a:gd name="T35" fmla="*/ 335 h 502"/>
                              <a:gd name="T36" fmla="*/ 645 w 646"/>
                              <a:gd name="T37" fmla="*/ 278 h 502"/>
                              <a:gd name="T38" fmla="*/ 630 w 646"/>
                              <a:gd name="T39" fmla="*/ 224 h 502"/>
                              <a:gd name="T40" fmla="*/ 595 w 646"/>
                              <a:gd name="T41" fmla="*/ 175 h 502"/>
                              <a:gd name="T42" fmla="*/ 542 w 646"/>
                              <a:gd name="T43" fmla="*/ 134 h 502"/>
                              <a:gd name="T44" fmla="*/ 473 w 646"/>
                              <a:gd name="T45" fmla="*/ 102 h 502"/>
                              <a:gd name="T46" fmla="*/ 392 w 646"/>
                              <a:gd name="T47" fmla="*/ 83 h 502"/>
                              <a:gd name="T48" fmla="*/ 333 w 646"/>
                              <a:gd name="T49" fmla="*/ 0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6" h="502">
                                <a:moveTo>
                                  <a:pt x="333" y="0"/>
                                </a:moveTo>
                                <a:lnTo>
                                  <a:pt x="268" y="81"/>
                                </a:lnTo>
                                <a:lnTo>
                                  <a:pt x="177" y="100"/>
                                </a:lnTo>
                                <a:lnTo>
                                  <a:pt x="99" y="136"/>
                                </a:lnTo>
                                <a:lnTo>
                                  <a:pt x="41" y="185"/>
                                </a:lnTo>
                                <a:lnTo>
                                  <a:pt x="7" y="244"/>
                                </a:lnTo>
                                <a:lnTo>
                                  <a:pt x="0" y="301"/>
                                </a:lnTo>
                                <a:lnTo>
                                  <a:pt x="15" y="355"/>
                                </a:lnTo>
                                <a:lnTo>
                                  <a:pt x="50" y="404"/>
                                </a:lnTo>
                                <a:lnTo>
                                  <a:pt x="103" y="445"/>
                                </a:lnTo>
                                <a:lnTo>
                                  <a:pt x="172" y="477"/>
                                </a:lnTo>
                                <a:lnTo>
                                  <a:pt x="253" y="497"/>
                                </a:lnTo>
                                <a:lnTo>
                                  <a:pt x="339" y="501"/>
                                </a:lnTo>
                                <a:lnTo>
                                  <a:pt x="422" y="491"/>
                                </a:lnTo>
                                <a:lnTo>
                                  <a:pt x="496" y="468"/>
                                </a:lnTo>
                                <a:lnTo>
                                  <a:pt x="560" y="433"/>
                                </a:lnTo>
                                <a:lnTo>
                                  <a:pt x="608" y="389"/>
                                </a:lnTo>
                                <a:lnTo>
                                  <a:pt x="638" y="335"/>
                                </a:lnTo>
                                <a:lnTo>
                                  <a:pt x="645" y="278"/>
                                </a:lnTo>
                                <a:lnTo>
                                  <a:pt x="630" y="224"/>
                                </a:lnTo>
                                <a:lnTo>
                                  <a:pt x="595" y="175"/>
                                </a:lnTo>
                                <a:lnTo>
                                  <a:pt x="542" y="134"/>
                                </a:lnTo>
                                <a:lnTo>
                                  <a:pt x="473" y="102"/>
                                </a:lnTo>
                                <a:lnTo>
                                  <a:pt x="392" y="83"/>
                                </a:lnTo>
                                <a:lnTo>
                                  <a:pt x="333" y="0"/>
                                </a:lnTo>
                                <a:close/>
                              </a:path>
                            </a:pathLst>
                          </a:custGeom>
                          <a:solidFill>
                            <a:srgbClr val="538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7"/>
                        <wps:cNvSpPr>
                          <a:spLocks/>
                        </wps:cNvSpPr>
                        <wps:spPr bwMode="auto">
                          <a:xfrm>
                            <a:off x="5286" y="2040"/>
                            <a:ext cx="646" cy="502"/>
                          </a:xfrm>
                          <a:custGeom>
                            <a:avLst/>
                            <a:gdLst>
                              <a:gd name="T0" fmla="*/ 333 w 646"/>
                              <a:gd name="T1" fmla="*/ 0 h 502"/>
                              <a:gd name="T2" fmla="*/ 392 w 646"/>
                              <a:gd name="T3" fmla="*/ 83 h 502"/>
                              <a:gd name="T4" fmla="*/ 473 w 646"/>
                              <a:gd name="T5" fmla="*/ 102 h 502"/>
                              <a:gd name="T6" fmla="*/ 542 w 646"/>
                              <a:gd name="T7" fmla="*/ 134 h 502"/>
                              <a:gd name="T8" fmla="*/ 595 w 646"/>
                              <a:gd name="T9" fmla="*/ 175 h 502"/>
                              <a:gd name="T10" fmla="*/ 630 w 646"/>
                              <a:gd name="T11" fmla="*/ 224 h 502"/>
                              <a:gd name="T12" fmla="*/ 645 w 646"/>
                              <a:gd name="T13" fmla="*/ 278 h 502"/>
                              <a:gd name="T14" fmla="*/ 638 w 646"/>
                              <a:gd name="T15" fmla="*/ 335 h 502"/>
                              <a:gd name="T16" fmla="*/ 608 w 646"/>
                              <a:gd name="T17" fmla="*/ 389 h 502"/>
                              <a:gd name="T18" fmla="*/ 560 w 646"/>
                              <a:gd name="T19" fmla="*/ 433 h 502"/>
                              <a:gd name="T20" fmla="*/ 496 w 646"/>
                              <a:gd name="T21" fmla="*/ 468 h 502"/>
                              <a:gd name="T22" fmla="*/ 422 w 646"/>
                              <a:gd name="T23" fmla="*/ 491 h 502"/>
                              <a:gd name="T24" fmla="*/ 339 w 646"/>
                              <a:gd name="T25" fmla="*/ 501 h 502"/>
                              <a:gd name="T26" fmla="*/ 253 w 646"/>
                              <a:gd name="T27" fmla="*/ 497 h 502"/>
                              <a:gd name="T28" fmla="*/ 172 w 646"/>
                              <a:gd name="T29" fmla="*/ 477 h 502"/>
                              <a:gd name="T30" fmla="*/ 103 w 646"/>
                              <a:gd name="T31" fmla="*/ 445 h 502"/>
                              <a:gd name="T32" fmla="*/ 50 w 646"/>
                              <a:gd name="T33" fmla="*/ 404 h 502"/>
                              <a:gd name="T34" fmla="*/ 15 w 646"/>
                              <a:gd name="T35" fmla="*/ 355 h 502"/>
                              <a:gd name="T36" fmla="*/ 0 w 646"/>
                              <a:gd name="T37" fmla="*/ 301 h 502"/>
                              <a:gd name="T38" fmla="*/ 7 w 646"/>
                              <a:gd name="T39" fmla="*/ 244 h 502"/>
                              <a:gd name="T40" fmla="*/ 41 w 646"/>
                              <a:gd name="T41" fmla="*/ 185 h 502"/>
                              <a:gd name="T42" fmla="*/ 99 w 646"/>
                              <a:gd name="T43" fmla="*/ 136 h 502"/>
                              <a:gd name="T44" fmla="*/ 177 w 646"/>
                              <a:gd name="T45" fmla="*/ 100 h 502"/>
                              <a:gd name="T46" fmla="*/ 268 w 646"/>
                              <a:gd name="T47" fmla="*/ 81 h 502"/>
                              <a:gd name="T48" fmla="*/ 333 w 646"/>
                              <a:gd name="T49" fmla="*/ 0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6" h="502">
                                <a:moveTo>
                                  <a:pt x="333" y="0"/>
                                </a:moveTo>
                                <a:lnTo>
                                  <a:pt x="392" y="83"/>
                                </a:lnTo>
                                <a:lnTo>
                                  <a:pt x="473" y="102"/>
                                </a:lnTo>
                                <a:lnTo>
                                  <a:pt x="542" y="134"/>
                                </a:lnTo>
                                <a:lnTo>
                                  <a:pt x="595" y="175"/>
                                </a:lnTo>
                                <a:lnTo>
                                  <a:pt x="630" y="224"/>
                                </a:lnTo>
                                <a:lnTo>
                                  <a:pt x="645" y="278"/>
                                </a:lnTo>
                                <a:lnTo>
                                  <a:pt x="638" y="335"/>
                                </a:lnTo>
                                <a:lnTo>
                                  <a:pt x="608" y="389"/>
                                </a:lnTo>
                                <a:lnTo>
                                  <a:pt x="560" y="433"/>
                                </a:lnTo>
                                <a:lnTo>
                                  <a:pt x="496" y="468"/>
                                </a:lnTo>
                                <a:lnTo>
                                  <a:pt x="422" y="491"/>
                                </a:lnTo>
                                <a:lnTo>
                                  <a:pt x="339" y="501"/>
                                </a:lnTo>
                                <a:lnTo>
                                  <a:pt x="253" y="497"/>
                                </a:lnTo>
                                <a:lnTo>
                                  <a:pt x="172" y="477"/>
                                </a:lnTo>
                                <a:lnTo>
                                  <a:pt x="103" y="445"/>
                                </a:lnTo>
                                <a:lnTo>
                                  <a:pt x="50" y="404"/>
                                </a:lnTo>
                                <a:lnTo>
                                  <a:pt x="15" y="355"/>
                                </a:lnTo>
                                <a:lnTo>
                                  <a:pt x="0" y="301"/>
                                </a:lnTo>
                                <a:lnTo>
                                  <a:pt x="7" y="244"/>
                                </a:lnTo>
                                <a:lnTo>
                                  <a:pt x="41" y="185"/>
                                </a:lnTo>
                                <a:lnTo>
                                  <a:pt x="99" y="136"/>
                                </a:lnTo>
                                <a:lnTo>
                                  <a:pt x="177" y="100"/>
                                </a:lnTo>
                                <a:lnTo>
                                  <a:pt x="268" y="81"/>
                                </a:lnTo>
                                <a:lnTo>
                                  <a:pt x="333" y="0"/>
                                </a:lnTo>
                                <a:close/>
                              </a:path>
                            </a:pathLst>
                          </a:custGeom>
                          <a:noFill/>
                          <a:ln w="72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8"/>
                        <wps:cNvSpPr>
                          <a:spLocks/>
                        </wps:cNvSpPr>
                        <wps:spPr bwMode="auto">
                          <a:xfrm>
                            <a:off x="6038" y="389"/>
                            <a:ext cx="639" cy="442"/>
                          </a:xfrm>
                          <a:custGeom>
                            <a:avLst/>
                            <a:gdLst>
                              <a:gd name="T0" fmla="*/ 286 w 639"/>
                              <a:gd name="T1" fmla="*/ 0 h 442"/>
                              <a:gd name="T2" fmla="*/ 205 w 639"/>
                              <a:gd name="T3" fmla="*/ 10 h 442"/>
                              <a:gd name="T4" fmla="*/ 132 w 639"/>
                              <a:gd name="T5" fmla="*/ 33 h 442"/>
                              <a:gd name="T6" fmla="*/ 71 w 639"/>
                              <a:gd name="T7" fmla="*/ 64 h 442"/>
                              <a:gd name="T8" fmla="*/ 26 w 639"/>
                              <a:gd name="T9" fmla="*/ 105 h 442"/>
                              <a:gd name="T10" fmla="*/ 0 w 639"/>
                              <a:gd name="T11" fmla="*/ 152 h 442"/>
                              <a:gd name="T12" fmla="*/ 0 w 639"/>
                              <a:gd name="T13" fmla="*/ 211 h 442"/>
                              <a:gd name="T14" fmla="*/ 30 w 639"/>
                              <a:gd name="T15" fmla="*/ 265 h 442"/>
                              <a:gd name="T16" fmla="*/ 87 w 639"/>
                              <a:gd name="T17" fmla="*/ 311 h 442"/>
                              <a:gd name="T18" fmla="*/ 167 w 639"/>
                              <a:gd name="T19" fmla="*/ 345 h 442"/>
                              <a:gd name="T20" fmla="*/ 265 w 639"/>
                              <a:gd name="T21" fmla="*/ 364 h 442"/>
                              <a:gd name="T22" fmla="*/ 330 w 639"/>
                              <a:gd name="T23" fmla="*/ 441 h 442"/>
                              <a:gd name="T24" fmla="*/ 388 w 639"/>
                              <a:gd name="T25" fmla="*/ 362 h 442"/>
                              <a:gd name="T26" fmla="*/ 478 w 639"/>
                              <a:gd name="T27" fmla="*/ 343 h 442"/>
                              <a:gd name="T28" fmla="*/ 553 w 639"/>
                              <a:gd name="T29" fmla="*/ 309 h 442"/>
                              <a:gd name="T30" fmla="*/ 607 w 639"/>
                              <a:gd name="T31" fmla="*/ 266 h 442"/>
                              <a:gd name="T32" fmla="*/ 638 w 639"/>
                              <a:gd name="T33" fmla="*/ 213 h 442"/>
                              <a:gd name="T34" fmla="*/ 638 w 639"/>
                              <a:gd name="T35" fmla="*/ 154 h 442"/>
                              <a:gd name="T36" fmla="*/ 608 w 639"/>
                              <a:gd name="T37" fmla="*/ 100 h 442"/>
                              <a:gd name="T38" fmla="*/ 551 w 639"/>
                              <a:gd name="T39" fmla="*/ 54 h 442"/>
                              <a:gd name="T40" fmla="*/ 471 w 639"/>
                              <a:gd name="T41" fmla="*/ 20 h 442"/>
                              <a:gd name="T42" fmla="*/ 373 w 639"/>
                              <a:gd name="T43" fmla="*/ 1 h 442"/>
                              <a:gd name="T44" fmla="*/ 286 w 639"/>
                              <a:gd name="T45"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9" h="442">
                                <a:moveTo>
                                  <a:pt x="286" y="0"/>
                                </a:moveTo>
                                <a:lnTo>
                                  <a:pt x="205" y="10"/>
                                </a:lnTo>
                                <a:lnTo>
                                  <a:pt x="132" y="33"/>
                                </a:lnTo>
                                <a:lnTo>
                                  <a:pt x="71" y="64"/>
                                </a:lnTo>
                                <a:lnTo>
                                  <a:pt x="26" y="105"/>
                                </a:lnTo>
                                <a:lnTo>
                                  <a:pt x="0" y="152"/>
                                </a:lnTo>
                                <a:lnTo>
                                  <a:pt x="0" y="211"/>
                                </a:lnTo>
                                <a:lnTo>
                                  <a:pt x="30" y="265"/>
                                </a:lnTo>
                                <a:lnTo>
                                  <a:pt x="87" y="311"/>
                                </a:lnTo>
                                <a:lnTo>
                                  <a:pt x="167" y="345"/>
                                </a:lnTo>
                                <a:lnTo>
                                  <a:pt x="265" y="364"/>
                                </a:lnTo>
                                <a:lnTo>
                                  <a:pt x="330" y="441"/>
                                </a:lnTo>
                                <a:lnTo>
                                  <a:pt x="388" y="362"/>
                                </a:lnTo>
                                <a:lnTo>
                                  <a:pt x="478" y="343"/>
                                </a:lnTo>
                                <a:lnTo>
                                  <a:pt x="553" y="309"/>
                                </a:lnTo>
                                <a:lnTo>
                                  <a:pt x="607" y="266"/>
                                </a:lnTo>
                                <a:lnTo>
                                  <a:pt x="638" y="213"/>
                                </a:lnTo>
                                <a:lnTo>
                                  <a:pt x="638" y="154"/>
                                </a:lnTo>
                                <a:lnTo>
                                  <a:pt x="608" y="100"/>
                                </a:lnTo>
                                <a:lnTo>
                                  <a:pt x="551" y="54"/>
                                </a:lnTo>
                                <a:lnTo>
                                  <a:pt x="471" y="20"/>
                                </a:lnTo>
                                <a:lnTo>
                                  <a:pt x="373" y="1"/>
                                </a:lnTo>
                                <a:lnTo>
                                  <a:pt x="286"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9"/>
                        <wps:cNvSpPr>
                          <a:spLocks/>
                        </wps:cNvSpPr>
                        <wps:spPr bwMode="auto">
                          <a:xfrm>
                            <a:off x="6373" y="872"/>
                            <a:ext cx="20" cy="393"/>
                          </a:xfrm>
                          <a:custGeom>
                            <a:avLst/>
                            <a:gdLst>
                              <a:gd name="T0" fmla="*/ 7 w 20"/>
                              <a:gd name="T1" fmla="*/ 0 h 393"/>
                              <a:gd name="T2" fmla="*/ 0 w 20"/>
                              <a:gd name="T3" fmla="*/ 392 h 393"/>
                            </a:gdLst>
                            <a:ahLst/>
                            <a:cxnLst>
                              <a:cxn ang="0">
                                <a:pos x="T0" y="T1"/>
                              </a:cxn>
                              <a:cxn ang="0">
                                <a:pos x="T2" y="T3"/>
                              </a:cxn>
                            </a:cxnLst>
                            <a:rect l="0" t="0" r="r" b="b"/>
                            <a:pathLst>
                              <a:path w="20" h="393">
                                <a:moveTo>
                                  <a:pt x="7" y="0"/>
                                </a:moveTo>
                                <a:lnTo>
                                  <a:pt x="0" y="392"/>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0"/>
                        <wps:cNvSpPr>
                          <a:spLocks/>
                        </wps:cNvSpPr>
                        <wps:spPr bwMode="auto">
                          <a:xfrm>
                            <a:off x="8561" y="1458"/>
                            <a:ext cx="20" cy="551"/>
                          </a:xfrm>
                          <a:custGeom>
                            <a:avLst/>
                            <a:gdLst>
                              <a:gd name="T0" fmla="*/ 0 w 20"/>
                              <a:gd name="T1" fmla="*/ 0 h 551"/>
                              <a:gd name="T2" fmla="*/ 8 w 20"/>
                              <a:gd name="T3" fmla="*/ 550 h 551"/>
                            </a:gdLst>
                            <a:ahLst/>
                            <a:cxnLst>
                              <a:cxn ang="0">
                                <a:pos x="T0" y="T1"/>
                              </a:cxn>
                              <a:cxn ang="0">
                                <a:pos x="T2" y="T3"/>
                              </a:cxn>
                            </a:cxnLst>
                            <a:rect l="0" t="0" r="r" b="b"/>
                            <a:pathLst>
                              <a:path w="20" h="551">
                                <a:moveTo>
                                  <a:pt x="0" y="0"/>
                                </a:moveTo>
                                <a:lnTo>
                                  <a:pt x="8" y="550"/>
                                </a:lnTo>
                              </a:path>
                            </a:pathLst>
                          </a:custGeom>
                          <a:noFill/>
                          <a:ln w="361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41"/>
                        <wps:cNvSpPr>
                          <a:spLocks/>
                        </wps:cNvSpPr>
                        <wps:spPr bwMode="auto">
                          <a:xfrm>
                            <a:off x="8258" y="1989"/>
                            <a:ext cx="638" cy="389"/>
                          </a:xfrm>
                          <a:custGeom>
                            <a:avLst/>
                            <a:gdLst>
                              <a:gd name="T0" fmla="*/ 308 w 638"/>
                              <a:gd name="T1" fmla="*/ 0 h 389"/>
                              <a:gd name="T2" fmla="*/ 249 w 638"/>
                              <a:gd name="T3" fmla="*/ 52 h 389"/>
                              <a:gd name="T4" fmla="*/ 159 w 638"/>
                              <a:gd name="T5" fmla="*/ 70 h 389"/>
                              <a:gd name="T6" fmla="*/ 84 w 638"/>
                              <a:gd name="T7" fmla="*/ 101 h 389"/>
                              <a:gd name="T8" fmla="*/ 30 w 638"/>
                              <a:gd name="T9" fmla="*/ 142 h 389"/>
                              <a:gd name="T10" fmla="*/ 0 w 638"/>
                              <a:gd name="T11" fmla="*/ 190 h 389"/>
                              <a:gd name="T12" fmla="*/ 0 w 638"/>
                              <a:gd name="T13" fmla="*/ 245 h 389"/>
                              <a:gd name="T14" fmla="*/ 30 w 638"/>
                              <a:gd name="T15" fmla="*/ 295 h 389"/>
                              <a:gd name="T16" fmla="*/ 87 w 638"/>
                              <a:gd name="T17" fmla="*/ 338 h 389"/>
                              <a:gd name="T18" fmla="*/ 167 w 638"/>
                              <a:gd name="T19" fmla="*/ 369 h 389"/>
                              <a:gd name="T20" fmla="*/ 265 w 638"/>
                              <a:gd name="T21" fmla="*/ 387 h 389"/>
                              <a:gd name="T22" fmla="*/ 351 w 638"/>
                              <a:gd name="T23" fmla="*/ 388 h 389"/>
                              <a:gd name="T24" fmla="*/ 433 w 638"/>
                              <a:gd name="T25" fmla="*/ 378 h 389"/>
                              <a:gd name="T26" fmla="*/ 506 w 638"/>
                              <a:gd name="T27" fmla="*/ 358 h 389"/>
                              <a:gd name="T28" fmla="*/ 566 w 638"/>
                              <a:gd name="T29" fmla="*/ 328 h 389"/>
                              <a:gd name="T30" fmla="*/ 611 w 638"/>
                              <a:gd name="T31" fmla="*/ 291 h 389"/>
                              <a:gd name="T32" fmla="*/ 636 w 638"/>
                              <a:gd name="T33" fmla="*/ 247 h 389"/>
                              <a:gd name="T34" fmla="*/ 637 w 638"/>
                              <a:gd name="T35" fmla="*/ 192 h 389"/>
                              <a:gd name="T36" fmla="*/ 607 w 638"/>
                              <a:gd name="T37" fmla="*/ 142 h 389"/>
                              <a:gd name="T38" fmla="*/ 549 w 638"/>
                              <a:gd name="T39" fmla="*/ 99 h 389"/>
                              <a:gd name="T40" fmla="*/ 469 w 638"/>
                              <a:gd name="T41" fmla="*/ 68 h 389"/>
                              <a:gd name="T42" fmla="*/ 372 w 638"/>
                              <a:gd name="T43" fmla="*/ 50 h 389"/>
                              <a:gd name="T44" fmla="*/ 308 w 638"/>
                              <a:gd name="T45"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8" h="389">
                                <a:moveTo>
                                  <a:pt x="308" y="0"/>
                                </a:moveTo>
                                <a:lnTo>
                                  <a:pt x="249" y="52"/>
                                </a:lnTo>
                                <a:lnTo>
                                  <a:pt x="159" y="70"/>
                                </a:lnTo>
                                <a:lnTo>
                                  <a:pt x="84" y="101"/>
                                </a:lnTo>
                                <a:lnTo>
                                  <a:pt x="30" y="142"/>
                                </a:lnTo>
                                <a:lnTo>
                                  <a:pt x="0" y="190"/>
                                </a:lnTo>
                                <a:lnTo>
                                  <a:pt x="0" y="245"/>
                                </a:lnTo>
                                <a:lnTo>
                                  <a:pt x="30" y="295"/>
                                </a:lnTo>
                                <a:lnTo>
                                  <a:pt x="87" y="338"/>
                                </a:lnTo>
                                <a:lnTo>
                                  <a:pt x="167" y="369"/>
                                </a:lnTo>
                                <a:lnTo>
                                  <a:pt x="265" y="387"/>
                                </a:lnTo>
                                <a:lnTo>
                                  <a:pt x="351" y="388"/>
                                </a:lnTo>
                                <a:lnTo>
                                  <a:pt x="433" y="378"/>
                                </a:lnTo>
                                <a:lnTo>
                                  <a:pt x="506" y="358"/>
                                </a:lnTo>
                                <a:lnTo>
                                  <a:pt x="566" y="328"/>
                                </a:lnTo>
                                <a:lnTo>
                                  <a:pt x="611" y="291"/>
                                </a:lnTo>
                                <a:lnTo>
                                  <a:pt x="636" y="247"/>
                                </a:lnTo>
                                <a:lnTo>
                                  <a:pt x="637" y="192"/>
                                </a:lnTo>
                                <a:lnTo>
                                  <a:pt x="607" y="142"/>
                                </a:lnTo>
                                <a:lnTo>
                                  <a:pt x="549" y="99"/>
                                </a:lnTo>
                                <a:lnTo>
                                  <a:pt x="469" y="68"/>
                                </a:lnTo>
                                <a:lnTo>
                                  <a:pt x="372" y="50"/>
                                </a:lnTo>
                                <a:lnTo>
                                  <a:pt x="30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42"/>
                        <wps:cNvSpPr>
                          <a:spLocks/>
                        </wps:cNvSpPr>
                        <wps:spPr bwMode="auto">
                          <a:xfrm>
                            <a:off x="8258" y="1989"/>
                            <a:ext cx="638" cy="389"/>
                          </a:xfrm>
                          <a:custGeom>
                            <a:avLst/>
                            <a:gdLst>
                              <a:gd name="T0" fmla="*/ 308 w 638"/>
                              <a:gd name="T1" fmla="*/ 0 h 389"/>
                              <a:gd name="T2" fmla="*/ 372 w 638"/>
                              <a:gd name="T3" fmla="*/ 50 h 389"/>
                              <a:gd name="T4" fmla="*/ 469 w 638"/>
                              <a:gd name="T5" fmla="*/ 68 h 389"/>
                              <a:gd name="T6" fmla="*/ 549 w 638"/>
                              <a:gd name="T7" fmla="*/ 99 h 389"/>
                              <a:gd name="T8" fmla="*/ 607 w 638"/>
                              <a:gd name="T9" fmla="*/ 142 h 389"/>
                              <a:gd name="T10" fmla="*/ 637 w 638"/>
                              <a:gd name="T11" fmla="*/ 192 h 389"/>
                              <a:gd name="T12" fmla="*/ 636 w 638"/>
                              <a:gd name="T13" fmla="*/ 247 h 389"/>
                              <a:gd name="T14" fmla="*/ 611 w 638"/>
                              <a:gd name="T15" fmla="*/ 291 h 389"/>
                              <a:gd name="T16" fmla="*/ 566 w 638"/>
                              <a:gd name="T17" fmla="*/ 328 h 389"/>
                              <a:gd name="T18" fmla="*/ 506 w 638"/>
                              <a:gd name="T19" fmla="*/ 358 h 389"/>
                              <a:gd name="T20" fmla="*/ 433 w 638"/>
                              <a:gd name="T21" fmla="*/ 378 h 389"/>
                              <a:gd name="T22" fmla="*/ 351 w 638"/>
                              <a:gd name="T23" fmla="*/ 388 h 389"/>
                              <a:gd name="T24" fmla="*/ 265 w 638"/>
                              <a:gd name="T25" fmla="*/ 387 h 389"/>
                              <a:gd name="T26" fmla="*/ 167 w 638"/>
                              <a:gd name="T27" fmla="*/ 369 h 389"/>
                              <a:gd name="T28" fmla="*/ 87 w 638"/>
                              <a:gd name="T29" fmla="*/ 338 h 389"/>
                              <a:gd name="T30" fmla="*/ 30 w 638"/>
                              <a:gd name="T31" fmla="*/ 295 h 389"/>
                              <a:gd name="T32" fmla="*/ 0 w 638"/>
                              <a:gd name="T33" fmla="*/ 245 h 389"/>
                              <a:gd name="T34" fmla="*/ 0 w 638"/>
                              <a:gd name="T35" fmla="*/ 190 h 389"/>
                              <a:gd name="T36" fmla="*/ 30 w 638"/>
                              <a:gd name="T37" fmla="*/ 142 h 389"/>
                              <a:gd name="T38" fmla="*/ 84 w 638"/>
                              <a:gd name="T39" fmla="*/ 101 h 389"/>
                              <a:gd name="T40" fmla="*/ 159 w 638"/>
                              <a:gd name="T41" fmla="*/ 70 h 389"/>
                              <a:gd name="T42" fmla="*/ 249 w 638"/>
                              <a:gd name="T43" fmla="*/ 52 h 389"/>
                              <a:gd name="T44" fmla="*/ 308 w 638"/>
                              <a:gd name="T45"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8" h="389">
                                <a:moveTo>
                                  <a:pt x="308" y="0"/>
                                </a:moveTo>
                                <a:lnTo>
                                  <a:pt x="372" y="50"/>
                                </a:lnTo>
                                <a:lnTo>
                                  <a:pt x="469" y="68"/>
                                </a:lnTo>
                                <a:lnTo>
                                  <a:pt x="549" y="99"/>
                                </a:lnTo>
                                <a:lnTo>
                                  <a:pt x="607" y="142"/>
                                </a:lnTo>
                                <a:lnTo>
                                  <a:pt x="637" y="192"/>
                                </a:lnTo>
                                <a:lnTo>
                                  <a:pt x="636" y="247"/>
                                </a:lnTo>
                                <a:lnTo>
                                  <a:pt x="611" y="291"/>
                                </a:lnTo>
                                <a:lnTo>
                                  <a:pt x="566" y="328"/>
                                </a:lnTo>
                                <a:lnTo>
                                  <a:pt x="506" y="358"/>
                                </a:lnTo>
                                <a:lnTo>
                                  <a:pt x="433" y="378"/>
                                </a:lnTo>
                                <a:lnTo>
                                  <a:pt x="351" y="388"/>
                                </a:lnTo>
                                <a:lnTo>
                                  <a:pt x="265" y="387"/>
                                </a:lnTo>
                                <a:lnTo>
                                  <a:pt x="167" y="369"/>
                                </a:lnTo>
                                <a:lnTo>
                                  <a:pt x="87" y="338"/>
                                </a:lnTo>
                                <a:lnTo>
                                  <a:pt x="30" y="295"/>
                                </a:lnTo>
                                <a:lnTo>
                                  <a:pt x="0" y="245"/>
                                </a:lnTo>
                                <a:lnTo>
                                  <a:pt x="0" y="190"/>
                                </a:lnTo>
                                <a:lnTo>
                                  <a:pt x="30" y="142"/>
                                </a:lnTo>
                                <a:lnTo>
                                  <a:pt x="84" y="101"/>
                                </a:lnTo>
                                <a:lnTo>
                                  <a:pt x="159" y="70"/>
                                </a:lnTo>
                                <a:lnTo>
                                  <a:pt x="249" y="52"/>
                                </a:lnTo>
                                <a:lnTo>
                                  <a:pt x="308" y="0"/>
                                </a:lnTo>
                                <a:close/>
                              </a:path>
                            </a:pathLst>
                          </a:custGeom>
                          <a:noFill/>
                          <a:ln w="72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Text Box 43"/>
                        <wps:cNvSpPr txBox="1">
                          <a:spLocks noChangeArrowheads="1"/>
                        </wps:cNvSpPr>
                        <wps:spPr bwMode="auto">
                          <a:xfrm>
                            <a:off x="253" y="110"/>
                            <a:ext cx="25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F12E9" w14:textId="77777777" w:rsidR="003646EB" w:rsidRDefault="003646EB" w:rsidP="00912FBA">
                              <w:pPr>
                                <w:pStyle w:val="Title"/>
                                <w:kinsoku w:val="0"/>
                                <w:overflowPunct w:val="0"/>
                                <w:spacing w:line="125" w:lineRule="exact"/>
                                <w:rPr>
                                  <w:b/>
                                  <w:bCs/>
                                  <w:color w:val="FFFFFF"/>
                                  <w:w w:val="105"/>
                                  <w:sz w:val="11"/>
                                  <w:szCs w:val="11"/>
                                </w:rPr>
                              </w:pPr>
                              <w:r>
                                <w:rPr>
                                  <w:b/>
                                  <w:bCs/>
                                  <w:color w:val="FFFFFF"/>
                                  <w:w w:val="105"/>
                                  <w:sz w:val="11"/>
                                  <w:szCs w:val="11"/>
                                </w:rPr>
                                <w:t>2008</w:t>
                              </w:r>
                            </w:p>
                          </w:txbxContent>
                        </wps:txbx>
                        <wps:bodyPr rot="0" vert="horz" wrap="square" lIns="0" tIns="0" rIns="0" bIns="0" anchor="t" anchorCtr="0" upright="1">
                          <a:noAutofit/>
                        </wps:bodyPr>
                      </wps:wsp>
                      <wps:wsp>
                        <wps:cNvPr id="195" name="Text Box 44"/>
                        <wps:cNvSpPr txBox="1">
                          <a:spLocks noChangeArrowheads="1"/>
                        </wps:cNvSpPr>
                        <wps:spPr bwMode="auto">
                          <a:xfrm>
                            <a:off x="1717" y="96"/>
                            <a:ext cx="3279"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C2ED" w14:textId="77777777" w:rsidR="003646EB" w:rsidRDefault="003646EB" w:rsidP="00912FBA">
                              <w:pPr>
                                <w:pStyle w:val="Title"/>
                                <w:kinsoku w:val="0"/>
                                <w:overflowPunct w:val="0"/>
                                <w:spacing w:line="125" w:lineRule="exact"/>
                                <w:ind w:right="51"/>
                                <w:jc w:val="center"/>
                                <w:rPr>
                                  <w:b/>
                                  <w:bCs/>
                                  <w:color w:val="FFFFFF"/>
                                  <w:w w:val="105"/>
                                  <w:sz w:val="11"/>
                                  <w:szCs w:val="11"/>
                                </w:rPr>
                              </w:pPr>
                              <w:r>
                                <w:rPr>
                                  <w:b/>
                                  <w:bCs/>
                                  <w:color w:val="FFFFFF"/>
                                  <w:w w:val="105"/>
                                  <w:sz w:val="11"/>
                                  <w:szCs w:val="11"/>
                                </w:rPr>
                                <w:t>2014</w:t>
                              </w:r>
                            </w:p>
                            <w:p w14:paraId="28C0DD7C" w14:textId="77777777" w:rsidR="003646EB" w:rsidRDefault="003646EB" w:rsidP="00912FBA">
                              <w:pPr>
                                <w:pStyle w:val="Title"/>
                                <w:kinsoku w:val="0"/>
                                <w:overflowPunct w:val="0"/>
                                <w:spacing w:before="2" w:line="237" w:lineRule="auto"/>
                                <w:ind w:right="18"/>
                                <w:jc w:val="center"/>
                                <w:rPr>
                                  <w:b/>
                                  <w:bCs/>
                                  <w:color w:val="FFFFFF"/>
                                  <w:w w:val="105"/>
                                  <w:position w:val="-8"/>
                                  <w:sz w:val="11"/>
                                  <w:szCs w:val="11"/>
                                </w:rPr>
                              </w:pPr>
                              <w:r>
                                <w:rPr>
                                  <w:b/>
                                  <w:bCs/>
                                  <w:color w:val="FFFFFF"/>
                                  <w:sz w:val="11"/>
                                  <w:szCs w:val="11"/>
                                </w:rPr>
                                <w:t xml:space="preserve">2012                                                                                                     </w:t>
                              </w:r>
                              <w:r>
                                <w:rPr>
                                  <w:b/>
                                  <w:bCs/>
                                  <w:color w:val="FFFFFF"/>
                                  <w:spacing w:val="1"/>
                                  <w:sz w:val="11"/>
                                  <w:szCs w:val="11"/>
                                </w:rPr>
                                <w:t xml:space="preserve"> </w:t>
                              </w:r>
                              <w:r>
                                <w:rPr>
                                  <w:b/>
                                  <w:bCs/>
                                  <w:color w:val="FFFFFF"/>
                                  <w:w w:val="105"/>
                                  <w:position w:val="-8"/>
                                  <w:sz w:val="11"/>
                                  <w:szCs w:val="11"/>
                                </w:rPr>
                                <w:t>2018</w:t>
                              </w:r>
                            </w:p>
                          </w:txbxContent>
                        </wps:txbx>
                        <wps:bodyPr rot="0" vert="horz" wrap="square" lIns="0" tIns="0" rIns="0" bIns="0" anchor="t" anchorCtr="0" upright="1">
                          <a:noAutofit/>
                        </wps:bodyPr>
                      </wps:wsp>
                      <wps:wsp>
                        <wps:cNvPr id="196" name="Text Box 45"/>
                        <wps:cNvSpPr txBox="1">
                          <a:spLocks noChangeArrowheads="1"/>
                        </wps:cNvSpPr>
                        <wps:spPr bwMode="auto">
                          <a:xfrm>
                            <a:off x="7741" y="322"/>
                            <a:ext cx="25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C417" w14:textId="77777777" w:rsidR="003646EB" w:rsidRDefault="003646EB" w:rsidP="00912FBA">
                              <w:pPr>
                                <w:pStyle w:val="Title"/>
                                <w:kinsoku w:val="0"/>
                                <w:overflowPunct w:val="0"/>
                                <w:spacing w:line="125" w:lineRule="exact"/>
                                <w:rPr>
                                  <w:b/>
                                  <w:bCs/>
                                  <w:color w:val="FFFFFF"/>
                                  <w:w w:val="105"/>
                                  <w:sz w:val="11"/>
                                  <w:szCs w:val="11"/>
                                </w:rPr>
                              </w:pPr>
                              <w:r>
                                <w:rPr>
                                  <w:b/>
                                  <w:bCs/>
                                  <w:color w:val="FFFFFF"/>
                                  <w:w w:val="105"/>
                                  <w:sz w:val="11"/>
                                  <w:szCs w:val="11"/>
                                </w:rPr>
                                <w:t>2022</w:t>
                              </w:r>
                            </w:p>
                          </w:txbxContent>
                        </wps:txbx>
                        <wps:bodyPr rot="0" vert="horz" wrap="square" lIns="0" tIns="0" rIns="0" bIns="0" anchor="t" anchorCtr="0" upright="1">
                          <a:noAutofit/>
                        </wps:bodyPr>
                      </wps:wsp>
                      <wps:wsp>
                        <wps:cNvPr id="197" name="Text Box 46"/>
                        <wps:cNvSpPr txBox="1">
                          <a:spLocks noChangeArrowheads="1"/>
                        </wps:cNvSpPr>
                        <wps:spPr bwMode="auto">
                          <a:xfrm>
                            <a:off x="6243" y="489"/>
                            <a:ext cx="25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BB24" w14:textId="77777777" w:rsidR="003646EB" w:rsidRDefault="003646EB" w:rsidP="00912FBA">
                              <w:pPr>
                                <w:pStyle w:val="Title"/>
                                <w:kinsoku w:val="0"/>
                                <w:overflowPunct w:val="0"/>
                                <w:spacing w:line="125" w:lineRule="exact"/>
                                <w:rPr>
                                  <w:b/>
                                  <w:bCs/>
                                  <w:color w:val="FFFFFF"/>
                                  <w:w w:val="105"/>
                                  <w:sz w:val="11"/>
                                  <w:szCs w:val="11"/>
                                </w:rPr>
                              </w:pPr>
                              <w:r>
                                <w:rPr>
                                  <w:b/>
                                  <w:bCs/>
                                  <w:color w:val="FFFFFF"/>
                                  <w:w w:val="105"/>
                                  <w:sz w:val="11"/>
                                  <w:szCs w:val="11"/>
                                </w:rPr>
                                <w:t>2021</w:t>
                              </w:r>
                            </w:p>
                          </w:txbxContent>
                        </wps:txbx>
                        <wps:bodyPr rot="0" vert="horz" wrap="square" lIns="0" tIns="0" rIns="0" bIns="0" anchor="t" anchorCtr="0" upright="1">
                          <a:noAutofit/>
                        </wps:bodyPr>
                      </wps:wsp>
                      <wps:wsp>
                        <wps:cNvPr id="198" name="Text Box 47"/>
                        <wps:cNvSpPr txBox="1">
                          <a:spLocks noChangeArrowheads="1"/>
                        </wps:cNvSpPr>
                        <wps:spPr bwMode="auto">
                          <a:xfrm>
                            <a:off x="816" y="1105"/>
                            <a:ext cx="64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0ED05" w14:textId="77777777" w:rsidR="003646EB" w:rsidRDefault="003646EB" w:rsidP="00912FBA">
                              <w:pPr>
                                <w:pStyle w:val="Title"/>
                                <w:kinsoku w:val="0"/>
                                <w:overflowPunct w:val="0"/>
                                <w:spacing w:line="295" w:lineRule="auto"/>
                                <w:ind w:firstLine="38"/>
                                <w:rPr>
                                  <w:b/>
                                  <w:bCs/>
                                  <w:color w:val="CFA1F8"/>
                                  <w:spacing w:val="-2"/>
                                  <w:w w:val="110"/>
                                  <w:sz w:val="8"/>
                                  <w:szCs w:val="8"/>
                                </w:rPr>
                              </w:pPr>
                              <w:r>
                                <w:rPr>
                                  <w:b/>
                                  <w:bCs/>
                                  <w:color w:val="CFA1F8"/>
                                  <w:w w:val="105"/>
                                  <w:sz w:val="8"/>
                                  <w:szCs w:val="8"/>
                                </w:rPr>
                                <w:t>National Social</w:t>
                              </w:r>
                              <w:r>
                                <w:rPr>
                                  <w:b/>
                                  <w:bCs/>
                                  <w:color w:val="CFA1F8"/>
                                  <w:spacing w:val="1"/>
                                  <w:w w:val="105"/>
                                  <w:sz w:val="8"/>
                                  <w:szCs w:val="8"/>
                                </w:rPr>
                                <w:t xml:space="preserve"> </w:t>
                              </w:r>
                              <w:r>
                                <w:rPr>
                                  <w:b/>
                                  <w:bCs/>
                                  <w:color w:val="CFA1F8"/>
                                  <w:spacing w:val="-2"/>
                                  <w:w w:val="110"/>
                                  <w:sz w:val="8"/>
                                  <w:szCs w:val="8"/>
                                </w:rPr>
                                <w:t>Protection</w:t>
                              </w:r>
                              <w:r>
                                <w:rPr>
                                  <w:b/>
                                  <w:bCs/>
                                  <w:color w:val="CFA1F8"/>
                                  <w:spacing w:val="-3"/>
                                  <w:w w:val="110"/>
                                  <w:sz w:val="8"/>
                                  <w:szCs w:val="8"/>
                                </w:rPr>
                                <w:t xml:space="preserve"> </w:t>
                              </w:r>
                              <w:r>
                                <w:rPr>
                                  <w:b/>
                                  <w:bCs/>
                                  <w:color w:val="CFA1F8"/>
                                  <w:spacing w:val="-2"/>
                                  <w:w w:val="110"/>
                                  <w:sz w:val="8"/>
                                  <w:szCs w:val="8"/>
                                </w:rPr>
                                <w:t>Policy</w:t>
                              </w:r>
                            </w:p>
                          </w:txbxContent>
                        </wps:txbx>
                        <wps:bodyPr rot="0" vert="horz" wrap="square" lIns="0" tIns="0" rIns="0" bIns="0" anchor="t" anchorCtr="0" upright="1">
                          <a:noAutofit/>
                        </wps:bodyPr>
                      </wps:wsp>
                      <wps:wsp>
                        <wps:cNvPr id="199" name="Text Box 48"/>
                        <wps:cNvSpPr txBox="1">
                          <a:spLocks noChangeArrowheads="1"/>
                        </wps:cNvSpPr>
                        <wps:spPr bwMode="auto">
                          <a:xfrm>
                            <a:off x="2506" y="1213"/>
                            <a:ext cx="263"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F2C53" w14:textId="77777777" w:rsidR="003646EB" w:rsidRDefault="003646EB" w:rsidP="00912FBA">
                              <w:pPr>
                                <w:pStyle w:val="Title"/>
                                <w:kinsoku w:val="0"/>
                                <w:overflowPunct w:val="0"/>
                                <w:spacing w:before="2"/>
                                <w:rPr>
                                  <w:b/>
                                  <w:bCs/>
                                  <w:color w:val="BE8F00"/>
                                  <w:w w:val="110"/>
                                  <w:sz w:val="8"/>
                                  <w:szCs w:val="8"/>
                                </w:rPr>
                              </w:pPr>
                              <w:r>
                                <w:rPr>
                                  <w:b/>
                                  <w:bCs/>
                                  <w:color w:val="BE8F00"/>
                                  <w:w w:val="110"/>
                                  <w:sz w:val="8"/>
                                  <w:szCs w:val="8"/>
                                </w:rPr>
                                <w:t>MTP2</w:t>
                              </w:r>
                            </w:p>
                          </w:txbxContent>
                        </wps:txbx>
                        <wps:bodyPr rot="0" vert="horz" wrap="square" lIns="0" tIns="0" rIns="0" bIns="0" anchor="t" anchorCtr="0" upright="1">
                          <a:noAutofit/>
                        </wps:bodyPr>
                      </wps:wsp>
                      <wps:wsp>
                        <wps:cNvPr id="200" name="Text Box 49"/>
                        <wps:cNvSpPr txBox="1">
                          <a:spLocks noChangeArrowheads="1"/>
                        </wps:cNvSpPr>
                        <wps:spPr bwMode="auto">
                          <a:xfrm>
                            <a:off x="3871" y="875"/>
                            <a:ext cx="52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3334" w14:textId="77777777" w:rsidR="003646EB" w:rsidRDefault="003646EB" w:rsidP="00912FBA">
                              <w:pPr>
                                <w:pStyle w:val="Title"/>
                                <w:kinsoku w:val="0"/>
                                <w:overflowPunct w:val="0"/>
                                <w:spacing w:line="295" w:lineRule="auto"/>
                                <w:ind w:right="18"/>
                                <w:jc w:val="center"/>
                                <w:rPr>
                                  <w:b/>
                                  <w:bCs/>
                                  <w:color w:val="6F2F9F"/>
                                  <w:w w:val="110"/>
                                  <w:sz w:val="8"/>
                                  <w:szCs w:val="8"/>
                                </w:rPr>
                              </w:pPr>
                              <w:r>
                                <w:rPr>
                                  <w:b/>
                                  <w:bCs/>
                                  <w:color w:val="6F2F9F"/>
                                  <w:spacing w:val="-1"/>
                                  <w:w w:val="105"/>
                                  <w:sz w:val="8"/>
                                  <w:szCs w:val="8"/>
                                </w:rPr>
                                <w:t xml:space="preserve">Education </w:t>
                              </w:r>
                              <w:r>
                                <w:rPr>
                                  <w:b/>
                                  <w:bCs/>
                                  <w:color w:val="6F2F9F"/>
                                  <w:w w:val="105"/>
                                  <w:sz w:val="8"/>
                                  <w:szCs w:val="8"/>
                                </w:rPr>
                                <w:t>for</w:t>
                              </w:r>
                              <w:r>
                                <w:rPr>
                                  <w:b/>
                                  <w:bCs/>
                                  <w:color w:val="6F2F9F"/>
                                  <w:spacing w:val="-18"/>
                                  <w:w w:val="105"/>
                                  <w:sz w:val="8"/>
                                  <w:szCs w:val="8"/>
                                </w:rPr>
                                <w:t xml:space="preserve"> </w:t>
                              </w:r>
                              <w:r>
                                <w:rPr>
                                  <w:b/>
                                  <w:bCs/>
                                  <w:color w:val="6F2F9F"/>
                                  <w:w w:val="110"/>
                                  <w:sz w:val="8"/>
                                  <w:szCs w:val="8"/>
                                </w:rPr>
                                <w:t>Sustainable</w:t>
                              </w:r>
                              <w:r>
                                <w:rPr>
                                  <w:b/>
                                  <w:bCs/>
                                  <w:color w:val="6F2F9F"/>
                                  <w:spacing w:val="1"/>
                                  <w:w w:val="110"/>
                                  <w:sz w:val="8"/>
                                  <w:szCs w:val="8"/>
                                </w:rPr>
                                <w:t xml:space="preserve"> </w:t>
                              </w:r>
                              <w:r>
                                <w:rPr>
                                  <w:b/>
                                  <w:bCs/>
                                  <w:color w:val="6F2F9F"/>
                                  <w:w w:val="110"/>
                                  <w:sz w:val="8"/>
                                  <w:szCs w:val="8"/>
                                </w:rPr>
                                <w:t>Development</w:t>
                              </w:r>
                              <w:r>
                                <w:rPr>
                                  <w:b/>
                                  <w:bCs/>
                                  <w:color w:val="6F2F9F"/>
                                  <w:spacing w:val="-19"/>
                                  <w:w w:val="110"/>
                                  <w:sz w:val="8"/>
                                  <w:szCs w:val="8"/>
                                </w:rPr>
                                <w:t xml:space="preserve"> </w:t>
                              </w:r>
                              <w:r>
                                <w:rPr>
                                  <w:b/>
                                  <w:bCs/>
                                  <w:color w:val="6F2F9F"/>
                                  <w:w w:val="110"/>
                                  <w:sz w:val="8"/>
                                  <w:szCs w:val="8"/>
                                </w:rPr>
                                <w:t>Policy</w:t>
                              </w:r>
                            </w:p>
                          </w:txbxContent>
                        </wps:txbx>
                        <wps:bodyPr rot="0" vert="horz" wrap="square" lIns="0" tIns="0" rIns="0" bIns="0" anchor="t" anchorCtr="0" upright="1">
                          <a:noAutofit/>
                        </wps:bodyPr>
                      </wps:wsp>
                      <wps:wsp>
                        <wps:cNvPr id="201" name="Text Box 50"/>
                        <wps:cNvSpPr txBox="1">
                          <a:spLocks noChangeArrowheads="1"/>
                        </wps:cNvSpPr>
                        <wps:spPr bwMode="auto">
                          <a:xfrm>
                            <a:off x="5311" y="988"/>
                            <a:ext cx="64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6928" w14:textId="77777777" w:rsidR="003646EB" w:rsidRDefault="003646EB" w:rsidP="00912FBA">
                              <w:pPr>
                                <w:pStyle w:val="Title"/>
                                <w:kinsoku w:val="0"/>
                                <w:overflowPunct w:val="0"/>
                                <w:spacing w:line="295" w:lineRule="auto"/>
                                <w:ind w:right="18"/>
                                <w:jc w:val="center"/>
                                <w:rPr>
                                  <w:b/>
                                  <w:bCs/>
                                  <w:color w:val="538235"/>
                                  <w:w w:val="110"/>
                                  <w:sz w:val="8"/>
                                  <w:szCs w:val="8"/>
                                </w:rPr>
                              </w:pPr>
                              <w:r>
                                <w:rPr>
                                  <w:b/>
                                  <w:bCs/>
                                  <w:color w:val="538235"/>
                                  <w:spacing w:val="-2"/>
                                  <w:w w:val="110"/>
                                  <w:sz w:val="8"/>
                                  <w:szCs w:val="8"/>
                                </w:rPr>
                                <w:t>Revised National</w:t>
                              </w:r>
                              <w:r>
                                <w:rPr>
                                  <w:b/>
                                  <w:bCs/>
                                  <w:color w:val="538235"/>
                                  <w:spacing w:val="-19"/>
                                  <w:w w:val="110"/>
                                  <w:sz w:val="8"/>
                                  <w:szCs w:val="8"/>
                                </w:rPr>
                                <w:t xml:space="preserve"> </w:t>
                              </w:r>
                              <w:r>
                                <w:rPr>
                                  <w:b/>
                                  <w:bCs/>
                                  <w:color w:val="538235"/>
                                  <w:w w:val="105"/>
                                  <w:sz w:val="8"/>
                                  <w:szCs w:val="8"/>
                                </w:rPr>
                                <w:t>Social Protection</w:t>
                              </w:r>
                              <w:r>
                                <w:rPr>
                                  <w:b/>
                                  <w:bCs/>
                                  <w:color w:val="538235"/>
                                  <w:spacing w:val="-18"/>
                                  <w:w w:val="105"/>
                                  <w:sz w:val="8"/>
                                  <w:szCs w:val="8"/>
                                </w:rPr>
                                <w:t xml:space="preserve"> </w:t>
                              </w:r>
                              <w:r>
                                <w:rPr>
                                  <w:b/>
                                  <w:bCs/>
                                  <w:color w:val="538235"/>
                                  <w:w w:val="110"/>
                                  <w:sz w:val="8"/>
                                  <w:szCs w:val="8"/>
                                </w:rPr>
                                <w:t>Policy</w:t>
                              </w:r>
                            </w:p>
                          </w:txbxContent>
                        </wps:txbx>
                        <wps:bodyPr rot="0" vert="horz" wrap="square" lIns="0" tIns="0" rIns="0" bIns="0" anchor="t" anchorCtr="0" upright="1">
                          <a:noAutofit/>
                        </wps:bodyPr>
                      </wps:wsp>
                      <wps:wsp>
                        <wps:cNvPr id="202" name="Text Box 51"/>
                        <wps:cNvSpPr txBox="1">
                          <a:spLocks noChangeArrowheads="1"/>
                        </wps:cNvSpPr>
                        <wps:spPr bwMode="auto">
                          <a:xfrm>
                            <a:off x="6799" y="1101"/>
                            <a:ext cx="65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C356" w14:textId="77777777" w:rsidR="003646EB" w:rsidRDefault="003646EB" w:rsidP="00912FBA">
                              <w:pPr>
                                <w:pStyle w:val="Title"/>
                                <w:kinsoku w:val="0"/>
                                <w:overflowPunct w:val="0"/>
                                <w:spacing w:line="295" w:lineRule="auto"/>
                                <w:ind w:left="98" w:right="11" w:hanging="99"/>
                                <w:rPr>
                                  <w:b/>
                                  <w:bCs/>
                                  <w:color w:val="E69536"/>
                                  <w:w w:val="110"/>
                                  <w:sz w:val="8"/>
                                  <w:szCs w:val="8"/>
                                </w:rPr>
                              </w:pPr>
                              <w:r>
                                <w:rPr>
                                  <w:b/>
                                  <w:bCs/>
                                  <w:color w:val="E69536"/>
                                  <w:spacing w:val="-2"/>
                                  <w:w w:val="110"/>
                                  <w:sz w:val="8"/>
                                  <w:szCs w:val="8"/>
                                </w:rPr>
                                <w:t xml:space="preserve">3rd Decent </w:t>
                              </w:r>
                              <w:r>
                                <w:rPr>
                                  <w:b/>
                                  <w:bCs/>
                                  <w:color w:val="E69536"/>
                                  <w:spacing w:val="-1"/>
                                  <w:w w:val="110"/>
                                  <w:sz w:val="8"/>
                                  <w:szCs w:val="8"/>
                                </w:rPr>
                                <w:t>Work</w:t>
                              </w:r>
                              <w:r>
                                <w:rPr>
                                  <w:b/>
                                  <w:bCs/>
                                  <w:color w:val="E69536"/>
                                  <w:spacing w:val="-19"/>
                                  <w:w w:val="110"/>
                                  <w:sz w:val="8"/>
                                  <w:szCs w:val="8"/>
                                </w:rPr>
                                <w:t xml:space="preserve"> </w:t>
                              </w:r>
                              <w:r>
                                <w:rPr>
                                  <w:b/>
                                  <w:bCs/>
                                  <w:color w:val="E69536"/>
                                  <w:w w:val="110"/>
                                  <w:sz w:val="8"/>
                                  <w:szCs w:val="8"/>
                                </w:rPr>
                                <w:t>Programme</w:t>
                              </w:r>
                            </w:p>
                          </w:txbxContent>
                        </wps:txbx>
                        <wps:bodyPr rot="0" vert="horz" wrap="square" lIns="0" tIns="0" rIns="0" bIns="0" anchor="t" anchorCtr="0" upright="1">
                          <a:noAutofit/>
                        </wps:bodyPr>
                      </wps:wsp>
                      <wps:wsp>
                        <wps:cNvPr id="203" name="Text Box 52"/>
                        <wps:cNvSpPr txBox="1">
                          <a:spLocks noChangeArrowheads="1"/>
                        </wps:cNvSpPr>
                        <wps:spPr bwMode="auto">
                          <a:xfrm>
                            <a:off x="8496" y="1213"/>
                            <a:ext cx="263"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0A65" w14:textId="77777777" w:rsidR="003646EB" w:rsidRDefault="003646EB" w:rsidP="00912FBA">
                              <w:pPr>
                                <w:pStyle w:val="Title"/>
                                <w:kinsoku w:val="0"/>
                                <w:overflowPunct w:val="0"/>
                                <w:spacing w:before="2"/>
                                <w:rPr>
                                  <w:b/>
                                  <w:bCs/>
                                  <w:color w:val="00AF50"/>
                                  <w:w w:val="110"/>
                                  <w:sz w:val="8"/>
                                  <w:szCs w:val="8"/>
                                </w:rPr>
                              </w:pPr>
                              <w:r>
                                <w:rPr>
                                  <w:b/>
                                  <w:bCs/>
                                  <w:color w:val="00AF50"/>
                                  <w:w w:val="110"/>
                                  <w:sz w:val="8"/>
                                  <w:szCs w:val="8"/>
                                </w:rPr>
                                <w:t>MTP4</w:t>
                              </w:r>
                            </w:p>
                          </w:txbxContent>
                        </wps:txbx>
                        <wps:bodyPr rot="0" vert="horz" wrap="square" lIns="0" tIns="0" rIns="0" bIns="0" anchor="t" anchorCtr="0" upright="1">
                          <a:noAutofit/>
                        </wps:bodyPr>
                      </wps:wsp>
                      <wps:wsp>
                        <wps:cNvPr id="204" name="Text Box 53"/>
                        <wps:cNvSpPr txBox="1">
                          <a:spLocks noChangeArrowheads="1"/>
                        </wps:cNvSpPr>
                        <wps:spPr bwMode="auto">
                          <a:xfrm>
                            <a:off x="41" y="1456"/>
                            <a:ext cx="6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B52E" w14:textId="77777777" w:rsidR="003646EB" w:rsidRDefault="003646EB" w:rsidP="00912FBA">
                              <w:pPr>
                                <w:pStyle w:val="Title"/>
                                <w:kinsoku w:val="0"/>
                                <w:overflowPunct w:val="0"/>
                                <w:spacing w:before="2" w:line="295" w:lineRule="auto"/>
                                <w:ind w:right="18"/>
                                <w:jc w:val="center"/>
                                <w:rPr>
                                  <w:b/>
                                  <w:bCs/>
                                  <w:color w:val="F1F1F1"/>
                                  <w:w w:val="105"/>
                                  <w:sz w:val="8"/>
                                  <w:szCs w:val="8"/>
                                </w:rPr>
                              </w:pPr>
                              <w:r>
                                <w:rPr>
                                  <w:b/>
                                  <w:bCs/>
                                  <w:color w:val="006FC0"/>
                                  <w:w w:val="105"/>
                                  <w:sz w:val="8"/>
                                  <w:szCs w:val="8"/>
                                </w:rPr>
                                <w:t>Kenya Vision 2030</w:t>
                              </w:r>
                              <w:r>
                                <w:rPr>
                                  <w:b/>
                                  <w:bCs/>
                                  <w:color w:val="006FC0"/>
                                  <w:spacing w:val="-18"/>
                                  <w:w w:val="105"/>
                                  <w:sz w:val="8"/>
                                  <w:szCs w:val="8"/>
                                </w:rPr>
                                <w:t xml:space="preserve"> </w:t>
                              </w:r>
                              <w:r>
                                <w:rPr>
                                  <w:b/>
                                  <w:bCs/>
                                  <w:color w:val="F1F1F1"/>
                                  <w:w w:val="105"/>
                                  <w:sz w:val="8"/>
                                  <w:szCs w:val="8"/>
                                </w:rPr>
                                <w:t>x</w:t>
                              </w:r>
                            </w:p>
                            <w:p w14:paraId="48F19641" w14:textId="77777777" w:rsidR="003646EB" w:rsidRDefault="003646EB" w:rsidP="00912FBA">
                              <w:pPr>
                                <w:pStyle w:val="Title"/>
                                <w:kinsoku w:val="0"/>
                                <w:overflowPunct w:val="0"/>
                                <w:spacing w:line="91" w:lineRule="exact"/>
                                <w:ind w:right="15"/>
                                <w:jc w:val="center"/>
                                <w:rPr>
                                  <w:b/>
                                  <w:bCs/>
                                  <w:color w:val="006FC0"/>
                                  <w:w w:val="110"/>
                                  <w:sz w:val="8"/>
                                  <w:szCs w:val="8"/>
                                </w:rPr>
                              </w:pPr>
                              <w:r>
                                <w:rPr>
                                  <w:b/>
                                  <w:bCs/>
                                  <w:color w:val="006FC0"/>
                                  <w:w w:val="110"/>
                                  <w:sz w:val="8"/>
                                  <w:szCs w:val="8"/>
                                </w:rPr>
                                <w:t>MTP1</w:t>
                              </w:r>
                            </w:p>
                          </w:txbxContent>
                        </wps:txbx>
                        <wps:bodyPr rot="0" vert="horz" wrap="square" lIns="0" tIns="0" rIns="0" bIns="0" anchor="t" anchorCtr="0" upright="1">
                          <a:noAutofit/>
                        </wps:bodyPr>
                      </wps:wsp>
                      <wps:wsp>
                        <wps:cNvPr id="205" name="Text Box 54"/>
                        <wps:cNvSpPr txBox="1">
                          <a:spLocks noChangeArrowheads="1"/>
                        </wps:cNvSpPr>
                        <wps:spPr bwMode="auto">
                          <a:xfrm>
                            <a:off x="1538" y="1456"/>
                            <a:ext cx="7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E031" w14:textId="77777777" w:rsidR="003646EB" w:rsidRDefault="003646EB" w:rsidP="00912FBA">
                              <w:pPr>
                                <w:pStyle w:val="Title"/>
                                <w:kinsoku w:val="0"/>
                                <w:overflowPunct w:val="0"/>
                                <w:spacing w:line="295" w:lineRule="auto"/>
                                <w:ind w:left="86" w:right="16" w:hanging="87"/>
                                <w:rPr>
                                  <w:b/>
                                  <w:bCs/>
                                  <w:color w:val="92D050"/>
                                  <w:w w:val="110"/>
                                  <w:sz w:val="8"/>
                                  <w:szCs w:val="8"/>
                                </w:rPr>
                              </w:pPr>
                              <w:r>
                                <w:rPr>
                                  <w:b/>
                                  <w:bCs/>
                                  <w:color w:val="92D050"/>
                                  <w:w w:val="105"/>
                                  <w:sz w:val="8"/>
                                  <w:szCs w:val="8"/>
                                </w:rPr>
                                <w:t>Policy Framework</w:t>
                              </w:r>
                              <w:r>
                                <w:rPr>
                                  <w:b/>
                                  <w:bCs/>
                                  <w:color w:val="92D050"/>
                                  <w:spacing w:val="-18"/>
                                  <w:w w:val="105"/>
                                  <w:sz w:val="8"/>
                                  <w:szCs w:val="8"/>
                                </w:rPr>
                                <w:t xml:space="preserve"> </w:t>
                              </w:r>
                              <w:r>
                                <w:rPr>
                                  <w:b/>
                                  <w:bCs/>
                                  <w:color w:val="92D050"/>
                                  <w:w w:val="110"/>
                                  <w:sz w:val="8"/>
                                  <w:szCs w:val="8"/>
                                </w:rPr>
                                <w:t>for</w:t>
                              </w:r>
                              <w:r>
                                <w:rPr>
                                  <w:b/>
                                  <w:bCs/>
                                  <w:color w:val="92D050"/>
                                  <w:spacing w:val="-4"/>
                                  <w:w w:val="110"/>
                                  <w:sz w:val="8"/>
                                  <w:szCs w:val="8"/>
                                </w:rPr>
                                <w:t xml:space="preserve"> </w:t>
                              </w:r>
                              <w:r>
                                <w:rPr>
                                  <w:b/>
                                  <w:bCs/>
                                  <w:color w:val="92D050"/>
                                  <w:w w:val="110"/>
                                  <w:sz w:val="8"/>
                                  <w:szCs w:val="8"/>
                                </w:rPr>
                                <w:t>Education</w:t>
                              </w:r>
                            </w:p>
                          </w:txbxContent>
                        </wps:txbx>
                        <wps:bodyPr rot="0" vert="horz" wrap="square" lIns="0" tIns="0" rIns="0" bIns="0" anchor="t" anchorCtr="0" upright="1">
                          <a:noAutofit/>
                        </wps:bodyPr>
                      </wps:wsp>
                      <wps:wsp>
                        <wps:cNvPr id="206" name="Text Box 55"/>
                        <wps:cNvSpPr txBox="1">
                          <a:spLocks noChangeArrowheads="1"/>
                        </wps:cNvSpPr>
                        <wps:spPr bwMode="auto">
                          <a:xfrm>
                            <a:off x="3122" y="1456"/>
                            <a:ext cx="52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74C4" w14:textId="77777777" w:rsidR="003646EB" w:rsidRDefault="003646EB" w:rsidP="00912FBA">
                              <w:pPr>
                                <w:pStyle w:val="Title"/>
                                <w:kinsoku w:val="0"/>
                                <w:overflowPunct w:val="0"/>
                                <w:spacing w:line="295" w:lineRule="auto"/>
                                <w:ind w:left="141" w:hanging="142"/>
                                <w:rPr>
                                  <w:b/>
                                  <w:bCs/>
                                  <w:color w:val="C55811"/>
                                  <w:w w:val="110"/>
                                  <w:sz w:val="8"/>
                                  <w:szCs w:val="8"/>
                                </w:rPr>
                              </w:pPr>
                              <w:r>
                                <w:rPr>
                                  <w:b/>
                                  <w:bCs/>
                                  <w:color w:val="C55811"/>
                                  <w:spacing w:val="-3"/>
                                  <w:w w:val="110"/>
                                  <w:sz w:val="8"/>
                                  <w:szCs w:val="8"/>
                                </w:rPr>
                                <w:t>Kenya</w:t>
                              </w:r>
                              <w:r>
                                <w:rPr>
                                  <w:b/>
                                  <w:bCs/>
                                  <w:color w:val="C55811"/>
                                  <w:spacing w:val="-1"/>
                                  <w:w w:val="110"/>
                                  <w:sz w:val="8"/>
                                  <w:szCs w:val="8"/>
                                </w:rPr>
                                <w:t xml:space="preserve"> </w:t>
                              </w:r>
                              <w:r>
                                <w:rPr>
                                  <w:b/>
                                  <w:bCs/>
                                  <w:color w:val="C55811"/>
                                  <w:spacing w:val="-3"/>
                                  <w:w w:val="110"/>
                                  <w:sz w:val="8"/>
                                  <w:szCs w:val="8"/>
                                </w:rPr>
                                <w:t>Health</w:t>
                              </w:r>
                              <w:r>
                                <w:rPr>
                                  <w:b/>
                                  <w:bCs/>
                                  <w:color w:val="C55811"/>
                                  <w:spacing w:val="-2"/>
                                  <w:w w:val="110"/>
                                  <w:sz w:val="8"/>
                                  <w:szCs w:val="8"/>
                                </w:rPr>
                                <w:t xml:space="preserve"> </w:t>
                              </w:r>
                              <w:r>
                                <w:rPr>
                                  <w:b/>
                                  <w:bCs/>
                                  <w:color w:val="C55811"/>
                                  <w:w w:val="110"/>
                                  <w:sz w:val="8"/>
                                  <w:szCs w:val="8"/>
                                </w:rPr>
                                <w:t>Policy</w:t>
                              </w:r>
                            </w:p>
                          </w:txbxContent>
                        </wps:txbx>
                        <wps:bodyPr rot="0" vert="horz" wrap="square" lIns="0" tIns="0" rIns="0" bIns="0" anchor="t" anchorCtr="0" upright="1">
                          <a:noAutofit/>
                        </wps:bodyPr>
                      </wps:wsp>
                      <wps:wsp>
                        <wps:cNvPr id="207" name="Text Box 56"/>
                        <wps:cNvSpPr txBox="1">
                          <a:spLocks noChangeArrowheads="1"/>
                        </wps:cNvSpPr>
                        <wps:spPr bwMode="auto">
                          <a:xfrm>
                            <a:off x="4558" y="1456"/>
                            <a:ext cx="64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61C6" w14:textId="77777777" w:rsidR="003646EB" w:rsidRDefault="003646EB" w:rsidP="00912FBA">
                              <w:pPr>
                                <w:pStyle w:val="Title"/>
                                <w:kinsoku w:val="0"/>
                                <w:overflowPunct w:val="0"/>
                                <w:spacing w:before="2"/>
                                <w:ind w:right="17"/>
                                <w:jc w:val="center"/>
                                <w:rPr>
                                  <w:b/>
                                  <w:bCs/>
                                  <w:color w:val="F72479"/>
                                  <w:w w:val="110"/>
                                  <w:sz w:val="8"/>
                                  <w:szCs w:val="8"/>
                                </w:rPr>
                              </w:pPr>
                              <w:r>
                                <w:rPr>
                                  <w:b/>
                                  <w:bCs/>
                                  <w:color w:val="F72479"/>
                                  <w:w w:val="110"/>
                                  <w:sz w:val="8"/>
                                  <w:szCs w:val="8"/>
                                </w:rPr>
                                <w:t>MTP3</w:t>
                              </w:r>
                            </w:p>
                            <w:p w14:paraId="6F21D580" w14:textId="77777777" w:rsidR="003646EB" w:rsidRDefault="003646EB" w:rsidP="00912FBA">
                              <w:pPr>
                                <w:pStyle w:val="Title"/>
                                <w:kinsoku w:val="0"/>
                                <w:overflowPunct w:val="0"/>
                                <w:spacing w:before="21"/>
                                <w:ind w:right="17"/>
                                <w:jc w:val="center"/>
                                <w:rPr>
                                  <w:b/>
                                  <w:bCs/>
                                  <w:color w:val="F1F1F1"/>
                                  <w:w w:val="108"/>
                                  <w:sz w:val="8"/>
                                  <w:szCs w:val="8"/>
                                </w:rPr>
                              </w:pPr>
                              <w:r>
                                <w:rPr>
                                  <w:b/>
                                  <w:bCs/>
                                  <w:color w:val="F1F1F1"/>
                                  <w:w w:val="108"/>
                                  <w:sz w:val="8"/>
                                  <w:szCs w:val="8"/>
                                </w:rPr>
                                <w:t>x</w:t>
                              </w:r>
                            </w:p>
                            <w:p w14:paraId="000870E9" w14:textId="77777777" w:rsidR="003646EB" w:rsidRDefault="003646EB" w:rsidP="00912FBA">
                              <w:pPr>
                                <w:pStyle w:val="Title"/>
                                <w:kinsoku w:val="0"/>
                                <w:overflowPunct w:val="0"/>
                                <w:spacing w:before="21"/>
                                <w:ind w:right="18"/>
                                <w:jc w:val="center"/>
                                <w:rPr>
                                  <w:b/>
                                  <w:bCs/>
                                  <w:color w:val="F72479"/>
                                  <w:spacing w:val="-2"/>
                                  <w:w w:val="110"/>
                                  <w:sz w:val="8"/>
                                  <w:szCs w:val="8"/>
                                </w:rPr>
                              </w:pPr>
                              <w:r>
                                <w:rPr>
                                  <w:b/>
                                  <w:bCs/>
                                  <w:color w:val="F72479"/>
                                  <w:spacing w:val="-2"/>
                                  <w:w w:val="110"/>
                                  <w:sz w:val="8"/>
                                  <w:szCs w:val="8"/>
                                </w:rPr>
                                <w:t>Big</w:t>
                              </w:r>
                              <w:r>
                                <w:rPr>
                                  <w:b/>
                                  <w:bCs/>
                                  <w:color w:val="F72479"/>
                                  <w:spacing w:val="-4"/>
                                  <w:w w:val="110"/>
                                  <w:sz w:val="8"/>
                                  <w:szCs w:val="8"/>
                                </w:rPr>
                                <w:t xml:space="preserve"> </w:t>
                              </w:r>
                              <w:r>
                                <w:rPr>
                                  <w:b/>
                                  <w:bCs/>
                                  <w:color w:val="F72479"/>
                                  <w:spacing w:val="-2"/>
                                  <w:w w:val="110"/>
                                  <w:sz w:val="8"/>
                                  <w:szCs w:val="8"/>
                                </w:rPr>
                                <w:t>Four</w:t>
                              </w:r>
                              <w:r>
                                <w:rPr>
                                  <w:b/>
                                  <w:bCs/>
                                  <w:color w:val="F72479"/>
                                  <w:spacing w:val="-3"/>
                                  <w:w w:val="110"/>
                                  <w:sz w:val="8"/>
                                  <w:szCs w:val="8"/>
                                </w:rPr>
                                <w:t xml:space="preserve"> </w:t>
                              </w:r>
                              <w:r>
                                <w:rPr>
                                  <w:b/>
                                  <w:bCs/>
                                  <w:color w:val="F72479"/>
                                  <w:spacing w:val="-2"/>
                                  <w:w w:val="110"/>
                                  <w:sz w:val="8"/>
                                  <w:szCs w:val="8"/>
                                </w:rPr>
                                <w:t>Agenda</w:t>
                              </w:r>
                            </w:p>
                          </w:txbxContent>
                        </wps:txbx>
                        <wps:bodyPr rot="0" vert="horz" wrap="square" lIns="0" tIns="0" rIns="0" bIns="0" anchor="t" anchorCtr="0" upright="1">
                          <a:noAutofit/>
                        </wps:bodyPr>
                      </wps:wsp>
                      <wps:wsp>
                        <wps:cNvPr id="208" name="Text Box 57"/>
                        <wps:cNvSpPr txBox="1">
                          <a:spLocks noChangeArrowheads="1"/>
                        </wps:cNvSpPr>
                        <wps:spPr bwMode="auto">
                          <a:xfrm>
                            <a:off x="6024" y="1456"/>
                            <a:ext cx="7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4424" w14:textId="77777777" w:rsidR="003646EB" w:rsidRDefault="003646EB" w:rsidP="00912FBA">
                              <w:pPr>
                                <w:pStyle w:val="Title"/>
                                <w:kinsoku w:val="0"/>
                                <w:overflowPunct w:val="0"/>
                                <w:spacing w:line="295" w:lineRule="auto"/>
                                <w:ind w:right="18" w:firstLine="2"/>
                                <w:jc w:val="center"/>
                                <w:rPr>
                                  <w:b/>
                                  <w:bCs/>
                                  <w:color w:val="00AFEF"/>
                                  <w:w w:val="110"/>
                                  <w:sz w:val="8"/>
                                  <w:szCs w:val="8"/>
                                </w:rPr>
                              </w:pPr>
                              <w:r>
                                <w:rPr>
                                  <w:b/>
                                  <w:bCs/>
                                  <w:color w:val="00AFEF"/>
                                  <w:w w:val="110"/>
                                  <w:sz w:val="8"/>
                                  <w:szCs w:val="8"/>
                                </w:rPr>
                                <w:t>Kenya Health</w:t>
                              </w:r>
                              <w:r>
                                <w:rPr>
                                  <w:b/>
                                  <w:bCs/>
                                  <w:color w:val="00AFEF"/>
                                  <w:spacing w:val="1"/>
                                  <w:w w:val="110"/>
                                  <w:sz w:val="8"/>
                                  <w:szCs w:val="8"/>
                                </w:rPr>
                                <w:t xml:space="preserve"> </w:t>
                              </w:r>
                              <w:r>
                                <w:rPr>
                                  <w:b/>
                                  <w:bCs/>
                                  <w:color w:val="00AFEF"/>
                                  <w:w w:val="105"/>
                                  <w:sz w:val="8"/>
                                  <w:szCs w:val="8"/>
                                </w:rPr>
                                <w:t>Financing Strategy</w:t>
                              </w:r>
                              <w:r>
                                <w:rPr>
                                  <w:b/>
                                  <w:bCs/>
                                  <w:color w:val="00AFEF"/>
                                  <w:spacing w:val="-18"/>
                                  <w:w w:val="105"/>
                                  <w:sz w:val="8"/>
                                  <w:szCs w:val="8"/>
                                </w:rPr>
                                <w:t xml:space="preserve"> </w:t>
                              </w:r>
                              <w:r>
                                <w:rPr>
                                  <w:b/>
                                  <w:bCs/>
                                  <w:color w:val="00AFEF"/>
                                  <w:w w:val="110"/>
                                  <w:sz w:val="8"/>
                                  <w:szCs w:val="8"/>
                                </w:rPr>
                                <w:t>2020-2030</w:t>
                              </w:r>
                            </w:p>
                          </w:txbxContent>
                        </wps:txbx>
                        <wps:bodyPr rot="0" vert="horz" wrap="square" lIns="0" tIns="0" rIns="0" bIns="0" anchor="t" anchorCtr="0" upright="1">
                          <a:noAutofit/>
                        </wps:bodyPr>
                      </wps:wsp>
                      <wps:wsp>
                        <wps:cNvPr id="209" name="Text Box 58"/>
                        <wps:cNvSpPr txBox="1">
                          <a:spLocks noChangeArrowheads="1"/>
                        </wps:cNvSpPr>
                        <wps:spPr bwMode="auto">
                          <a:xfrm>
                            <a:off x="7577" y="1456"/>
                            <a:ext cx="604"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47075" w14:textId="77777777" w:rsidR="003646EB" w:rsidRDefault="003646EB" w:rsidP="00912FBA">
                              <w:pPr>
                                <w:pStyle w:val="Title"/>
                                <w:kinsoku w:val="0"/>
                                <w:overflowPunct w:val="0"/>
                                <w:spacing w:before="2" w:line="295" w:lineRule="auto"/>
                                <w:ind w:right="18"/>
                                <w:jc w:val="center"/>
                                <w:rPr>
                                  <w:b/>
                                  <w:bCs/>
                                  <w:color w:val="001F5F"/>
                                  <w:w w:val="110"/>
                                  <w:sz w:val="8"/>
                                  <w:szCs w:val="8"/>
                                </w:rPr>
                              </w:pPr>
                              <w:r>
                                <w:rPr>
                                  <w:b/>
                                  <w:bCs/>
                                  <w:color w:val="001F5F"/>
                                  <w:w w:val="110"/>
                                  <w:sz w:val="8"/>
                                  <w:szCs w:val="8"/>
                                </w:rPr>
                                <w:t>Bottom-up</w:t>
                              </w:r>
                              <w:r>
                                <w:rPr>
                                  <w:b/>
                                  <w:bCs/>
                                  <w:color w:val="001F5F"/>
                                  <w:spacing w:val="1"/>
                                  <w:w w:val="110"/>
                                  <w:sz w:val="8"/>
                                  <w:szCs w:val="8"/>
                                </w:rPr>
                                <w:t xml:space="preserve"> </w:t>
                              </w:r>
                              <w:r>
                                <w:rPr>
                                  <w:b/>
                                  <w:bCs/>
                                  <w:color w:val="001F5F"/>
                                  <w:w w:val="110"/>
                                  <w:sz w:val="8"/>
                                  <w:szCs w:val="8"/>
                                </w:rPr>
                                <w:t>Economic</w:t>
                              </w:r>
                              <w:r>
                                <w:rPr>
                                  <w:b/>
                                  <w:bCs/>
                                  <w:color w:val="001F5F"/>
                                  <w:spacing w:val="1"/>
                                  <w:w w:val="110"/>
                                  <w:sz w:val="8"/>
                                  <w:szCs w:val="8"/>
                                </w:rPr>
                                <w:t xml:space="preserve"> </w:t>
                              </w:r>
                              <w:r>
                                <w:rPr>
                                  <w:b/>
                                  <w:bCs/>
                                  <w:color w:val="001F5F"/>
                                  <w:w w:val="105"/>
                                  <w:sz w:val="8"/>
                                  <w:szCs w:val="8"/>
                                </w:rPr>
                                <w:t>Transformation</w:t>
                              </w:r>
                              <w:r>
                                <w:rPr>
                                  <w:b/>
                                  <w:bCs/>
                                  <w:color w:val="001F5F"/>
                                  <w:spacing w:val="-18"/>
                                  <w:w w:val="105"/>
                                  <w:sz w:val="8"/>
                                  <w:szCs w:val="8"/>
                                </w:rPr>
                                <w:t xml:space="preserve"> </w:t>
                              </w:r>
                              <w:r>
                                <w:rPr>
                                  <w:b/>
                                  <w:bCs/>
                                  <w:color w:val="001F5F"/>
                                  <w:w w:val="110"/>
                                  <w:sz w:val="8"/>
                                  <w:szCs w:val="8"/>
                                </w:rPr>
                                <w:t>(BETA)</w:t>
                              </w:r>
                            </w:p>
                            <w:p w14:paraId="390B0C33" w14:textId="77777777" w:rsidR="003646EB" w:rsidRDefault="003646EB" w:rsidP="00912FBA">
                              <w:pPr>
                                <w:pStyle w:val="Title"/>
                                <w:kinsoku w:val="0"/>
                                <w:overflowPunct w:val="0"/>
                                <w:spacing w:line="91" w:lineRule="exact"/>
                                <w:ind w:right="17"/>
                                <w:jc w:val="center"/>
                                <w:rPr>
                                  <w:b/>
                                  <w:bCs/>
                                  <w:color w:val="001F5F"/>
                                  <w:w w:val="110"/>
                                  <w:sz w:val="8"/>
                                  <w:szCs w:val="8"/>
                                </w:rPr>
                              </w:pPr>
                              <w:r>
                                <w:rPr>
                                  <w:b/>
                                  <w:bCs/>
                                  <w:color w:val="001F5F"/>
                                  <w:w w:val="110"/>
                                  <w:sz w:val="8"/>
                                  <w:szCs w:val="8"/>
                                </w:rPr>
                                <w:t>Programme</w:t>
                              </w:r>
                            </w:p>
                          </w:txbxContent>
                        </wps:txbx>
                        <wps:bodyPr rot="0" vert="horz" wrap="square" lIns="0" tIns="0" rIns="0" bIns="0" anchor="t" anchorCtr="0" upright="1">
                          <a:noAutofit/>
                        </wps:bodyPr>
                      </wps:wsp>
                      <wps:wsp>
                        <wps:cNvPr id="210" name="Text Box 59"/>
                        <wps:cNvSpPr txBox="1">
                          <a:spLocks noChangeArrowheads="1"/>
                        </wps:cNvSpPr>
                        <wps:spPr bwMode="auto">
                          <a:xfrm>
                            <a:off x="8463" y="2152"/>
                            <a:ext cx="25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00EE"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2023</w:t>
                              </w:r>
                            </w:p>
                          </w:txbxContent>
                        </wps:txbx>
                        <wps:bodyPr rot="0" vert="horz" wrap="square" lIns="0" tIns="0" rIns="0" bIns="0" anchor="t" anchorCtr="0" upright="1">
                          <a:noAutofit/>
                        </wps:bodyPr>
                      </wps:wsp>
                      <wps:wsp>
                        <wps:cNvPr id="211" name="Text Box 60"/>
                        <wps:cNvSpPr txBox="1">
                          <a:spLocks noChangeArrowheads="1"/>
                        </wps:cNvSpPr>
                        <wps:spPr bwMode="auto">
                          <a:xfrm>
                            <a:off x="2492" y="2278"/>
                            <a:ext cx="25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9428"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2013</w:t>
                              </w:r>
                            </w:p>
                          </w:txbxContent>
                        </wps:txbx>
                        <wps:bodyPr rot="0" vert="horz" wrap="square" lIns="0" tIns="0" rIns="0" bIns="0" anchor="t" anchorCtr="0" upright="1">
                          <a:noAutofit/>
                        </wps:bodyPr>
                      </wps:wsp>
                      <wps:wsp>
                        <wps:cNvPr id="212" name="Text Box 61"/>
                        <wps:cNvSpPr txBox="1">
                          <a:spLocks noChangeArrowheads="1"/>
                        </wps:cNvSpPr>
                        <wps:spPr bwMode="auto">
                          <a:xfrm>
                            <a:off x="5494" y="2245"/>
                            <a:ext cx="25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E1660"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2019</w:t>
                              </w:r>
                            </w:p>
                          </w:txbxContent>
                        </wps:txbx>
                        <wps:bodyPr rot="0" vert="horz" wrap="square" lIns="0" tIns="0" rIns="0" bIns="0" anchor="t" anchorCtr="0" upright="1">
                          <a:noAutofit/>
                        </wps:bodyPr>
                      </wps:wsp>
                      <wps:wsp>
                        <wps:cNvPr id="213" name="Text Box 62"/>
                        <wps:cNvSpPr txBox="1">
                          <a:spLocks noChangeArrowheads="1"/>
                        </wps:cNvSpPr>
                        <wps:spPr bwMode="auto">
                          <a:xfrm>
                            <a:off x="6992" y="2339"/>
                            <a:ext cx="25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83554"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2021</w:t>
                              </w:r>
                            </w:p>
                          </w:txbxContent>
                        </wps:txbx>
                        <wps:bodyPr rot="0" vert="horz" wrap="square" lIns="0" tIns="0" rIns="0" bIns="0" anchor="t" anchorCtr="0" upright="1">
                          <a:noAutofit/>
                        </wps:bodyPr>
                      </wps:wsp>
                      <wps:wsp>
                        <wps:cNvPr id="214" name="Text Box 63"/>
                        <wps:cNvSpPr txBox="1">
                          <a:spLocks noChangeArrowheads="1"/>
                        </wps:cNvSpPr>
                        <wps:spPr bwMode="auto">
                          <a:xfrm>
                            <a:off x="1004" y="2469"/>
                            <a:ext cx="25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AED3E"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2011</w:t>
                              </w:r>
                            </w:p>
                          </w:txbxContent>
                        </wps:txbx>
                        <wps:bodyPr rot="0" vert="horz" wrap="square" lIns="0" tIns="0" rIns="0" bIns="0" anchor="t" anchorCtr="0" upright="1">
                          <a:noAutofit/>
                        </wps:bodyPr>
                      </wps:wsp>
                      <wps:wsp>
                        <wps:cNvPr id="215" name="Text Box 64"/>
                        <wps:cNvSpPr txBox="1">
                          <a:spLocks noChangeArrowheads="1"/>
                        </wps:cNvSpPr>
                        <wps:spPr bwMode="auto">
                          <a:xfrm>
                            <a:off x="4005" y="2451"/>
                            <a:ext cx="25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2E854"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2017</w:t>
                              </w:r>
                            </w:p>
                          </w:txbxContent>
                        </wps:txbx>
                        <wps:bodyPr rot="0" vert="horz" wrap="square" lIns="0" tIns="0" rIns="0" bIns="0" anchor="t" anchorCtr="0" upright="1">
                          <a:noAutofit/>
                        </wps:bodyPr>
                      </wps:wsp>
                    </wpg:wgp>
                  </a:graphicData>
                </a:graphic>
              </wp:inline>
            </w:drawing>
          </mc:Choice>
          <mc:Fallback>
            <w:pict>
              <v:group w14:anchorId="5E2FC6AC" id="Group 4" o:spid="_x0000_s1029" style="width:483pt;height:164.25pt;mso-position-horizontal-relative:char;mso-position-vertical-relative:line" coordsize="9003,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">
                <v:shape id="Freeform 3" o:spid="_x0000_s1030" style="position:absolute;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" path="m751,l,,,122r751,l751,xe" fillcolor="#4471c4" stroked="f">
                  <v:path arrowok="t" o:connecttype="custom" o:connectlocs="751,0;0,0;0,122;751,122;751,0" o:connectangles="0,0,0,0,0"/>
                </v:shape>
                <v:shape id="Freeform 4" o:spid="_x0000_s1031" style="position:absolute;left:748;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" path="m751,l,,,122r751,l751,xe" fillcolor="#ccaae8" stroked="f">
                  <v:path arrowok="t" o:connecttype="custom" o:connectlocs="751,0;0,0;0,122;751,122;751,0" o:connectangles="0,0,0,0,0"/>
                </v:shape>
                <v:shape id="Freeform 5" o:spid="_x0000_s1032" style="position:absolute;left:1497;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" path="m751,l,,,122r751,l751,xe" fillcolor="#92d050" stroked="f">
                  <v:path arrowok="t" o:connecttype="custom" o:connectlocs="751,0;0,0;0,122;751,122;751,0" o:connectangles="0,0,0,0,0"/>
                </v:shape>
                <v:shape id="Freeform 6" o:spid="_x0000_s1033" style="position:absolute;left:2246;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" path="m751,l,,,122r751,l751,xe" fillcolor="#be8f00" stroked="f">
                  <v:path arrowok="t" o:connecttype="custom" o:connectlocs="751,0;0,0;0,122;751,122;751,0" o:connectangles="0,0,0,0,0"/>
                </v:shape>
                <v:shape id="Freeform 7" o:spid="_x0000_s1034" style="position:absolute;left:2995;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" path="m751,l,,,122r751,l751,xe" fillcolor="#c55811" stroked="f">
                  <v:path arrowok="t" o:connecttype="custom" o:connectlocs="751,0;0,0;0,122;751,122;751,0" o:connectangles="0,0,0,0,0"/>
                </v:shape>
                <v:shape id="Freeform 8" o:spid="_x0000_s1035" style="position:absolute;left:3743;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" path="m751,l,,,122r751,l751,xe" fillcolor="#6f2f9f" stroked="f">
                  <v:path arrowok="t" o:connecttype="custom" o:connectlocs="751,0;0,0;0,122;751,122;751,0" o:connectangles="0,0,0,0,0"/>
                </v:shape>
                <v:shape id="Freeform 9" o:spid="_x0000_s1036" style="position:absolute;left:4492;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" path="m751,l,,,122r751,l751,xe" fillcolor="#da135f" stroked="f">
                  <v:path arrowok="t" o:connecttype="custom" o:connectlocs="751,0;0,0;0,122;751,122;751,0" o:connectangles="0,0,0,0,0"/>
                </v:shape>
                <v:shape id="Freeform 10" o:spid="_x0000_s1037" style="position:absolute;left:5241;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" path="m751,l,,,122r751,l751,xe" fillcolor="#538235" stroked="f">
                  <v:path arrowok="t" o:connecttype="custom" o:connectlocs="751,0;0,0;0,122;751,122;751,0" o:connectangles="0,0,0,0,0"/>
                </v:shape>
                <v:shape id="Freeform 11" o:spid="_x0000_s1038" style="position:absolute;left:5990;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" path="m751,l,,,122r751,l751,xe" fillcolor="#00afef" stroked="f">
                  <v:path arrowok="t" o:connecttype="custom" o:connectlocs="751,0;0,0;0,122;751,122;751,0" o:connectangles="0,0,0,0,0"/>
                </v:shape>
                <v:shape id="Freeform 12" o:spid="_x0000_s1039" style="position:absolute;left:6739;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" path="m751,l,,,122r751,l751,xe" fillcolor="#e69536" stroked="f">
                  <v:path arrowok="t" o:connecttype="custom" o:connectlocs="751,0;0,0;0,122;751,122;751,0" o:connectangles="0,0,0,0,0"/>
                </v:shape>
                <v:shape id="Freeform 13" o:spid="_x0000_s1040" style="position:absolute;left:7487;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" path="m751,l,,,122r751,l751,xe" fillcolor="#001f5f" stroked="f">
                  <v:path arrowok="t" o:connecttype="custom" o:connectlocs="751,0;0,0;0,122;751,122;751,0" o:connectangles="0,0,0,0,0"/>
                </v:shape>
                <v:shape id="Freeform 14" o:spid="_x0000_s1041" style="position:absolute;left:8236;top:1321;width:752;height:123;visibility:visible;mso-wrap-style:square;v-text-anchor:top" coordsize="7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" path="m751,l,,,122r751,l751,xe" fillcolor="#00af50" stroked="f">
                  <v:path arrowok="t" o:connecttype="custom" o:connectlocs="751,0;0,0;0,122;751,122;751,0" o:connectangles="0,0,0,0,0"/>
                </v:shape>
                <v:shape id="Freeform 15" o:spid="_x0000_s1042" style="position:absolute;top:1316;width:9003;height:142;visibility:visible;mso-wrap-style:square;v-text-anchor:top" coordsize="90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" path="m9002,r-34,l8968,r,12l8968,108r-715,l8253,12r715,l8968,,8253,r-33,l8220,r,12l8220,108r-716,l7504,12r716,l8220,,7504,r-33,l7471,r,12l7471,120r-715,l6756,108r,-96l7471,12r,-12l6756,r-34,l6722,r,12l6722,108r-715,l6007,12r715,l6722,,6007,r-34,l5973,r,12l5973,120r-715,l5258,108r,-96l5973,12r,-12l5258,r-34,l5224,r,12l5224,108r-715,l4509,12r715,l5224,,4509,r-33,l4476,r,12l4476,108r-716,l3760,12r716,l4476,,3760,r-33,l3727,r,12l3727,108r-715,l3012,12r715,l3727,,3012,r-34,l2978,r,12l2978,108r-715,l2263,12r715,l2978,,2263,r-34,l2229,r,12l2229,108r-715,l1514,12r715,l2229,,1514,r-34,l1480,r,12l1480,120r-715,l765,108r,-96l1480,12r,-12l765,,732,,,,,12r732,l732,108,,108r,33l732,141r33,l765,132r715,l1480,141r34,l2229,141r34,l2978,141r34,l3727,141r33,l4476,141r33,l5224,141r34,l5258,132r715,l5973,141r34,l6722,141r34,l6756,132r715,l7471,141r33,l8220,141r33,l8968,141r34,l9002,108,9002,xe" stroked="f">
                  <v:path arrowok="t" o:connecttype="custom" o:connectlocs="8968,0;8253,108;8968,0;8220,0;7504,108;8220,0;7471,0;6756,120;7471,12;6722,0;6722,108;6722,12;5973,0;5973,120;5258,12;5258,0;5224,12;4509,12;4509,0;4476,12;3760,12;3760,0;3727,12;3012,12;3012,0;2978,12;2263,12;2263,0;2229,12;1514,12;1514,0;1480,12;765,108;1480,0;0,0;732,108;732,141;1480,132;2229,141;3012,141;4476,141;5258,141;5973,141;6756,141;7471,141;8253,141;9002,108" o:connectangles="0,0,0,0,0,0,0,0,0,0,0,0,0,0,0,0,0,0,0,0,0,0,0,0,0,0,0,0,0,0,0,0,0,0,0,0,0,0,0,0,0,0,0,0,0,0,0"/>
                </v:shape>
                <v:shape id="Freeform 16" o:spid="_x0000_s1043" style="position:absolute;left:797;top:2278;width:642;height:456;visibility:visible;mso-wrap-style:square;v-text-anchor:top" coordsize="64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" path="m331,l267,73,175,91,98,123,40,168,5,221,,283r25,57l78,390r77,38l251,451r86,4l420,446r74,-21l558,393r48,-41l636,304r5,-61l616,185,562,135,486,97,390,75,331,xe" fillcolor="#ccaae8" stroked="f">
                  <v:path arrowok="t" o:connecttype="custom" o:connectlocs="331,0;267,73;175,91;98,123;40,168;5,221;0,283;25,340;78,390;155,428;251,451;337,455;420,446;494,425;558,393;606,352;636,304;641,243;616,185;562,135;486,97;390,75;331,0" o:connectangles="0,0,0,0,0,0,0,0,0,0,0,0,0,0,0,0,0,0,0,0,0,0,0"/>
                </v:shape>
                <v:shape id="Freeform 17" o:spid="_x0000_s1044" style="position:absolute;left:1119;top:1471;width:20;height:772;visibility:visible;mso-wrap-style:square;v-text-anchor:top" coordsize="2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" path="m,l5,771e" filled="f" strokecolor="#a4a4a4" strokeweight=".1005mm">
                  <v:path arrowok="t" o:connecttype="custom" o:connectlocs="0,0;5,771" o:connectangles="0,0"/>
                </v:shape>
                <v:shape id="Freeform 18" o:spid="_x0000_s1045" style="position:absolute;left:4541;top:202;width:639;height:442;visibility:visible;mso-wrap-style:square;v-text-anchor:top" coordsize="6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" path="m286,l205,10,132,33,71,64,26,105,,152r,59l30,265r57,46l167,345r98,19l330,441r58,-79l478,343r75,-34l607,266r31,-53l638,154,608,100,551,54,471,20,373,1,286,xe" fillcolor="#f72479" stroked="f">
                  <v:path arrowok="t" o:connecttype="custom" o:connectlocs="286,0;205,10;132,33;71,64;26,105;0,152;0,211;30,265;87,311;167,345;265,364;330,441;388,362;478,343;553,309;607,266;638,213;638,154;608,100;551,54;471,20;373,1;286,0" o:connectangles="0,0,0,0,0,0,0,0,0,0,0,0,0,0,0,0,0,0,0,0,0,0,0"/>
                </v:shape>
                <v:shape id="Freeform 19" o:spid="_x0000_s1046" style="position:absolute;left:4866;top:701;width:20;height:611;visibility:visible;mso-wrap-style:square;v-text-anchor:top" coordsize="2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" path="m,l9,610e" filled="f" strokecolor="#a4a4a4" strokeweight=".1005mm">
                  <v:path arrowok="t" o:connecttype="custom" o:connectlocs="0,0;9,610" o:connectangles="0,0"/>
                </v:shape>
                <v:shape id="Freeform 20" o:spid="_x0000_s1047" style="position:absolute;left:377;top:448;width:20;height:864;visibility:visible;mso-wrap-style:square;v-text-anchor:top" coordsize="2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" path="m12,l,863e" filled="f" strokecolor="#a4a4a4" strokeweight=".1005mm">
                  <v:path arrowok="t" o:connecttype="custom" o:connectlocs="12,0;0,863" o:connectangles="0,0"/>
                </v:shape>
                <v:shape id="Freeform 21" o:spid="_x0000_s1048" style="position:absolute;left:7093;top:1445;width:20;height:658;visibility:visible;mso-wrap-style:square;v-text-anchor:top" coordsize="2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" path="m,l14,657e" filled="f" strokecolor="#a4a4a4" strokeweight=".1005mm">
                  <v:path arrowok="t" o:connecttype="custom" o:connectlocs="0,0;14,657" o:connectangles="0,0"/>
                </v:shape>
                <v:shape id="Freeform 22" o:spid="_x0000_s1049" style="position:absolute;left:48;top:14;width:639;height:409;visibility:visible;mso-wrap-style:square;v-text-anchor:top" coordsize="63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" path="m286,l205,10,132,30,71,60,26,97,,140r,55l30,245r57,43l167,319r98,18l330,408r58,-73l478,317r75,-31l607,246r31,-49l638,143,608,93,551,50,471,19,373,1,286,xe" fillcolor="#4471c4" stroked="f">
                  <v:path arrowok="t" o:connecttype="custom" o:connectlocs="286,0;205,10;132,30;71,60;26,97;0,140;0,195;30,245;87,288;167,319;265,337;330,408;388,335;478,317;553,286;607,246;638,197;638,143;608,93;551,50;471,19;373,1;286,0" o:connectangles="0,0,0,0,0,0,0,0,0,0,0,0,0,0,0,0,0,0,0,0,0,0,0"/>
                </v:shape>
                <v:shape id="Freeform 23" o:spid="_x0000_s1050" style="position:absolute;left:6784;top:2134;width:646;height:505;visibility:visible;mso-wrap-style:square;v-text-anchor:top" coordsize="6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" path="m333,l268,81r-91,20l99,137,41,186,7,245,,302r15,55l50,406r53,42l172,479r81,20l339,504r83,-10l496,470r64,-34l608,390r30,-53l645,280,630,225,595,176,542,134,473,103,392,83,333,xe" fillcolor="#e69536" stroked="f">
                  <v:path arrowok="t" o:connecttype="custom" o:connectlocs="333,0;268,81;177,101;99,137;41,186;7,245;0,302;15,357;50,406;103,448;172,479;253,499;339,504;422,494;496,470;560,436;608,390;638,337;645,280;630,225;595,176;542,134;473,103;392,83;333,0" o:connectangles="0,0,0,0,0,0,0,0,0,0,0,0,0,0,0,0,0,0,0,0,0,0,0,0,0"/>
                </v:shape>
                <v:shape id="Freeform 24" o:spid="_x0000_s1051" style="position:absolute;left:1874;top:580;width:20;height:733;visibility:visible;mso-wrap-style:square;v-text-anchor:top" coordsize="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" path="m4,l,732e" filled="f" strokecolor="#a4a4a4" strokeweight=".1005mm">
                  <v:path arrowok="t" o:connecttype="custom" o:connectlocs="4,0;0,732" o:connectangles="0,0"/>
                </v:shape>
                <v:shape id="Freeform 25" o:spid="_x0000_s1052" style="position:absolute;left:1509;top:126;width:644;height:415;visibility:visible;mso-wrap-style:square;v-text-anchor:top" coordsize="64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" path="m345,l259,2,180,17,111,42,56,75,17,115,,161r8,56l47,267r65,41l197,336r100,13l373,414r46,-72l506,318r69,-35l622,239r21,-51l634,132,595,82,531,41,446,13,345,xe" fillcolor="#92d050" stroked="f">
                  <v:path arrowok="t" o:connecttype="custom" o:connectlocs="345,0;259,2;180,17;111,42;56,75;17,115;0,161;8,217;47,267;112,308;197,336;297,349;373,414;419,342;506,318;575,283;622,239;643,188;634,132;595,82;531,41;446,13;345,0" o:connectangles="0,0,0,0,0,0,0,0,0,0,0,0,0,0,0,0,0,0,0,0,0,0,0"/>
                </v:shape>
                <v:shape id="Freeform 26" o:spid="_x0000_s1053" style="position:absolute;left:2587;top:1412;width:20;height:704;visibility:visible;mso-wrap-style:square;v-text-anchor:top" coordsize="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" path="m,l10,703e" filled="f" strokecolor="#a4a4a4" strokeweight=".1005mm">
                  <v:path arrowok="t" o:connecttype="custom" o:connectlocs="0,0;10,703" o:connectangles="0,0"/>
                </v:shape>
                <v:shape id="Freeform 27" o:spid="_x0000_s1054" style="position:absolute;left:2288;top:2115;width:638;height:391;visibility:visible;mso-wrap-style:square;v-text-anchor:top" coordsize="63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" path="m307,l248,52,159,70,84,101,30,142,,191r,55l30,296r57,43l167,371r98,17l351,390r82,-10l505,359r61,-30l611,292r25,-44l637,193,606,142,549,100,469,68,371,50,307,xe" fillcolor="#be9000" stroked="f">
                  <v:path arrowok="t" o:connecttype="custom" o:connectlocs="307,0;248,52;159,70;84,101;30,142;0,191;0,246;30,296;87,339;167,371;265,388;351,390;433,380;505,359;566,329;611,292;636,248;637,193;606,142;549,100;469,68;371,50;307,0" o:connectangles="0,0,0,0,0,0,0,0,0,0,0,0,0,0,0,0,0,0,0,0,0,0,0"/>
                </v:shape>
                <v:shape id="Freeform 28" o:spid="_x0000_s1055" style="position:absolute;left:2288;top:2115;width:638;height:391;visibility:visible;mso-wrap-style:square;v-text-anchor:top" coordsize="63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" path="m307,r64,50l469,68r80,32l606,142r31,51l636,248r-25,44l566,329r-61,30l433,380r-82,10l265,388,167,371,87,339,30,296,,246,,191,30,142,84,101,159,70,248,52,307,xe" filled="f" strokecolor="white" strokeweight=".20106mm">
                  <v:path arrowok="t" o:connecttype="custom" o:connectlocs="307,0;371,50;469,68;549,100;606,142;637,193;636,248;611,292;566,329;505,359;433,380;351,390;265,388;167,371;87,339;30,296;0,246;0,191;30,142;84,101;159,70;248,52;307,0" o:connectangles="0,0,0,0,0,0,0,0,0,0,0,0,0,0,0,0,0,0,0,0,0,0,0"/>
                </v:shape>
                <v:shape id="Freeform 29" o:spid="_x0000_s1056" style="position:absolute;left:3355;top:439;width:20;height:864;visibility:visible;mso-wrap-style:square;v-text-anchor:top" coordsize="2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" path="m,l17,863e" filled="f" strokecolor="#a4a4a4" strokeweight=".1005mm">
                  <v:path arrowok="t" o:connecttype="custom" o:connectlocs="0,0;17,863" o:connectangles="0,0"/>
                </v:shape>
                <v:shape id="Freeform 30" o:spid="_x0000_s1057" style="position:absolute;left:3010;width:638;height:409;visibility:visible;mso-wrap-style:square;v-text-anchor:top" coordsize="63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" path="m286,l205,10,132,30,71,60,26,97,,141r,54l30,245r57,43l167,319r97,18l329,408r59,-73l478,317r74,-30l606,246r31,-48l637,143,607,93,550,50,470,19,372,1,286,xe" fillcolor="#c55a11" stroked="f">
                  <v:path arrowok="t" o:connecttype="custom" o:connectlocs="286,0;205,10;132,30;71,60;26,97;0,141;0,195;30,245;87,288;167,319;264,337;329,408;388,335;478,317;552,287;606,246;637,198;637,143;607,93;550,50;470,19;372,1;286,0" o:connectangles="0,0,0,0,0,0,0,0,0,0,0,0,0,0,0,0,0,0,0,0,0,0,0"/>
                </v:shape>
                <v:shape id="Freeform 31" o:spid="_x0000_s1058" style="position:absolute;left:4096;top:1444;width:20;height:806;visibility:visible;mso-wrap-style:square;v-text-anchor:top" coordsize="2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" path="m,l16,806e" filled="f" strokecolor="#a4a4a4" strokeweight=".1005mm">
                  <v:path arrowok="t" o:connecttype="custom" o:connectlocs="0,0;16,806" o:connectangles="0,0"/>
                </v:shape>
                <v:shape id="Freeform 32" o:spid="_x0000_s1059" style="position:absolute;left:3798;top:2266;width:642;height:477;visibility:visible;mso-wrap-style:square;v-text-anchor:top" coordsize="64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" path="m310,l251,64,161,86,87,124,32,174,2,233,,289r19,53l58,389r56,39l184,458r83,16l354,476r81,-13l508,438r60,-36l613,356r26,-54l641,246,622,194,583,146,527,107,456,78,374,62,310,xe" fillcolor="#6f2f9f" stroked="f">
                  <v:path arrowok="t" o:connecttype="custom" o:connectlocs="310,0;251,64;161,86;87,124;32,174;2,233;0,289;19,342;58,389;114,428;184,458;267,474;354,476;435,463;508,438;568,402;613,356;639,302;641,246;622,194;583,146;527,107;456,78;374,62;310,0" o:connectangles="0,0,0,0,0,0,0,0,0,0,0,0,0,0,0,0,0,0,0,0,0,0,0,0,0"/>
                </v:shape>
                <v:shape id="Freeform 33" o:spid="_x0000_s1060" style="position:absolute;left:7536;top:222;width:639;height:443;visibility:visible;mso-wrap-style:square;v-text-anchor:top" coordsize="63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" path="m286,l205,10,132,33,71,65,26,105,,152r,59l30,266r57,46l167,346r98,19l330,442r58,-79l478,344r75,-34l607,266r31,-52l638,155,608,101,551,55,471,20,373,1,286,xe" fillcolor="#1f3863" stroked="f">
                  <v:path arrowok="t" o:connecttype="custom" o:connectlocs="286,0;205,10;132,33;71,65;26,105;0,152;0,211;30,266;87,312;167,346;265,365;330,442;388,363;478,344;553,310;607,266;638,214;638,155;608,101;551,55;471,20;373,1;286,0" o:connectangles="0,0,0,0,0,0,0,0,0,0,0,0,0,0,0,0,0,0,0,0,0,0,0"/>
                </v:shape>
                <v:shape id="Freeform 34" o:spid="_x0000_s1061" style="position:absolute;left:7861;top:686;width:20;height:613;visibility:visible;mso-wrap-style:square;v-text-anchor:top" coordsize="2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" path="m,l9,612e" filled="f" strokecolor="#a4a4a4" strokeweight=".1005mm">
                  <v:path arrowok="t" o:connecttype="custom" o:connectlocs="0,0;9,612" o:connectangles="0,0"/>
                </v:shape>
                <v:shape id="Freeform 35" o:spid="_x0000_s1062" style="position:absolute;left:5596;top:1453;width:20;height:676;visibility:visible;mso-wrap-style:square;v-text-anchor:top" coordsize="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" path="m,l14,675e" filled="f" strokecolor="#a4a4a4" strokeweight=".1005mm">
                  <v:path arrowok="t" o:connecttype="custom" o:connectlocs="0,0;14,675" o:connectangles="0,0"/>
                </v:shape>
                <v:shape id="Freeform 36" o:spid="_x0000_s1063" style="position:absolute;left:5286;top:2040;width:646;height:502;visibility:visible;mso-wrap-style:square;v-text-anchor:top" coordsize="6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" path="m333,l268,81r-91,19l99,136,41,185,7,244,,301r15,54l50,404r53,41l172,477r81,20l339,501r83,-10l496,468r64,-35l608,389r30,-54l645,278,630,224,595,175,542,134,473,102,392,83,333,xe" fillcolor="#538235" stroked="f">
                  <v:path arrowok="t" o:connecttype="custom" o:connectlocs="333,0;268,81;177,100;99,136;41,185;7,244;0,301;15,355;50,404;103,445;172,477;253,497;339,501;422,491;496,468;560,433;608,389;638,335;645,278;630,224;595,175;542,134;473,102;392,83;333,0" o:connectangles="0,0,0,0,0,0,0,0,0,0,0,0,0,0,0,0,0,0,0,0,0,0,0,0,0"/>
                </v:shape>
                <v:shape id="Freeform 37" o:spid="_x0000_s1064" style="position:absolute;left:5286;top:2040;width:646;height:502;visibility:visible;mso-wrap-style:square;v-text-anchor:top" coordsize="6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" path="m333,r59,83l473,102r69,32l595,175r35,49l645,278r-7,57l608,389r-48,44l496,468r-74,23l339,501r-86,-4l172,477,103,445,50,404,15,355,,301,7,244,41,185,99,136r78,-36l268,81,333,xe" filled="f" strokecolor="white" strokeweight=".20106mm">
                  <v:path arrowok="t" o:connecttype="custom" o:connectlocs="333,0;392,83;473,102;542,134;595,175;630,224;645,278;638,335;608,389;560,433;496,468;422,491;339,501;253,497;172,477;103,445;50,404;15,355;0,301;7,244;41,185;99,136;177,100;268,81;333,0" o:connectangles="0,0,0,0,0,0,0,0,0,0,0,0,0,0,0,0,0,0,0,0,0,0,0,0,0"/>
                </v:shape>
                <v:shape id="Freeform 38" o:spid="_x0000_s1065" style="position:absolute;left:6038;top:389;width:639;height:442;visibility:visible;mso-wrap-style:square;v-text-anchor:top" coordsize="6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" path="m286,l205,10,132,33,71,64,26,105,,152r,59l30,265r57,46l167,345r98,19l330,441r58,-79l478,343r75,-34l607,266r31,-53l638,154,608,100,551,54,471,20,373,1,286,xe" fillcolor="#00afef" stroked="f">
                  <v:path arrowok="t" o:connecttype="custom" o:connectlocs="286,0;205,10;132,33;71,64;26,105;0,152;0,211;30,265;87,311;167,345;265,364;330,441;388,362;478,343;553,309;607,266;638,213;638,154;608,100;551,54;471,20;373,1;286,0" o:connectangles="0,0,0,0,0,0,0,0,0,0,0,0,0,0,0,0,0,0,0,0,0,0,0"/>
                </v:shape>
                <v:shape id="Freeform 39" o:spid="_x0000_s1066" style="position:absolute;left:6373;top:872;width:20;height:393;visibility:visible;mso-wrap-style:square;v-text-anchor:top" coordsize="2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" path="m7,l,392e" filled="f" strokecolor="#a4a4a4" strokeweight=".1005mm">
                  <v:path arrowok="t" o:connecttype="custom" o:connectlocs="7,0;0,392" o:connectangles="0,0"/>
                </v:shape>
                <v:shape id="Freeform 40" o:spid="_x0000_s1067" style="position:absolute;left:8561;top:1458;width:20;height:551;visibility:visible;mso-wrap-style:square;v-text-anchor:top" coordsize="2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" path="m,l8,550e" filled="f" strokecolor="#a4a4a4" strokeweight=".1005mm">
                  <v:path arrowok="t" o:connecttype="custom" o:connectlocs="0,0;8,550" o:connectangles="0,0"/>
                </v:shape>
                <v:shape id="Freeform 41" o:spid="_x0000_s1068" style="position:absolute;left:8258;top:1989;width:638;height:389;visibility:visible;mso-wrap-style:square;v-text-anchor:top" coordsize="6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" path="m308,l249,52,159,70,84,101,30,142,,190r,55l30,295r57,43l167,369r98,18l351,388r82,-10l506,358r60,-30l611,291r25,-44l637,192,607,142,549,99,469,68,372,50,308,xe" fillcolor="#00af50" stroked="f">
                  <v:path arrowok="t" o:connecttype="custom" o:connectlocs="308,0;249,52;159,70;84,101;30,142;0,190;0,245;30,295;87,338;167,369;265,387;351,388;433,378;506,358;566,328;611,291;636,247;637,192;607,142;549,99;469,68;372,50;308,0" o:connectangles="0,0,0,0,0,0,0,0,0,0,0,0,0,0,0,0,0,0,0,0,0,0,0"/>
                </v:shape>
                <v:shape id="Freeform 42" o:spid="_x0000_s1069" style="position:absolute;left:8258;top:1989;width:638;height:389;visibility:visible;mso-wrap-style:square;v-text-anchor:top" coordsize="6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" path="m308,r64,50l469,68r80,31l607,142r30,50l636,247r-25,44l566,328r-60,30l433,378r-82,10l265,387,167,369,87,338,30,295,,245,,190,30,142,84,101,159,70,249,52,308,xe" filled="f" strokecolor="white" strokeweight=".20106mm">
                  <v:path arrowok="t" o:connecttype="custom" o:connectlocs="308,0;372,50;469,68;549,99;607,142;637,192;636,247;611,291;566,328;506,358;433,378;351,388;265,387;167,369;87,338;30,295;0,245;0,190;30,142;84,101;159,70;249,52;308,0" o:connectangles="0,0,0,0,0,0,0,0,0,0,0,0,0,0,0,0,0,0,0,0,0,0,0"/>
                </v:shape>
                <v:shape id="Text Box 43" o:spid="_x0000_s1070" type="#_x0000_t202" style="position:absolute;left:253;top:110;width:25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6FF12E9" w14:textId="77777777" w:rsidR="003646EB" w:rsidRDefault="003646EB" w:rsidP="00912FBA">
                        <w:pPr>
                          <w:pStyle w:val="Title"/>
                          <w:kinsoku w:val="0"/>
                          <w:overflowPunct w:val="0"/>
                          <w:spacing w:line="125" w:lineRule="exact"/>
                          <w:rPr>
                            <w:b/>
                            <w:bCs/>
                            <w:color w:val="FFFFFF"/>
                            <w:w w:val="105"/>
                            <w:sz w:val="11"/>
                            <w:szCs w:val="11"/>
                          </w:rPr>
                        </w:pPr>
                        <w:r>
                          <w:rPr>
                            <w:b/>
                            <w:bCs/>
                            <w:color w:val="FFFFFF"/>
                            <w:w w:val="105"/>
                            <w:sz w:val="11"/>
                            <w:szCs w:val="11"/>
                          </w:rPr>
                          <w:t>2008</w:t>
                        </w:r>
                      </w:p>
                    </w:txbxContent>
                  </v:textbox>
                </v:shape>
                <v:shape id="Text Box 44" o:spid="_x0000_s1071" type="#_x0000_t202" style="position:absolute;left:1717;top:96;width:327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E96C2ED" w14:textId="77777777" w:rsidR="003646EB" w:rsidRDefault="003646EB" w:rsidP="00912FBA">
                        <w:pPr>
                          <w:pStyle w:val="Title"/>
                          <w:kinsoku w:val="0"/>
                          <w:overflowPunct w:val="0"/>
                          <w:spacing w:line="125" w:lineRule="exact"/>
                          <w:ind w:right="51"/>
                          <w:jc w:val="center"/>
                          <w:rPr>
                            <w:b/>
                            <w:bCs/>
                            <w:color w:val="FFFFFF"/>
                            <w:w w:val="105"/>
                            <w:sz w:val="11"/>
                            <w:szCs w:val="11"/>
                          </w:rPr>
                        </w:pPr>
                        <w:r>
                          <w:rPr>
                            <w:b/>
                            <w:bCs/>
                            <w:color w:val="FFFFFF"/>
                            <w:w w:val="105"/>
                            <w:sz w:val="11"/>
                            <w:szCs w:val="11"/>
                          </w:rPr>
                          <w:t>2014</w:t>
                        </w:r>
                      </w:p>
                      <w:p w14:paraId="28C0DD7C" w14:textId="77777777" w:rsidR="003646EB" w:rsidRDefault="003646EB" w:rsidP="00912FBA">
                        <w:pPr>
                          <w:pStyle w:val="Title"/>
                          <w:kinsoku w:val="0"/>
                          <w:overflowPunct w:val="0"/>
                          <w:spacing w:before="2" w:line="237" w:lineRule="auto"/>
                          <w:ind w:right="18"/>
                          <w:jc w:val="center"/>
                          <w:rPr>
                            <w:b/>
                            <w:bCs/>
                            <w:color w:val="FFFFFF"/>
                            <w:w w:val="105"/>
                            <w:position w:val="-8"/>
                            <w:sz w:val="11"/>
                            <w:szCs w:val="11"/>
                          </w:rPr>
                        </w:pPr>
                        <w:r>
                          <w:rPr>
                            <w:b/>
                            <w:bCs/>
                            <w:color w:val="FFFFFF"/>
                            <w:sz w:val="11"/>
                            <w:szCs w:val="11"/>
                          </w:rPr>
                          <w:t xml:space="preserve">2012                                                                                                     </w:t>
                        </w:r>
                        <w:r>
                          <w:rPr>
                            <w:b/>
                            <w:bCs/>
                            <w:color w:val="FFFFFF"/>
                            <w:spacing w:val="1"/>
                            <w:sz w:val="11"/>
                            <w:szCs w:val="11"/>
                          </w:rPr>
                          <w:t xml:space="preserve"> </w:t>
                        </w:r>
                        <w:r>
                          <w:rPr>
                            <w:b/>
                            <w:bCs/>
                            <w:color w:val="FFFFFF"/>
                            <w:w w:val="105"/>
                            <w:position w:val="-8"/>
                            <w:sz w:val="11"/>
                            <w:szCs w:val="11"/>
                          </w:rPr>
                          <w:t>2018</w:t>
                        </w:r>
                      </w:p>
                    </w:txbxContent>
                  </v:textbox>
                </v:shape>
                <v:shape id="Text Box 45" o:spid="_x0000_s1072" type="#_x0000_t202" style="position:absolute;left:7741;top:322;width:25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6117C417" w14:textId="77777777" w:rsidR="003646EB" w:rsidRDefault="003646EB" w:rsidP="00912FBA">
                        <w:pPr>
                          <w:pStyle w:val="Title"/>
                          <w:kinsoku w:val="0"/>
                          <w:overflowPunct w:val="0"/>
                          <w:spacing w:line="125" w:lineRule="exact"/>
                          <w:rPr>
                            <w:b/>
                            <w:bCs/>
                            <w:color w:val="FFFFFF"/>
                            <w:w w:val="105"/>
                            <w:sz w:val="11"/>
                            <w:szCs w:val="11"/>
                          </w:rPr>
                        </w:pPr>
                        <w:r>
                          <w:rPr>
                            <w:b/>
                            <w:bCs/>
                            <w:color w:val="FFFFFF"/>
                            <w:w w:val="105"/>
                            <w:sz w:val="11"/>
                            <w:szCs w:val="11"/>
                          </w:rPr>
                          <w:t>2022</w:t>
                        </w:r>
                      </w:p>
                    </w:txbxContent>
                  </v:textbox>
                </v:shape>
                <v:shape id="Text Box 46" o:spid="_x0000_s1073" type="#_x0000_t202" style="position:absolute;left:6243;top:489;width:25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070BB24" w14:textId="77777777" w:rsidR="003646EB" w:rsidRDefault="003646EB" w:rsidP="00912FBA">
                        <w:pPr>
                          <w:pStyle w:val="Title"/>
                          <w:kinsoku w:val="0"/>
                          <w:overflowPunct w:val="0"/>
                          <w:spacing w:line="125" w:lineRule="exact"/>
                          <w:rPr>
                            <w:b/>
                            <w:bCs/>
                            <w:color w:val="FFFFFF"/>
                            <w:w w:val="105"/>
                            <w:sz w:val="11"/>
                            <w:szCs w:val="11"/>
                          </w:rPr>
                        </w:pPr>
                        <w:r>
                          <w:rPr>
                            <w:b/>
                            <w:bCs/>
                            <w:color w:val="FFFFFF"/>
                            <w:w w:val="105"/>
                            <w:sz w:val="11"/>
                            <w:szCs w:val="11"/>
                          </w:rPr>
                          <w:t>2021</w:t>
                        </w:r>
                      </w:p>
                    </w:txbxContent>
                  </v:textbox>
                </v:shape>
                <v:shape id="Text Box 47" o:spid="_x0000_s1074" type="#_x0000_t202" style="position:absolute;left:816;top:1105;width:647;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230ED05" w14:textId="77777777" w:rsidR="003646EB" w:rsidRDefault="003646EB" w:rsidP="00912FBA">
                        <w:pPr>
                          <w:pStyle w:val="Title"/>
                          <w:kinsoku w:val="0"/>
                          <w:overflowPunct w:val="0"/>
                          <w:spacing w:line="295" w:lineRule="auto"/>
                          <w:ind w:firstLine="38"/>
                          <w:rPr>
                            <w:b/>
                            <w:bCs/>
                            <w:color w:val="CFA1F8"/>
                            <w:spacing w:val="-2"/>
                            <w:w w:val="110"/>
                            <w:sz w:val="8"/>
                            <w:szCs w:val="8"/>
                          </w:rPr>
                        </w:pPr>
                        <w:r>
                          <w:rPr>
                            <w:b/>
                            <w:bCs/>
                            <w:color w:val="CFA1F8"/>
                            <w:w w:val="105"/>
                            <w:sz w:val="8"/>
                            <w:szCs w:val="8"/>
                          </w:rPr>
                          <w:t>National Social</w:t>
                        </w:r>
                        <w:r>
                          <w:rPr>
                            <w:b/>
                            <w:bCs/>
                            <w:color w:val="CFA1F8"/>
                            <w:spacing w:val="1"/>
                            <w:w w:val="105"/>
                            <w:sz w:val="8"/>
                            <w:szCs w:val="8"/>
                          </w:rPr>
                          <w:t xml:space="preserve"> </w:t>
                        </w:r>
                        <w:r>
                          <w:rPr>
                            <w:b/>
                            <w:bCs/>
                            <w:color w:val="CFA1F8"/>
                            <w:spacing w:val="-2"/>
                            <w:w w:val="110"/>
                            <w:sz w:val="8"/>
                            <w:szCs w:val="8"/>
                          </w:rPr>
                          <w:t>Protection</w:t>
                        </w:r>
                        <w:r>
                          <w:rPr>
                            <w:b/>
                            <w:bCs/>
                            <w:color w:val="CFA1F8"/>
                            <w:spacing w:val="-3"/>
                            <w:w w:val="110"/>
                            <w:sz w:val="8"/>
                            <w:szCs w:val="8"/>
                          </w:rPr>
                          <w:t xml:space="preserve"> </w:t>
                        </w:r>
                        <w:r>
                          <w:rPr>
                            <w:b/>
                            <w:bCs/>
                            <w:color w:val="CFA1F8"/>
                            <w:spacing w:val="-2"/>
                            <w:w w:val="110"/>
                            <w:sz w:val="8"/>
                            <w:szCs w:val="8"/>
                          </w:rPr>
                          <w:t>Policy</w:t>
                        </w:r>
                      </w:p>
                    </w:txbxContent>
                  </v:textbox>
                </v:shape>
                <v:shape id="Text Box 48" o:spid="_x0000_s1075" type="#_x0000_t202" style="position:absolute;left:2506;top:1213;width:26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DDF2C53" w14:textId="77777777" w:rsidR="003646EB" w:rsidRDefault="003646EB" w:rsidP="00912FBA">
                        <w:pPr>
                          <w:pStyle w:val="Title"/>
                          <w:kinsoku w:val="0"/>
                          <w:overflowPunct w:val="0"/>
                          <w:spacing w:before="2"/>
                          <w:rPr>
                            <w:b/>
                            <w:bCs/>
                            <w:color w:val="BE8F00"/>
                            <w:w w:val="110"/>
                            <w:sz w:val="8"/>
                            <w:szCs w:val="8"/>
                          </w:rPr>
                        </w:pPr>
                        <w:r>
                          <w:rPr>
                            <w:b/>
                            <w:bCs/>
                            <w:color w:val="BE8F00"/>
                            <w:w w:val="110"/>
                            <w:sz w:val="8"/>
                            <w:szCs w:val="8"/>
                          </w:rPr>
                          <w:t>MTP2</w:t>
                        </w:r>
                      </w:p>
                    </w:txbxContent>
                  </v:textbox>
                </v:shape>
                <v:shape id="Text Box 49" o:spid="_x0000_s1076" type="#_x0000_t202" style="position:absolute;left:3871;top:875;width:52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FE83334" w14:textId="77777777" w:rsidR="003646EB" w:rsidRDefault="003646EB" w:rsidP="00912FBA">
                        <w:pPr>
                          <w:pStyle w:val="Title"/>
                          <w:kinsoku w:val="0"/>
                          <w:overflowPunct w:val="0"/>
                          <w:spacing w:line="295" w:lineRule="auto"/>
                          <w:ind w:right="18"/>
                          <w:jc w:val="center"/>
                          <w:rPr>
                            <w:b/>
                            <w:bCs/>
                            <w:color w:val="6F2F9F"/>
                            <w:w w:val="110"/>
                            <w:sz w:val="8"/>
                            <w:szCs w:val="8"/>
                          </w:rPr>
                        </w:pPr>
                        <w:r>
                          <w:rPr>
                            <w:b/>
                            <w:bCs/>
                            <w:color w:val="6F2F9F"/>
                            <w:spacing w:val="-1"/>
                            <w:w w:val="105"/>
                            <w:sz w:val="8"/>
                            <w:szCs w:val="8"/>
                          </w:rPr>
                          <w:t xml:space="preserve">Education </w:t>
                        </w:r>
                        <w:r>
                          <w:rPr>
                            <w:b/>
                            <w:bCs/>
                            <w:color w:val="6F2F9F"/>
                            <w:w w:val="105"/>
                            <w:sz w:val="8"/>
                            <w:szCs w:val="8"/>
                          </w:rPr>
                          <w:t>for</w:t>
                        </w:r>
                        <w:r>
                          <w:rPr>
                            <w:b/>
                            <w:bCs/>
                            <w:color w:val="6F2F9F"/>
                            <w:spacing w:val="-18"/>
                            <w:w w:val="105"/>
                            <w:sz w:val="8"/>
                            <w:szCs w:val="8"/>
                          </w:rPr>
                          <w:t xml:space="preserve"> </w:t>
                        </w:r>
                        <w:r>
                          <w:rPr>
                            <w:b/>
                            <w:bCs/>
                            <w:color w:val="6F2F9F"/>
                            <w:w w:val="110"/>
                            <w:sz w:val="8"/>
                            <w:szCs w:val="8"/>
                          </w:rPr>
                          <w:t>Sustainable</w:t>
                        </w:r>
                        <w:r>
                          <w:rPr>
                            <w:b/>
                            <w:bCs/>
                            <w:color w:val="6F2F9F"/>
                            <w:spacing w:val="1"/>
                            <w:w w:val="110"/>
                            <w:sz w:val="8"/>
                            <w:szCs w:val="8"/>
                          </w:rPr>
                          <w:t xml:space="preserve"> </w:t>
                        </w:r>
                        <w:r>
                          <w:rPr>
                            <w:b/>
                            <w:bCs/>
                            <w:color w:val="6F2F9F"/>
                            <w:w w:val="110"/>
                            <w:sz w:val="8"/>
                            <w:szCs w:val="8"/>
                          </w:rPr>
                          <w:t>Development</w:t>
                        </w:r>
                        <w:r>
                          <w:rPr>
                            <w:b/>
                            <w:bCs/>
                            <w:color w:val="6F2F9F"/>
                            <w:spacing w:val="-19"/>
                            <w:w w:val="110"/>
                            <w:sz w:val="8"/>
                            <w:szCs w:val="8"/>
                          </w:rPr>
                          <w:t xml:space="preserve"> </w:t>
                        </w:r>
                        <w:r>
                          <w:rPr>
                            <w:b/>
                            <w:bCs/>
                            <w:color w:val="6F2F9F"/>
                            <w:w w:val="110"/>
                            <w:sz w:val="8"/>
                            <w:szCs w:val="8"/>
                          </w:rPr>
                          <w:t>Policy</w:t>
                        </w:r>
                      </w:p>
                    </w:txbxContent>
                  </v:textbox>
                </v:shape>
                <v:shape id="Text Box 50" o:spid="_x0000_s1077" type="#_x0000_t202" style="position:absolute;left:5311;top:988;width:64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B226928" w14:textId="77777777" w:rsidR="003646EB" w:rsidRDefault="003646EB" w:rsidP="00912FBA">
                        <w:pPr>
                          <w:pStyle w:val="Title"/>
                          <w:kinsoku w:val="0"/>
                          <w:overflowPunct w:val="0"/>
                          <w:spacing w:line="295" w:lineRule="auto"/>
                          <w:ind w:right="18"/>
                          <w:jc w:val="center"/>
                          <w:rPr>
                            <w:b/>
                            <w:bCs/>
                            <w:color w:val="538235"/>
                            <w:w w:val="110"/>
                            <w:sz w:val="8"/>
                            <w:szCs w:val="8"/>
                          </w:rPr>
                        </w:pPr>
                        <w:r>
                          <w:rPr>
                            <w:b/>
                            <w:bCs/>
                            <w:color w:val="538235"/>
                            <w:spacing w:val="-2"/>
                            <w:w w:val="110"/>
                            <w:sz w:val="8"/>
                            <w:szCs w:val="8"/>
                          </w:rPr>
                          <w:t>Revised National</w:t>
                        </w:r>
                        <w:r>
                          <w:rPr>
                            <w:b/>
                            <w:bCs/>
                            <w:color w:val="538235"/>
                            <w:spacing w:val="-19"/>
                            <w:w w:val="110"/>
                            <w:sz w:val="8"/>
                            <w:szCs w:val="8"/>
                          </w:rPr>
                          <w:t xml:space="preserve"> </w:t>
                        </w:r>
                        <w:r>
                          <w:rPr>
                            <w:b/>
                            <w:bCs/>
                            <w:color w:val="538235"/>
                            <w:w w:val="105"/>
                            <w:sz w:val="8"/>
                            <w:szCs w:val="8"/>
                          </w:rPr>
                          <w:t>Social Protection</w:t>
                        </w:r>
                        <w:r>
                          <w:rPr>
                            <w:b/>
                            <w:bCs/>
                            <w:color w:val="538235"/>
                            <w:spacing w:val="-18"/>
                            <w:w w:val="105"/>
                            <w:sz w:val="8"/>
                            <w:szCs w:val="8"/>
                          </w:rPr>
                          <w:t xml:space="preserve"> </w:t>
                        </w:r>
                        <w:r>
                          <w:rPr>
                            <w:b/>
                            <w:bCs/>
                            <w:color w:val="538235"/>
                            <w:w w:val="110"/>
                            <w:sz w:val="8"/>
                            <w:szCs w:val="8"/>
                          </w:rPr>
                          <w:t>Policy</w:t>
                        </w:r>
                      </w:p>
                    </w:txbxContent>
                  </v:textbox>
                </v:shape>
                <v:shape id="Text Box 51" o:spid="_x0000_s1078" type="#_x0000_t202" style="position:absolute;left:6799;top:1101;width:65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87EC356" w14:textId="77777777" w:rsidR="003646EB" w:rsidRDefault="003646EB" w:rsidP="00912FBA">
                        <w:pPr>
                          <w:pStyle w:val="Title"/>
                          <w:kinsoku w:val="0"/>
                          <w:overflowPunct w:val="0"/>
                          <w:spacing w:line="295" w:lineRule="auto"/>
                          <w:ind w:left="98" w:right="11" w:hanging="99"/>
                          <w:rPr>
                            <w:b/>
                            <w:bCs/>
                            <w:color w:val="E69536"/>
                            <w:w w:val="110"/>
                            <w:sz w:val="8"/>
                            <w:szCs w:val="8"/>
                          </w:rPr>
                        </w:pPr>
                        <w:r>
                          <w:rPr>
                            <w:b/>
                            <w:bCs/>
                            <w:color w:val="E69536"/>
                            <w:spacing w:val="-2"/>
                            <w:w w:val="110"/>
                            <w:sz w:val="8"/>
                            <w:szCs w:val="8"/>
                          </w:rPr>
                          <w:t xml:space="preserve">3rd Decent </w:t>
                        </w:r>
                        <w:r>
                          <w:rPr>
                            <w:b/>
                            <w:bCs/>
                            <w:color w:val="E69536"/>
                            <w:spacing w:val="-1"/>
                            <w:w w:val="110"/>
                            <w:sz w:val="8"/>
                            <w:szCs w:val="8"/>
                          </w:rPr>
                          <w:t>Work</w:t>
                        </w:r>
                        <w:r>
                          <w:rPr>
                            <w:b/>
                            <w:bCs/>
                            <w:color w:val="E69536"/>
                            <w:spacing w:val="-19"/>
                            <w:w w:val="110"/>
                            <w:sz w:val="8"/>
                            <w:szCs w:val="8"/>
                          </w:rPr>
                          <w:t xml:space="preserve"> </w:t>
                        </w:r>
                        <w:r>
                          <w:rPr>
                            <w:b/>
                            <w:bCs/>
                            <w:color w:val="E69536"/>
                            <w:w w:val="110"/>
                            <w:sz w:val="8"/>
                            <w:szCs w:val="8"/>
                          </w:rPr>
                          <w:t>Programme</w:t>
                        </w:r>
                      </w:p>
                    </w:txbxContent>
                  </v:textbox>
                </v:shape>
                <v:shape id="Text Box 52" o:spid="_x0000_s1079" type="#_x0000_t202" style="position:absolute;left:8496;top:1213;width:26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7A340A65" w14:textId="77777777" w:rsidR="003646EB" w:rsidRDefault="003646EB" w:rsidP="00912FBA">
                        <w:pPr>
                          <w:pStyle w:val="Title"/>
                          <w:kinsoku w:val="0"/>
                          <w:overflowPunct w:val="0"/>
                          <w:spacing w:before="2"/>
                          <w:rPr>
                            <w:b/>
                            <w:bCs/>
                            <w:color w:val="00AF50"/>
                            <w:w w:val="110"/>
                            <w:sz w:val="8"/>
                            <w:szCs w:val="8"/>
                          </w:rPr>
                        </w:pPr>
                        <w:r>
                          <w:rPr>
                            <w:b/>
                            <w:bCs/>
                            <w:color w:val="00AF50"/>
                            <w:w w:val="110"/>
                            <w:sz w:val="8"/>
                            <w:szCs w:val="8"/>
                          </w:rPr>
                          <w:t>MTP4</w:t>
                        </w:r>
                      </w:p>
                    </w:txbxContent>
                  </v:textbox>
                </v:shape>
                <v:shape id="Text Box 53" o:spid="_x0000_s1080" type="#_x0000_t202" style="position:absolute;left:41;top:1456;width:69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5D6B52E" w14:textId="77777777" w:rsidR="003646EB" w:rsidRDefault="003646EB" w:rsidP="00912FBA">
                        <w:pPr>
                          <w:pStyle w:val="Title"/>
                          <w:kinsoku w:val="0"/>
                          <w:overflowPunct w:val="0"/>
                          <w:spacing w:before="2" w:line="295" w:lineRule="auto"/>
                          <w:ind w:right="18"/>
                          <w:jc w:val="center"/>
                          <w:rPr>
                            <w:b/>
                            <w:bCs/>
                            <w:color w:val="F1F1F1"/>
                            <w:w w:val="105"/>
                            <w:sz w:val="8"/>
                            <w:szCs w:val="8"/>
                          </w:rPr>
                        </w:pPr>
                        <w:r>
                          <w:rPr>
                            <w:b/>
                            <w:bCs/>
                            <w:color w:val="006FC0"/>
                            <w:w w:val="105"/>
                            <w:sz w:val="8"/>
                            <w:szCs w:val="8"/>
                          </w:rPr>
                          <w:t>Kenya Vision 2030</w:t>
                        </w:r>
                        <w:r>
                          <w:rPr>
                            <w:b/>
                            <w:bCs/>
                            <w:color w:val="006FC0"/>
                            <w:spacing w:val="-18"/>
                            <w:w w:val="105"/>
                            <w:sz w:val="8"/>
                            <w:szCs w:val="8"/>
                          </w:rPr>
                          <w:t xml:space="preserve"> </w:t>
                        </w:r>
                        <w:r>
                          <w:rPr>
                            <w:b/>
                            <w:bCs/>
                            <w:color w:val="F1F1F1"/>
                            <w:w w:val="105"/>
                            <w:sz w:val="8"/>
                            <w:szCs w:val="8"/>
                          </w:rPr>
                          <w:t>x</w:t>
                        </w:r>
                      </w:p>
                      <w:p w14:paraId="48F19641" w14:textId="77777777" w:rsidR="003646EB" w:rsidRDefault="003646EB" w:rsidP="00912FBA">
                        <w:pPr>
                          <w:pStyle w:val="Title"/>
                          <w:kinsoku w:val="0"/>
                          <w:overflowPunct w:val="0"/>
                          <w:spacing w:line="91" w:lineRule="exact"/>
                          <w:ind w:right="15"/>
                          <w:jc w:val="center"/>
                          <w:rPr>
                            <w:b/>
                            <w:bCs/>
                            <w:color w:val="006FC0"/>
                            <w:w w:val="110"/>
                            <w:sz w:val="8"/>
                            <w:szCs w:val="8"/>
                          </w:rPr>
                        </w:pPr>
                        <w:r>
                          <w:rPr>
                            <w:b/>
                            <w:bCs/>
                            <w:color w:val="006FC0"/>
                            <w:w w:val="110"/>
                            <w:sz w:val="8"/>
                            <w:szCs w:val="8"/>
                          </w:rPr>
                          <w:t>MTP1</w:t>
                        </w:r>
                      </w:p>
                    </w:txbxContent>
                  </v:textbox>
                </v:shape>
                <v:shape id="Text Box 54" o:spid="_x0000_s1081" type="#_x0000_t202" style="position:absolute;left:1538;top:1456;width:70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572CE031" w14:textId="77777777" w:rsidR="003646EB" w:rsidRDefault="003646EB" w:rsidP="00912FBA">
                        <w:pPr>
                          <w:pStyle w:val="Title"/>
                          <w:kinsoku w:val="0"/>
                          <w:overflowPunct w:val="0"/>
                          <w:spacing w:line="295" w:lineRule="auto"/>
                          <w:ind w:left="86" w:right="16" w:hanging="87"/>
                          <w:rPr>
                            <w:b/>
                            <w:bCs/>
                            <w:color w:val="92D050"/>
                            <w:w w:val="110"/>
                            <w:sz w:val="8"/>
                            <w:szCs w:val="8"/>
                          </w:rPr>
                        </w:pPr>
                        <w:r>
                          <w:rPr>
                            <w:b/>
                            <w:bCs/>
                            <w:color w:val="92D050"/>
                            <w:w w:val="105"/>
                            <w:sz w:val="8"/>
                            <w:szCs w:val="8"/>
                          </w:rPr>
                          <w:t>Policy Framework</w:t>
                        </w:r>
                        <w:r>
                          <w:rPr>
                            <w:b/>
                            <w:bCs/>
                            <w:color w:val="92D050"/>
                            <w:spacing w:val="-18"/>
                            <w:w w:val="105"/>
                            <w:sz w:val="8"/>
                            <w:szCs w:val="8"/>
                          </w:rPr>
                          <w:t xml:space="preserve"> </w:t>
                        </w:r>
                        <w:r>
                          <w:rPr>
                            <w:b/>
                            <w:bCs/>
                            <w:color w:val="92D050"/>
                            <w:w w:val="110"/>
                            <w:sz w:val="8"/>
                            <w:szCs w:val="8"/>
                          </w:rPr>
                          <w:t>for</w:t>
                        </w:r>
                        <w:r>
                          <w:rPr>
                            <w:b/>
                            <w:bCs/>
                            <w:color w:val="92D050"/>
                            <w:spacing w:val="-4"/>
                            <w:w w:val="110"/>
                            <w:sz w:val="8"/>
                            <w:szCs w:val="8"/>
                          </w:rPr>
                          <w:t xml:space="preserve"> </w:t>
                        </w:r>
                        <w:r>
                          <w:rPr>
                            <w:b/>
                            <w:bCs/>
                            <w:color w:val="92D050"/>
                            <w:w w:val="110"/>
                            <w:sz w:val="8"/>
                            <w:szCs w:val="8"/>
                          </w:rPr>
                          <w:t>Education</w:t>
                        </w:r>
                      </w:p>
                    </w:txbxContent>
                  </v:textbox>
                </v:shape>
                <v:shape id="Text Box 55" o:spid="_x0000_s1082" type="#_x0000_t202" style="position:absolute;left:3122;top:1456;width:52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6EC74C4" w14:textId="77777777" w:rsidR="003646EB" w:rsidRDefault="003646EB" w:rsidP="00912FBA">
                        <w:pPr>
                          <w:pStyle w:val="Title"/>
                          <w:kinsoku w:val="0"/>
                          <w:overflowPunct w:val="0"/>
                          <w:spacing w:line="295" w:lineRule="auto"/>
                          <w:ind w:left="141" w:hanging="142"/>
                          <w:rPr>
                            <w:b/>
                            <w:bCs/>
                            <w:color w:val="C55811"/>
                            <w:w w:val="110"/>
                            <w:sz w:val="8"/>
                            <w:szCs w:val="8"/>
                          </w:rPr>
                        </w:pPr>
                        <w:r>
                          <w:rPr>
                            <w:b/>
                            <w:bCs/>
                            <w:color w:val="C55811"/>
                            <w:spacing w:val="-3"/>
                            <w:w w:val="110"/>
                            <w:sz w:val="8"/>
                            <w:szCs w:val="8"/>
                          </w:rPr>
                          <w:t>Kenya</w:t>
                        </w:r>
                        <w:r>
                          <w:rPr>
                            <w:b/>
                            <w:bCs/>
                            <w:color w:val="C55811"/>
                            <w:spacing w:val="-1"/>
                            <w:w w:val="110"/>
                            <w:sz w:val="8"/>
                            <w:szCs w:val="8"/>
                          </w:rPr>
                          <w:t xml:space="preserve"> </w:t>
                        </w:r>
                        <w:r>
                          <w:rPr>
                            <w:b/>
                            <w:bCs/>
                            <w:color w:val="C55811"/>
                            <w:spacing w:val="-3"/>
                            <w:w w:val="110"/>
                            <w:sz w:val="8"/>
                            <w:szCs w:val="8"/>
                          </w:rPr>
                          <w:t>Health</w:t>
                        </w:r>
                        <w:r>
                          <w:rPr>
                            <w:b/>
                            <w:bCs/>
                            <w:color w:val="C55811"/>
                            <w:spacing w:val="-2"/>
                            <w:w w:val="110"/>
                            <w:sz w:val="8"/>
                            <w:szCs w:val="8"/>
                          </w:rPr>
                          <w:t xml:space="preserve"> </w:t>
                        </w:r>
                        <w:r>
                          <w:rPr>
                            <w:b/>
                            <w:bCs/>
                            <w:color w:val="C55811"/>
                            <w:w w:val="110"/>
                            <w:sz w:val="8"/>
                            <w:szCs w:val="8"/>
                          </w:rPr>
                          <w:t>Policy</w:t>
                        </w:r>
                      </w:p>
                    </w:txbxContent>
                  </v:textbox>
                </v:shape>
                <v:shape id="Text Box 56" o:spid="_x0000_s1083" type="#_x0000_t202" style="position:absolute;left:4558;top:1456;width:64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84661C6" w14:textId="77777777" w:rsidR="003646EB" w:rsidRDefault="003646EB" w:rsidP="00912FBA">
                        <w:pPr>
                          <w:pStyle w:val="Title"/>
                          <w:kinsoku w:val="0"/>
                          <w:overflowPunct w:val="0"/>
                          <w:spacing w:before="2"/>
                          <w:ind w:right="17"/>
                          <w:jc w:val="center"/>
                          <w:rPr>
                            <w:b/>
                            <w:bCs/>
                            <w:color w:val="F72479"/>
                            <w:w w:val="110"/>
                            <w:sz w:val="8"/>
                            <w:szCs w:val="8"/>
                          </w:rPr>
                        </w:pPr>
                        <w:r>
                          <w:rPr>
                            <w:b/>
                            <w:bCs/>
                            <w:color w:val="F72479"/>
                            <w:w w:val="110"/>
                            <w:sz w:val="8"/>
                            <w:szCs w:val="8"/>
                          </w:rPr>
                          <w:t>MTP3</w:t>
                        </w:r>
                      </w:p>
                      <w:p w14:paraId="6F21D580" w14:textId="77777777" w:rsidR="003646EB" w:rsidRDefault="003646EB" w:rsidP="00912FBA">
                        <w:pPr>
                          <w:pStyle w:val="Title"/>
                          <w:kinsoku w:val="0"/>
                          <w:overflowPunct w:val="0"/>
                          <w:spacing w:before="21"/>
                          <w:ind w:right="17"/>
                          <w:jc w:val="center"/>
                          <w:rPr>
                            <w:b/>
                            <w:bCs/>
                            <w:color w:val="F1F1F1"/>
                            <w:w w:val="108"/>
                            <w:sz w:val="8"/>
                            <w:szCs w:val="8"/>
                          </w:rPr>
                        </w:pPr>
                        <w:r>
                          <w:rPr>
                            <w:b/>
                            <w:bCs/>
                            <w:color w:val="F1F1F1"/>
                            <w:w w:val="108"/>
                            <w:sz w:val="8"/>
                            <w:szCs w:val="8"/>
                          </w:rPr>
                          <w:t>x</w:t>
                        </w:r>
                      </w:p>
                      <w:p w14:paraId="000870E9" w14:textId="77777777" w:rsidR="003646EB" w:rsidRDefault="003646EB" w:rsidP="00912FBA">
                        <w:pPr>
                          <w:pStyle w:val="Title"/>
                          <w:kinsoku w:val="0"/>
                          <w:overflowPunct w:val="0"/>
                          <w:spacing w:before="21"/>
                          <w:ind w:right="18"/>
                          <w:jc w:val="center"/>
                          <w:rPr>
                            <w:b/>
                            <w:bCs/>
                            <w:color w:val="F72479"/>
                            <w:spacing w:val="-2"/>
                            <w:w w:val="110"/>
                            <w:sz w:val="8"/>
                            <w:szCs w:val="8"/>
                          </w:rPr>
                        </w:pPr>
                        <w:r>
                          <w:rPr>
                            <w:b/>
                            <w:bCs/>
                            <w:color w:val="F72479"/>
                            <w:spacing w:val="-2"/>
                            <w:w w:val="110"/>
                            <w:sz w:val="8"/>
                            <w:szCs w:val="8"/>
                          </w:rPr>
                          <w:t>Big</w:t>
                        </w:r>
                        <w:r>
                          <w:rPr>
                            <w:b/>
                            <w:bCs/>
                            <w:color w:val="F72479"/>
                            <w:spacing w:val="-4"/>
                            <w:w w:val="110"/>
                            <w:sz w:val="8"/>
                            <w:szCs w:val="8"/>
                          </w:rPr>
                          <w:t xml:space="preserve"> </w:t>
                        </w:r>
                        <w:r>
                          <w:rPr>
                            <w:b/>
                            <w:bCs/>
                            <w:color w:val="F72479"/>
                            <w:spacing w:val="-2"/>
                            <w:w w:val="110"/>
                            <w:sz w:val="8"/>
                            <w:szCs w:val="8"/>
                          </w:rPr>
                          <w:t>Four</w:t>
                        </w:r>
                        <w:r>
                          <w:rPr>
                            <w:b/>
                            <w:bCs/>
                            <w:color w:val="F72479"/>
                            <w:spacing w:val="-3"/>
                            <w:w w:val="110"/>
                            <w:sz w:val="8"/>
                            <w:szCs w:val="8"/>
                          </w:rPr>
                          <w:t xml:space="preserve"> </w:t>
                        </w:r>
                        <w:r>
                          <w:rPr>
                            <w:b/>
                            <w:bCs/>
                            <w:color w:val="F72479"/>
                            <w:spacing w:val="-2"/>
                            <w:w w:val="110"/>
                            <w:sz w:val="8"/>
                            <w:szCs w:val="8"/>
                          </w:rPr>
                          <w:t>Agenda</w:t>
                        </w:r>
                      </w:p>
                    </w:txbxContent>
                  </v:textbox>
                </v:shape>
                <v:shape id="Text Box 57" o:spid="_x0000_s1084" type="#_x0000_t202" style="position:absolute;left:6024;top:1456;width:71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5EE54424" w14:textId="77777777" w:rsidR="003646EB" w:rsidRDefault="003646EB" w:rsidP="00912FBA">
                        <w:pPr>
                          <w:pStyle w:val="Title"/>
                          <w:kinsoku w:val="0"/>
                          <w:overflowPunct w:val="0"/>
                          <w:spacing w:line="295" w:lineRule="auto"/>
                          <w:ind w:right="18" w:firstLine="2"/>
                          <w:jc w:val="center"/>
                          <w:rPr>
                            <w:b/>
                            <w:bCs/>
                            <w:color w:val="00AFEF"/>
                            <w:w w:val="110"/>
                            <w:sz w:val="8"/>
                            <w:szCs w:val="8"/>
                          </w:rPr>
                        </w:pPr>
                        <w:r>
                          <w:rPr>
                            <w:b/>
                            <w:bCs/>
                            <w:color w:val="00AFEF"/>
                            <w:w w:val="110"/>
                            <w:sz w:val="8"/>
                            <w:szCs w:val="8"/>
                          </w:rPr>
                          <w:t>Kenya Health</w:t>
                        </w:r>
                        <w:r>
                          <w:rPr>
                            <w:b/>
                            <w:bCs/>
                            <w:color w:val="00AFEF"/>
                            <w:spacing w:val="1"/>
                            <w:w w:val="110"/>
                            <w:sz w:val="8"/>
                            <w:szCs w:val="8"/>
                          </w:rPr>
                          <w:t xml:space="preserve"> </w:t>
                        </w:r>
                        <w:r>
                          <w:rPr>
                            <w:b/>
                            <w:bCs/>
                            <w:color w:val="00AFEF"/>
                            <w:w w:val="105"/>
                            <w:sz w:val="8"/>
                            <w:szCs w:val="8"/>
                          </w:rPr>
                          <w:t>Financing Strategy</w:t>
                        </w:r>
                        <w:r>
                          <w:rPr>
                            <w:b/>
                            <w:bCs/>
                            <w:color w:val="00AFEF"/>
                            <w:spacing w:val="-18"/>
                            <w:w w:val="105"/>
                            <w:sz w:val="8"/>
                            <w:szCs w:val="8"/>
                          </w:rPr>
                          <w:t xml:space="preserve"> </w:t>
                        </w:r>
                        <w:r>
                          <w:rPr>
                            <w:b/>
                            <w:bCs/>
                            <w:color w:val="00AFEF"/>
                            <w:w w:val="110"/>
                            <w:sz w:val="8"/>
                            <w:szCs w:val="8"/>
                          </w:rPr>
                          <w:t>2020-2030</w:t>
                        </w:r>
                      </w:p>
                    </w:txbxContent>
                  </v:textbox>
                </v:shape>
                <v:shape id="Text Box 58" o:spid="_x0000_s1085" type="#_x0000_t202" style="position:absolute;left:7577;top:1456;width:60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7747075" w14:textId="77777777" w:rsidR="003646EB" w:rsidRDefault="003646EB" w:rsidP="00912FBA">
                        <w:pPr>
                          <w:pStyle w:val="Title"/>
                          <w:kinsoku w:val="0"/>
                          <w:overflowPunct w:val="0"/>
                          <w:spacing w:before="2" w:line="295" w:lineRule="auto"/>
                          <w:ind w:right="18"/>
                          <w:jc w:val="center"/>
                          <w:rPr>
                            <w:b/>
                            <w:bCs/>
                            <w:color w:val="001F5F"/>
                            <w:w w:val="110"/>
                            <w:sz w:val="8"/>
                            <w:szCs w:val="8"/>
                          </w:rPr>
                        </w:pPr>
                        <w:r>
                          <w:rPr>
                            <w:b/>
                            <w:bCs/>
                            <w:color w:val="001F5F"/>
                            <w:w w:val="110"/>
                            <w:sz w:val="8"/>
                            <w:szCs w:val="8"/>
                          </w:rPr>
                          <w:t>Bottom-up</w:t>
                        </w:r>
                        <w:r>
                          <w:rPr>
                            <w:b/>
                            <w:bCs/>
                            <w:color w:val="001F5F"/>
                            <w:spacing w:val="1"/>
                            <w:w w:val="110"/>
                            <w:sz w:val="8"/>
                            <w:szCs w:val="8"/>
                          </w:rPr>
                          <w:t xml:space="preserve"> </w:t>
                        </w:r>
                        <w:r>
                          <w:rPr>
                            <w:b/>
                            <w:bCs/>
                            <w:color w:val="001F5F"/>
                            <w:w w:val="110"/>
                            <w:sz w:val="8"/>
                            <w:szCs w:val="8"/>
                          </w:rPr>
                          <w:t>Economic</w:t>
                        </w:r>
                        <w:r>
                          <w:rPr>
                            <w:b/>
                            <w:bCs/>
                            <w:color w:val="001F5F"/>
                            <w:spacing w:val="1"/>
                            <w:w w:val="110"/>
                            <w:sz w:val="8"/>
                            <w:szCs w:val="8"/>
                          </w:rPr>
                          <w:t xml:space="preserve"> </w:t>
                        </w:r>
                        <w:r>
                          <w:rPr>
                            <w:b/>
                            <w:bCs/>
                            <w:color w:val="001F5F"/>
                            <w:w w:val="105"/>
                            <w:sz w:val="8"/>
                            <w:szCs w:val="8"/>
                          </w:rPr>
                          <w:t>Transformation</w:t>
                        </w:r>
                        <w:r>
                          <w:rPr>
                            <w:b/>
                            <w:bCs/>
                            <w:color w:val="001F5F"/>
                            <w:spacing w:val="-18"/>
                            <w:w w:val="105"/>
                            <w:sz w:val="8"/>
                            <w:szCs w:val="8"/>
                          </w:rPr>
                          <w:t xml:space="preserve"> </w:t>
                        </w:r>
                        <w:r>
                          <w:rPr>
                            <w:b/>
                            <w:bCs/>
                            <w:color w:val="001F5F"/>
                            <w:w w:val="110"/>
                            <w:sz w:val="8"/>
                            <w:szCs w:val="8"/>
                          </w:rPr>
                          <w:t>(BETA)</w:t>
                        </w:r>
                      </w:p>
                      <w:p w14:paraId="390B0C33" w14:textId="77777777" w:rsidR="003646EB" w:rsidRDefault="003646EB" w:rsidP="00912FBA">
                        <w:pPr>
                          <w:pStyle w:val="Title"/>
                          <w:kinsoku w:val="0"/>
                          <w:overflowPunct w:val="0"/>
                          <w:spacing w:line="91" w:lineRule="exact"/>
                          <w:ind w:right="17"/>
                          <w:jc w:val="center"/>
                          <w:rPr>
                            <w:b/>
                            <w:bCs/>
                            <w:color w:val="001F5F"/>
                            <w:w w:val="110"/>
                            <w:sz w:val="8"/>
                            <w:szCs w:val="8"/>
                          </w:rPr>
                        </w:pPr>
                        <w:r>
                          <w:rPr>
                            <w:b/>
                            <w:bCs/>
                            <w:color w:val="001F5F"/>
                            <w:w w:val="110"/>
                            <w:sz w:val="8"/>
                            <w:szCs w:val="8"/>
                          </w:rPr>
                          <w:t>Programme</w:t>
                        </w:r>
                      </w:p>
                    </w:txbxContent>
                  </v:textbox>
                </v:shape>
                <v:shape id="Text Box 59" o:spid="_x0000_s1086" type="#_x0000_t202" style="position:absolute;left:8463;top:2152;width:25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12B00EE"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2023</w:t>
                        </w:r>
                      </w:p>
                    </w:txbxContent>
                  </v:textbox>
                </v:shape>
                <v:shape id="Text Box 60" o:spid="_x0000_s1087" type="#_x0000_t202" style="position:absolute;left:2492;top:2278;width:25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E3D9428"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2013</w:t>
                        </w:r>
                      </w:p>
                    </w:txbxContent>
                  </v:textbox>
                </v:shape>
                <v:shape id="Text Box 61" o:spid="_x0000_s1088" type="#_x0000_t202" style="position:absolute;left:5494;top:2245;width:25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B2E1660"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2019</w:t>
                        </w:r>
                      </w:p>
                    </w:txbxContent>
                  </v:textbox>
                </v:shape>
                <v:shape id="Text Box 62" o:spid="_x0000_s1089" type="#_x0000_t202" style="position:absolute;left:6992;top:2339;width:25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8B83554"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2021</w:t>
                        </w:r>
                      </w:p>
                    </w:txbxContent>
                  </v:textbox>
                </v:shape>
                <v:shape id="Text Box 63" o:spid="_x0000_s1090" type="#_x0000_t202" style="position:absolute;left:1004;top:2469;width:25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BBAED3E"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2011</w:t>
                        </w:r>
                      </w:p>
                    </w:txbxContent>
                  </v:textbox>
                </v:shape>
                <v:shape id="Text Box 64" o:spid="_x0000_s1091" type="#_x0000_t202" style="position:absolute;left:4005;top:2451;width:25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2A2E854" w14:textId="77777777" w:rsidR="003646EB" w:rsidRDefault="003646EB" w:rsidP="00912FBA">
                        <w:pPr>
                          <w:pStyle w:val="Title"/>
                          <w:kinsoku w:val="0"/>
                          <w:overflowPunct w:val="0"/>
                          <w:spacing w:line="114" w:lineRule="exact"/>
                          <w:rPr>
                            <w:rFonts w:ascii="Calibri" w:hAnsi="Calibri" w:cs="Calibri"/>
                            <w:b/>
                            <w:bCs/>
                            <w:color w:val="FFFFFF"/>
                            <w:w w:val="105"/>
                            <w:sz w:val="11"/>
                            <w:szCs w:val="11"/>
                          </w:rPr>
                        </w:pPr>
                        <w:r>
                          <w:rPr>
                            <w:rFonts w:ascii="Calibri" w:hAnsi="Calibri" w:cs="Calibri"/>
                            <w:b/>
                            <w:bCs/>
                            <w:color w:val="FFFFFF"/>
                            <w:w w:val="105"/>
                            <w:sz w:val="11"/>
                            <w:szCs w:val="11"/>
                          </w:rPr>
                          <w:t>2017</w:t>
                        </w:r>
                      </w:p>
                    </w:txbxContent>
                  </v:textbox>
                </v:shape>
                <w10:anchorlock/>
              </v:group>
            </w:pict>
          </mc:Fallback>
        </mc:AlternateContent>
      </w:r>
    </w:p>
    <w:p w14:paraId="2839C5B3" w14:textId="77777777" w:rsidR="00912FBA" w:rsidRPr="009C5581" w:rsidRDefault="00912FBA" w:rsidP="000B0B49">
      <w:pPr>
        <w:spacing w:after="0" w:line="240" w:lineRule="auto"/>
        <w:jc w:val="center"/>
        <w:rPr>
          <w:rFonts w:ascii="Times New Roman" w:hAnsi="Times New Roman" w:cs="Times New Roman"/>
          <w:iCs/>
          <w:color w:val="000000" w:themeColor="text1"/>
          <w:sz w:val="16"/>
          <w:szCs w:val="16"/>
        </w:rPr>
      </w:pPr>
    </w:p>
    <w:p w14:paraId="76016159" w14:textId="502B4D1A" w:rsidR="00BF46C4" w:rsidRPr="009C5581" w:rsidRDefault="00BF46C4" w:rsidP="000B0B49">
      <w:pPr>
        <w:spacing w:after="0" w:line="240" w:lineRule="auto"/>
        <w:jc w:val="center"/>
        <w:rPr>
          <w:rFonts w:ascii="Times New Roman" w:hAnsi="Times New Roman" w:cs="Times New Roman"/>
          <w:iCs/>
          <w:color w:val="000000" w:themeColor="text1"/>
          <w:sz w:val="16"/>
          <w:szCs w:val="16"/>
        </w:rPr>
      </w:pPr>
      <w:r w:rsidRPr="009C5581">
        <w:rPr>
          <w:rFonts w:ascii="Times New Roman" w:hAnsi="Times New Roman" w:cs="Times New Roman"/>
          <w:iCs/>
          <w:color w:val="000000" w:themeColor="text1"/>
          <w:sz w:val="16"/>
          <w:szCs w:val="16"/>
        </w:rPr>
        <w:t>Source: Authors’ own compilation.</w:t>
      </w:r>
    </w:p>
    <w:p w14:paraId="0C37F6A8" w14:textId="77777777" w:rsidR="00E42142" w:rsidRPr="009C5581" w:rsidRDefault="00E42142" w:rsidP="00BF46C4">
      <w:pPr>
        <w:spacing w:after="120" w:line="240" w:lineRule="auto"/>
        <w:jc w:val="center"/>
        <w:rPr>
          <w:rFonts w:ascii="Times New Roman" w:hAnsi="Times New Roman" w:cs="Times New Roman"/>
          <w:iCs/>
          <w:color w:val="000000" w:themeColor="text1"/>
          <w:sz w:val="16"/>
          <w:szCs w:val="16"/>
        </w:rPr>
      </w:pPr>
    </w:p>
    <w:p w14:paraId="71660236" w14:textId="4AF2BC64" w:rsidR="00842963" w:rsidRPr="0049594B" w:rsidRDefault="00842963" w:rsidP="007838C9">
      <w:pPr>
        <w:pStyle w:val="Heading2"/>
        <w:numPr>
          <w:ilvl w:val="1"/>
          <w:numId w:val="1"/>
        </w:numPr>
        <w:spacing w:before="240" w:after="120" w:line="240" w:lineRule="auto"/>
        <w:ind w:left="561" w:hanging="561"/>
        <w:rPr>
          <w:rFonts w:ascii="Georgia" w:hAnsi="Georgia" w:cs="Times New Roman"/>
          <w:color w:val="auto"/>
          <w:sz w:val="24"/>
          <w:szCs w:val="24"/>
          <w:shd w:val="clear" w:color="auto" w:fill="FFFFFF"/>
        </w:rPr>
      </w:pPr>
      <w:bookmarkStart w:id="82" w:name="_Toc98877757"/>
      <w:bookmarkStart w:id="83" w:name="_Toc145928786"/>
      <w:r w:rsidRPr="0049594B">
        <w:rPr>
          <w:rFonts w:ascii="Georgia" w:hAnsi="Georgia" w:cs="Times New Roman"/>
          <w:color w:val="auto"/>
          <w:sz w:val="24"/>
          <w:szCs w:val="24"/>
          <w:shd w:val="clear" w:color="auto" w:fill="FFFFFF"/>
        </w:rPr>
        <w:t>The political and societal discourse</w:t>
      </w:r>
      <w:bookmarkEnd w:id="82"/>
      <w:bookmarkEnd w:id="83"/>
    </w:p>
    <w:p w14:paraId="7B0923CF" w14:textId="77777777" w:rsidR="007E2D73" w:rsidRPr="0049594B" w:rsidRDefault="007E2D73" w:rsidP="007E2D73">
      <w:pPr>
        <w:jc w:val="both"/>
        <w:rPr>
          <w:rFonts w:ascii="Georgia" w:hAnsi="Georgia" w:cs="Times New Roman"/>
          <w:sz w:val="24"/>
          <w:szCs w:val="24"/>
        </w:rPr>
      </w:pPr>
      <w:r w:rsidRPr="0049594B">
        <w:rPr>
          <w:rFonts w:ascii="Georgia" w:hAnsi="Georgia" w:cs="Times New Roman"/>
          <w:sz w:val="24"/>
          <w:szCs w:val="24"/>
        </w:rPr>
        <w:t xml:space="preserve">Like other African countries, Kenya traditionally focused its economic policies on poverty alleviation with a “trickle down” approach, which aims for economic growth that would create wealth and in the end up benefit the poorest (KNBS-SID, 2013). Therefore, inequality was not integrated in the political discourse until recent years in Kenyan history. </w:t>
      </w:r>
    </w:p>
    <w:p w14:paraId="28AFB356" w14:textId="77777777" w:rsidR="007E2D73" w:rsidRPr="0049594B" w:rsidRDefault="007E2D73" w:rsidP="007E2D73">
      <w:pPr>
        <w:jc w:val="both"/>
        <w:rPr>
          <w:rFonts w:ascii="Georgia" w:hAnsi="Georgia" w:cs="Times New Roman"/>
          <w:sz w:val="24"/>
          <w:szCs w:val="24"/>
        </w:rPr>
      </w:pPr>
      <w:r w:rsidRPr="0049594B">
        <w:rPr>
          <w:rFonts w:ascii="Georgia" w:hAnsi="Georgia" w:cs="Times New Roman"/>
          <w:sz w:val="24"/>
          <w:szCs w:val="24"/>
        </w:rPr>
        <w:t>It seems that the 2010 Constitution (voted for in favour by a 67% majority of the electorate in the 2010 constitutional referendum) was a cornerstone in the evolution of the political discourse on inequality, as it integrates reduction of inequality as one of the expected outcomes and it positions inequality as a cross-cutting objective and field of action. This perspective is very different from that of the 1963 Independence Constitution, which was much more oriented towards addressing the government structure, institutional arrangements, and state functions (Wilson Center, 2011). Regional inequality (within and between counties, for instance), as well as socio-economic inequality, started to become more present in political discourses, accompanied with proposals to improve living conditions.</w:t>
      </w:r>
    </w:p>
    <w:p w14:paraId="777FBCE3" w14:textId="5542A720" w:rsidR="007E2D73" w:rsidRPr="0049594B" w:rsidRDefault="007E2D73" w:rsidP="007E2D73">
      <w:pPr>
        <w:jc w:val="both"/>
        <w:rPr>
          <w:rFonts w:ascii="Georgia" w:hAnsi="Georgia" w:cs="Times New Roman"/>
          <w:sz w:val="24"/>
          <w:szCs w:val="24"/>
        </w:rPr>
      </w:pPr>
      <w:r w:rsidRPr="0049594B">
        <w:rPr>
          <w:rFonts w:ascii="Georgia" w:hAnsi="Georgia" w:cs="Times New Roman"/>
          <w:sz w:val="24"/>
          <w:szCs w:val="24"/>
        </w:rPr>
        <w:t xml:space="preserve">This is noticeable in both the Jubilee Manifesto’s of 2013 and 2017, as well as in the Kenya Kwanza Plan 2022-2027. The term employed in the Jubilee Manifesto of 2013 to refer to the proposed transformation is "revolution,” considering that it required a complete set of changes to improve living conditions, by ensuring food and clean water, offering quality education to every child, wealth creation and improving healthcare (The National Alliance, 2013). It is important to remind that for the elections of 2013, an alliance between the four most prominent parties was created, taking the victory at the polls. One of the central points in its agenda was inequality (National Alliance, 2013: 5). The coalition also won the elections of 2017. The 2017 Jubilee manifesto was mostly a continuation of the 2013 manifesto. It put special emphasis on a massive yearly creation of employment, aiming to strengthen human capital for one specific industry for each county, </w:t>
      </w:r>
      <w:r w:rsidR="00D230C9" w:rsidRPr="0049594B">
        <w:rPr>
          <w:rFonts w:ascii="Georgia" w:hAnsi="Georgia" w:cs="Times New Roman"/>
          <w:sz w:val="24"/>
          <w:szCs w:val="24"/>
        </w:rPr>
        <w:t>increasing</w:t>
      </w:r>
      <w:r w:rsidRPr="0049594B">
        <w:rPr>
          <w:rFonts w:ascii="Georgia" w:hAnsi="Georgia" w:cs="Times New Roman"/>
          <w:sz w:val="24"/>
          <w:szCs w:val="24"/>
        </w:rPr>
        <w:t xml:space="preserve"> the number of citizens receiving cash transfer</w:t>
      </w:r>
      <w:r w:rsidR="00215CC3" w:rsidRPr="0049594B">
        <w:rPr>
          <w:rFonts w:ascii="Georgia" w:hAnsi="Georgia" w:cs="Times New Roman"/>
          <w:sz w:val="24"/>
          <w:szCs w:val="24"/>
        </w:rPr>
        <w:t>s</w:t>
      </w:r>
      <w:r w:rsidRPr="0049594B">
        <w:rPr>
          <w:rFonts w:ascii="Georgia" w:hAnsi="Georgia" w:cs="Times New Roman"/>
          <w:sz w:val="24"/>
          <w:szCs w:val="24"/>
        </w:rPr>
        <w:t xml:space="preserve">, facilitating mass affordable housing production, and creating sponsored apprenticeship programmes for graduates of universities and technical education to increase their job and economic opportunities, among other actions also aimed at tackling inequality. </w:t>
      </w:r>
    </w:p>
    <w:p w14:paraId="7A7E37B6" w14:textId="2740E246" w:rsidR="007E2D73" w:rsidRPr="0049594B" w:rsidRDefault="007E2D73" w:rsidP="007E2D73">
      <w:pPr>
        <w:jc w:val="both"/>
        <w:rPr>
          <w:rFonts w:ascii="Georgia" w:hAnsi="Georgia" w:cs="Times New Roman"/>
          <w:sz w:val="24"/>
          <w:szCs w:val="24"/>
        </w:rPr>
      </w:pPr>
      <w:r w:rsidRPr="0049594B">
        <w:rPr>
          <w:rFonts w:ascii="Georgia" w:hAnsi="Georgia" w:cs="Times New Roman"/>
          <w:sz w:val="24"/>
          <w:szCs w:val="24"/>
        </w:rPr>
        <w:t xml:space="preserve">Comparatively, The Kenya Kwanza Plan 2022-2027 also puts emphasis on finding solutions and ways to address inequality, but with a different perspective. It recognizes that the non-formal economy and smallholder agriculture play main roles in efforts to reduce inequality. In other words, current President </w:t>
      </w:r>
      <w:r w:rsidR="00333717" w:rsidRPr="0049594B">
        <w:rPr>
          <w:rFonts w:ascii="Georgia" w:hAnsi="Georgia" w:cs="Times New Roman"/>
          <w:sz w:val="24"/>
          <w:szCs w:val="24"/>
        </w:rPr>
        <w:t>Dr</w:t>
      </w:r>
      <w:r w:rsidR="006D266A" w:rsidRPr="0049594B">
        <w:rPr>
          <w:rFonts w:ascii="Georgia" w:hAnsi="Georgia" w:cs="Times New Roman"/>
          <w:sz w:val="24"/>
          <w:szCs w:val="24"/>
        </w:rPr>
        <w:t>.</w:t>
      </w:r>
      <w:r w:rsidR="00333717" w:rsidRPr="0049594B">
        <w:rPr>
          <w:rFonts w:ascii="Georgia" w:hAnsi="Georgia" w:cs="Times New Roman"/>
          <w:sz w:val="24"/>
          <w:szCs w:val="24"/>
        </w:rPr>
        <w:t xml:space="preserve"> </w:t>
      </w:r>
      <w:r w:rsidRPr="0049594B">
        <w:rPr>
          <w:rFonts w:ascii="Georgia" w:hAnsi="Georgia" w:cs="Times New Roman"/>
          <w:sz w:val="24"/>
          <w:szCs w:val="24"/>
        </w:rPr>
        <w:t>William Ruto propose</w:t>
      </w:r>
      <w:r w:rsidR="00333717" w:rsidRPr="0049594B">
        <w:rPr>
          <w:rFonts w:ascii="Georgia" w:hAnsi="Georgia" w:cs="Times New Roman"/>
          <w:sz w:val="24"/>
          <w:szCs w:val="24"/>
        </w:rPr>
        <w:t xml:space="preserve">d during the 2022 campaign period of </w:t>
      </w:r>
      <w:r w:rsidRPr="0049594B">
        <w:rPr>
          <w:rFonts w:ascii="Georgia" w:hAnsi="Georgia" w:cs="Times New Roman"/>
          <w:sz w:val="24"/>
          <w:szCs w:val="24"/>
        </w:rPr>
        <w:t xml:space="preserve">a “bottom up economic transformation” agenda in which boosting the economy will mainly focus on increasing the non-formal workers’ income, trying to ensure income stability and dignity for the thousands of people that have traditionally worked in the “lottery economy” (United Democratic Alliance, 2022). According to the Kenya Kwanza Plan, this economic model would generate aggregate demand that would end up dynamizing the entire industry. Granting access to capital in order to formalize a micro-, small- or medium-sized enterprise (MSME) or boost MSME production and/or productivity is, thereby, a top priority </w:t>
      </w:r>
      <w:r w:rsidR="00333717" w:rsidRPr="0049594B">
        <w:rPr>
          <w:rFonts w:ascii="Georgia" w:hAnsi="Georgia" w:cs="Times New Roman"/>
          <w:sz w:val="24"/>
          <w:szCs w:val="24"/>
        </w:rPr>
        <w:t>for the 2022-2027 government</w:t>
      </w:r>
      <w:r w:rsidRPr="0049594B">
        <w:rPr>
          <w:rFonts w:ascii="Georgia" w:hAnsi="Georgia" w:cs="Times New Roman"/>
          <w:sz w:val="24"/>
          <w:szCs w:val="24"/>
        </w:rPr>
        <w:t xml:space="preserve">. It is the way to guarantee that scarce capital is allocated to the economic sectors that potentially create more jobs, i.e. smallholder agriculture and the non-agricultural informal sector. This </w:t>
      </w:r>
      <w:r w:rsidR="006B746C" w:rsidRPr="0049594B">
        <w:rPr>
          <w:rFonts w:ascii="Georgia" w:hAnsi="Georgia" w:cs="Times New Roman"/>
          <w:sz w:val="24"/>
          <w:szCs w:val="24"/>
        </w:rPr>
        <w:t xml:space="preserve">matches with the </w:t>
      </w:r>
      <w:r w:rsidR="00333717" w:rsidRPr="0049594B">
        <w:rPr>
          <w:rFonts w:ascii="Georgia" w:hAnsi="Georgia" w:cs="Times New Roman"/>
          <w:sz w:val="24"/>
          <w:szCs w:val="24"/>
        </w:rPr>
        <w:t xml:space="preserve">current 2023 </w:t>
      </w:r>
      <w:r w:rsidR="006B746C" w:rsidRPr="0049594B">
        <w:rPr>
          <w:rFonts w:ascii="Georgia" w:hAnsi="Georgia" w:cs="Times New Roman"/>
          <w:sz w:val="24"/>
          <w:szCs w:val="24"/>
        </w:rPr>
        <w:t>executive order</w:t>
      </w:r>
      <w:r w:rsidRPr="0049594B">
        <w:rPr>
          <w:rFonts w:ascii="Georgia" w:hAnsi="Georgia" w:cs="Times New Roman"/>
          <w:sz w:val="24"/>
          <w:szCs w:val="24"/>
        </w:rPr>
        <w:t xml:space="preserve">, which aims to end what some have considered economic apartheid and to democratise resources and power. </w:t>
      </w:r>
    </w:p>
    <w:p w14:paraId="572C4D02" w14:textId="037B2B53" w:rsidR="007E2D73" w:rsidRPr="0049594B" w:rsidRDefault="00AA6BB2" w:rsidP="007E2D73">
      <w:pPr>
        <w:jc w:val="both"/>
        <w:rPr>
          <w:rFonts w:ascii="Georgia" w:hAnsi="Georgia" w:cs="Times New Roman"/>
          <w:sz w:val="24"/>
          <w:szCs w:val="24"/>
        </w:rPr>
      </w:pPr>
      <w:r w:rsidRPr="0049594B">
        <w:rPr>
          <w:rFonts w:ascii="Georgia" w:hAnsi="Georgia" w:cs="Times New Roman"/>
          <w:sz w:val="24"/>
          <w:szCs w:val="24"/>
        </w:rPr>
        <w:t xml:space="preserve">The government order </w:t>
      </w:r>
      <w:r w:rsidR="007E2D73" w:rsidRPr="0049594B">
        <w:rPr>
          <w:rFonts w:ascii="Georgia" w:hAnsi="Georgia" w:cs="Times New Roman"/>
          <w:sz w:val="24"/>
          <w:szCs w:val="24"/>
        </w:rPr>
        <w:t xml:space="preserve">claims that this entire plan is financially feasible if a tax reform is approved and implemented. Expanding the tax base, focusing on collecting taxes from wealth more than trade, and diminishing/controlling tax evasion are some of the main features in this tax reform proposal. Taxing the highest classes and the main wealth holders, mostly in the private sector, represents a change in the way inequality is being addressed and reveals that there is a deliberate political will and discourse focused on narrowing the socio-economic gaps. </w:t>
      </w:r>
    </w:p>
    <w:p w14:paraId="5993245C" w14:textId="166F5E3E" w:rsidR="007E2D73" w:rsidRPr="0049594B" w:rsidRDefault="007E2D73" w:rsidP="007E2D73">
      <w:pPr>
        <w:jc w:val="both"/>
        <w:rPr>
          <w:rFonts w:ascii="Georgia" w:hAnsi="Georgia" w:cs="Times New Roman"/>
          <w:sz w:val="24"/>
          <w:szCs w:val="24"/>
        </w:rPr>
      </w:pPr>
      <w:r w:rsidRPr="0049594B">
        <w:rPr>
          <w:rFonts w:ascii="Georgia" w:hAnsi="Georgia" w:cs="Times New Roman"/>
          <w:sz w:val="24"/>
          <w:szCs w:val="24"/>
        </w:rPr>
        <w:t xml:space="preserve">Regarding the social discourse or perception about inequality, it is important to mention that economic topics are among the issues that make Kenyans worry the most. According to </w:t>
      </w:r>
      <w:r w:rsidR="00AC5409" w:rsidRPr="0049594B">
        <w:rPr>
          <w:rFonts w:ascii="Georgia" w:hAnsi="Georgia" w:cs="Times New Roman"/>
          <w:sz w:val="24"/>
          <w:szCs w:val="24"/>
        </w:rPr>
        <w:t xml:space="preserve">a survey of </w:t>
      </w:r>
      <w:r w:rsidRPr="0049594B">
        <w:rPr>
          <w:rFonts w:ascii="Georgia" w:hAnsi="Georgia" w:cs="Times New Roman"/>
          <w:sz w:val="24"/>
          <w:szCs w:val="24"/>
        </w:rPr>
        <w:t>PEW Research Center</w:t>
      </w:r>
      <w:r w:rsidR="00AC5409" w:rsidRPr="0049594B">
        <w:rPr>
          <w:rFonts w:ascii="Georgia" w:hAnsi="Georgia" w:cs="Times New Roman"/>
          <w:sz w:val="24"/>
          <w:szCs w:val="24"/>
        </w:rPr>
        <w:t xml:space="preserve"> (</w:t>
      </w:r>
      <w:r w:rsidRPr="0049594B">
        <w:rPr>
          <w:rFonts w:ascii="Georgia" w:hAnsi="Georgia" w:cs="Times New Roman"/>
          <w:sz w:val="24"/>
          <w:szCs w:val="24"/>
        </w:rPr>
        <w:t>2016)</w:t>
      </w:r>
      <w:r w:rsidR="00AC5409" w:rsidRPr="0049594B">
        <w:rPr>
          <w:rFonts w:ascii="Georgia" w:hAnsi="Georgia" w:cs="Times New Roman"/>
          <w:sz w:val="24"/>
          <w:szCs w:val="24"/>
        </w:rPr>
        <w:t>,</w:t>
      </w:r>
      <w:r w:rsidRPr="0049594B">
        <w:rPr>
          <w:rFonts w:ascii="Georgia" w:hAnsi="Georgia" w:cs="Times New Roman"/>
          <w:sz w:val="24"/>
          <w:szCs w:val="24"/>
        </w:rPr>
        <w:t xml:space="preserve"> 87% of Kenyans worry about lack of employment opportunities, 86% declare to worry about poverty. In terms of life quality, there are some others aspects that are particularly worrying, such as poor health care and lack of clean drinking water, with 75% of people worrying about both aspects. All these are central elements and/or features of inequality and reveal how legitimate and accepted is to talk about it at a social level, as well as putting at the top of the public and political agenda. This same survey asks specifically about how much Kenyans worry about the gap between rich and poor and the result is that 72% of the population worries about inequality. This means that inequality is something that is on top of the mind of Kenyans, both as a general and macro phenomenon and taking apart all the elements that constitute it. This is relevant and slightly surprising as inequality is often considered as an interregional phenomenon, more than a disparity between social classes, as mentioned in the Kenya Country Report 2022 (BTI, 2022). This meaning that socio-economic inequality starts to be understood as one of the forms in which inequality is perceived as problematic, aside from the inequality between counties.</w:t>
      </w:r>
    </w:p>
    <w:p w14:paraId="716FB4E5" w14:textId="77777777" w:rsidR="00842963" w:rsidRPr="0049594B" w:rsidRDefault="00842963" w:rsidP="003105A6">
      <w:pPr>
        <w:pStyle w:val="Heading2"/>
        <w:numPr>
          <w:ilvl w:val="1"/>
          <w:numId w:val="1"/>
        </w:numPr>
        <w:spacing w:before="240" w:after="120" w:line="240" w:lineRule="auto"/>
        <w:ind w:left="567" w:hanging="567"/>
        <w:rPr>
          <w:rFonts w:ascii="Georgia" w:hAnsi="Georgia" w:cs="Times New Roman"/>
          <w:color w:val="auto"/>
          <w:sz w:val="24"/>
          <w:szCs w:val="24"/>
          <w:shd w:val="clear" w:color="auto" w:fill="FFFFFF"/>
        </w:rPr>
      </w:pPr>
      <w:bookmarkStart w:id="84" w:name="_Toc145928787"/>
      <w:r w:rsidRPr="0049594B">
        <w:rPr>
          <w:rFonts w:ascii="Georgia" w:hAnsi="Georgia" w:cs="Times New Roman"/>
          <w:color w:val="auto"/>
          <w:sz w:val="24"/>
          <w:szCs w:val="24"/>
          <w:shd w:val="clear" w:color="auto" w:fill="FFFFFF"/>
        </w:rPr>
        <w:t>Donor support and strategies</w:t>
      </w:r>
      <w:bookmarkEnd w:id="84"/>
    </w:p>
    <w:p w14:paraId="3EED5AD7" w14:textId="77777777" w:rsidR="00682930" w:rsidRPr="0049594B" w:rsidRDefault="00682930" w:rsidP="00682930">
      <w:pPr>
        <w:jc w:val="both"/>
        <w:rPr>
          <w:rFonts w:ascii="Georgia" w:hAnsi="Georgia" w:cs="Times New Roman"/>
          <w:sz w:val="24"/>
          <w:szCs w:val="24"/>
        </w:rPr>
      </w:pPr>
      <w:r w:rsidRPr="0049594B">
        <w:rPr>
          <w:rFonts w:ascii="Georgia" w:hAnsi="Georgia" w:cs="Times New Roman"/>
          <w:sz w:val="24"/>
          <w:szCs w:val="24"/>
        </w:rPr>
        <w:t xml:space="preserve">The </w:t>
      </w:r>
      <w:r w:rsidRPr="0049594B">
        <w:rPr>
          <w:rFonts w:ascii="Georgia" w:hAnsi="Georgia" w:cs="Times New Roman"/>
          <w:b/>
          <w:bCs/>
          <w:sz w:val="24"/>
          <w:szCs w:val="24"/>
        </w:rPr>
        <w:t>European Union</w:t>
      </w:r>
      <w:r w:rsidRPr="0049594B">
        <w:rPr>
          <w:rFonts w:ascii="Georgia" w:hAnsi="Georgia" w:cs="Times New Roman"/>
          <w:sz w:val="24"/>
          <w:szCs w:val="24"/>
        </w:rPr>
        <w:t>’s international cooperation with Kenya is aligned to the objectives and priorities of Kenya Vision 2030, the MTPs and the Big Four Agenda. According to the indicative financial allocations during MTP3 presented in the Joint Cooperation Strategy 2018-2022, France and Germany were going to be the largest European bilateral donors, followed by the United Kingdom. Other important EU development partners were the EU institutions and the European Investment Bank.</w:t>
      </w:r>
      <w:r w:rsidRPr="0049594B">
        <w:rPr>
          <w:rStyle w:val="FootnoteReference"/>
          <w:rFonts w:ascii="Georgia" w:hAnsi="Georgia" w:cs="Times New Roman"/>
          <w:sz w:val="24"/>
          <w:szCs w:val="24"/>
        </w:rPr>
        <w:footnoteReference w:id="42"/>
      </w:r>
      <w:r w:rsidRPr="0049594B">
        <w:rPr>
          <w:rFonts w:ascii="Georgia" w:hAnsi="Georgia" w:cs="Times New Roman"/>
          <w:sz w:val="24"/>
          <w:szCs w:val="24"/>
        </w:rPr>
        <w:t xml:space="preserve"> One of the four priority areas of the Joint Strategy is employment creation, with focus on supporting the demand and supply sides of the labour market, addressing skill mismatches and strengthening the business enabling environment. The strategy furthermore argues that gender equality ‘is one of the most important conditions for achieving progress in the fight against poverty and inequality’.</w:t>
      </w:r>
      <w:r w:rsidRPr="0049594B">
        <w:rPr>
          <w:rStyle w:val="FootnoteReference"/>
          <w:rFonts w:ascii="Georgia" w:hAnsi="Georgia" w:cs="Times New Roman"/>
          <w:sz w:val="24"/>
          <w:szCs w:val="24"/>
        </w:rPr>
        <w:footnoteReference w:id="43"/>
      </w:r>
    </w:p>
    <w:p w14:paraId="32C2BB54" w14:textId="77777777" w:rsidR="00682930" w:rsidRPr="0049594B" w:rsidRDefault="00682930" w:rsidP="00682930">
      <w:pPr>
        <w:jc w:val="both"/>
        <w:rPr>
          <w:rFonts w:ascii="Georgia" w:hAnsi="Georgia" w:cs="Times New Roman"/>
          <w:sz w:val="24"/>
          <w:szCs w:val="24"/>
        </w:rPr>
      </w:pPr>
      <w:r w:rsidRPr="0049594B">
        <w:rPr>
          <w:rFonts w:ascii="Georgia" w:hAnsi="Georgia" w:cs="Times New Roman"/>
          <w:sz w:val="24"/>
          <w:szCs w:val="24"/>
        </w:rPr>
        <w:t xml:space="preserve">The EU’s Multiannual Indicative Programme for Kenya for 2021-2024 has a budget of 324 million Euros. Its three priority areas are: (1) </w:t>
      </w:r>
      <w:r w:rsidRPr="0049594B">
        <w:rPr>
          <w:rFonts w:ascii="Georgia" w:hAnsi="Georgia" w:cs="Times New Roman"/>
          <w:i/>
          <w:iCs/>
          <w:sz w:val="24"/>
          <w:szCs w:val="24"/>
        </w:rPr>
        <w:t>the green transition</w:t>
      </w:r>
      <w:r w:rsidRPr="0049594B">
        <w:rPr>
          <w:rFonts w:ascii="Georgia" w:hAnsi="Georgia" w:cs="Times New Roman"/>
          <w:sz w:val="24"/>
          <w:szCs w:val="24"/>
        </w:rPr>
        <w:t xml:space="preserve">, which supports a paradigm shift towards an economic model that combines sustainable growth and decent job creation with environmental conservation and climate-resilience; (2) </w:t>
      </w:r>
      <w:r w:rsidRPr="0049594B">
        <w:rPr>
          <w:rFonts w:ascii="Georgia" w:hAnsi="Georgia" w:cs="Times New Roman"/>
          <w:i/>
          <w:iCs/>
          <w:sz w:val="24"/>
          <w:szCs w:val="24"/>
        </w:rPr>
        <w:t>leave no-one behind and digitalisation</w:t>
      </w:r>
      <w:r w:rsidRPr="0049594B">
        <w:rPr>
          <w:rFonts w:ascii="Georgia" w:hAnsi="Georgia" w:cs="Times New Roman"/>
          <w:sz w:val="24"/>
          <w:szCs w:val="24"/>
        </w:rPr>
        <w:t xml:space="preserve">, which focuses on human development, social inclusion, education, skills and inclusive urbanisation with youth and women as key beneficiaries; and (3) </w:t>
      </w:r>
      <w:r w:rsidRPr="0049594B">
        <w:rPr>
          <w:rFonts w:ascii="Georgia" w:hAnsi="Georgia" w:cs="Times New Roman"/>
          <w:i/>
          <w:iCs/>
          <w:sz w:val="24"/>
          <w:szCs w:val="24"/>
        </w:rPr>
        <w:t>democratic governance, peace and stability</w:t>
      </w:r>
      <w:r w:rsidRPr="0049594B">
        <w:rPr>
          <w:rFonts w:ascii="Georgia" w:hAnsi="Georgia" w:cs="Times New Roman"/>
          <w:sz w:val="24"/>
          <w:szCs w:val="24"/>
        </w:rPr>
        <w:t>, which helps to advance transparency and accountability, including anti-corruption and public finance management, boosting service-delivery, legal and judicial empowerment, as well as the regional/’s peace and security agenda.</w:t>
      </w:r>
      <w:r w:rsidRPr="0049594B">
        <w:rPr>
          <w:rStyle w:val="FootnoteReference"/>
          <w:rFonts w:ascii="Georgia" w:hAnsi="Georgia" w:cs="Times New Roman"/>
          <w:sz w:val="24"/>
          <w:szCs w:val="24"/>
        </w:rPr>
        <w:footnoteReference w:id="44"/>
      </w:r>
      <w:r w:rsidRPr="0049594B">
        <w:rPr>
          <w:rFonts w:ascii="Georgia" w:hAnsi="Georgia" w:cs="Times New Roman"/>
          <w:sz w:val="24"/>
          <w:szCs w:val="24"/>
        </w:rPr>
        <w:t xml:space="preserve"> Priority area 2 departs from the premise that ‘Kenya faces high levels of poverty and inequality’ (EU, 2021: 5). Regarding priority area 3, the document identifies income inequality as one of the factors that ‘can fuel unrest’. </w:t>
      </w:r>
    </w:p>
    <w:p w14:paraId="73995B75" w14:textId="77777777" w:rsidR="00682930" w:rsidRPr="0049594B" w:rsidRDefault="00682930" w:rsidP="00682930">
      <w:pPr>
        <w:jc w:val="both"/>
        <w:rPr>
          <w:rFonts w:ascii="Georgia" w:hAnsi="Georgia" w:cs="Times New Roman"/>
          <w:sz w:val="24"/>
          <w:szCs w:val="24"/>
        </w:rPr>
      </w:pPr>
      <w:r w:rsidRPr="0049594B">
        <w:rPr>
          <w:rFonts w:ascii="Georgia" w:hAnsi="Georgia" w:cs="Times New Roman"/>
          <w:sz w:val="24"/>
          <w:szCs w:val="24"/>
        </w:rPr>
        <w:t xml:space="preserve">The </w:t>
      </w:r>
      <w:r w:rsidRPr="0049594B">
        <w:rPr>
          <w:rFonts w:ascii="Georgia" w:hAnsi="Georgia" w:cs="Times New Roman"/>
          <w:b/>
          <w:bCs/>
          <w:sz w:val="24"/>
          <w:szCs w:val="24"/>
        </w:rPr>
        <w:t>USA</w:t>
      </w:r>
      <w:r w:rsidRPr="0049594B">
        <w:rPr>
          <w:rFonts w:ascii="Georgia" w:hAnsi="Georgia" w:cs="Times New Roman"/>
          <w:sz w:val="24"/>
          <w:szCs w:val="24"/>
        </w:rPr>
        <w:t xml:space="preserve"> is also an important bilateral donor of Kenya. Annual ODA disbursements of USAID averaged around USD 500 million in the past decade, compared to USD 65 million in 2001.</w:t>
      </w:r>
      <w:r w:rsidRPr="0049594B">
        <w:rPr>
          <w:rStyle w:val="FootnoteReference"/>
          <w:rFonts w:ascii="Georgia" w:hAnsi="Georgia" w:cs="Times New Roman"/>
          <w:sz w:val="24"/>
          <w:szCs w:val="24"/>
        </w:rPr>
        <w:footnoteReference w:id="45"/>
      </w:r>
      <w:r w:rsidRPr="0049594B">
        <w:rPr>
          <w:rFonts w:ascii="Georgia" w:hAnsi="Georgia" w:cs="Times New Roman"/>
          <w:sz w:val="24"/>
          <w:szCs w:val="24"/>
        </w:rPr>
        <w:t xml:space="preserve"> USAID’s 2021-2025 strategy for development cooperation with Kenya has the following goal: ‘Kenya’s competitive private sector, resilient communities and civil society organizations, and citizen-responsive public sector better collaborate to drive inclusive growth and well-being for Kenya’s self-reliance’.</w:t>
      </w:r>
      <w:r w:rsidRPr="0049594B">
        <w:rPr>
          <w:rStyle w:val="FootnoteReference"/>
          <w:rFonts w:ascii="Georgia" w:hAnsi="Georgia" w:cs="Times New Roman"/>
          <w:sz w:val="24"/>
          <w:szCs w:val="24"/>
        </w:rPr>
        <w:footnoteReference w:id="46"/>
      </w:r>
      <w:r w:rsidRPr="0049594B">
        <w:rPr>
          <w:rFonts w:ascii="Georgia" w:hAnsi="Georgia" w:cs="Times New Roman"/>
          <w:sz w:val="24"/>
          <w:szCs w:val="24"/>
        </w:rPr>
        <w:t xml:space="preserve"> Key areas in which USAID has worked together with Kenyan partners are access to education, access to quality health services, laying the foundations for long-term economic growth, as well as governance.</w:t>
      </w:r>
      <w:r w:rsidRPr="0049594B">
        <w:rPr>
          <w:rStyle w:val="FootnoteReference"/>
          <w:rFonts w:ascii="Georgia" w:hAnsi="Georgia" w:cs="Times New Roman"/>
          <w:sz w:val="24"/>
          <w:szCs w:val="24"/>
        </w:rPr>
        <w:footnoteReference w:id="47"/>
      </w:r>
    </w:p>
    <w:p w14:paraId="5D567E74" w14:textId="77777777" w:rsidR="00682930" w:rsidRPr="0049594B" w:rsidRDefault="00682930" w:rsidP="00682930">
      <w:pPr>
        <w:jc w:val="both"/>
        <w:rPr>
          <w:rFonts w:ascii="Georgia" w:hAnsi="Georgia" w:cs="Times New Roman"/>
          <w:sz w:val="24"/>
          <w:szCs w:val="24"/>
        </w:rPr>
      </w:pPr>
      <w:r w:rsidRPr="0049594B">
        <w:rPr>
          <w:rFonts w:ascii="Georgia" w:hAnsi="Georgia" w:cs="Times New Roman"/>
          <w:bCs/>
          <w:sz w:val="24"/>
          <w:szCs w:val="24"/>
        </w:rPr>
        <w:t xml:space="preserve">Like the foreign aid of other traditional donors, the Development Cooperation of the </w:t>
      </w:r>
      <w:r w:rsidRPr="0049594B">
        <w:rPr>
          <w:rFonts w:ascii="Georgia" w:hAnsi="Georgia" w:cs="Times New Roman"/>
          <w:b/>
          <w:sz w:val="24"/>
          <w:szCs w:val="24"/>
        </w:rPr>
        <w:t>United Nations System</w:t>
      </w:r>
      <w:r w:rsidRPr="0049594B">
        <w:rPr>
          <w:rFonts w:ascii="Georgia" w:hAnsi="Georgia" w:cs="Times New Roman"/>
          <w:bCs/>
          <w:sz w:val="24"/>
          <w:szCs w:val="24"/>
        </w:rPr>
        <w:t xml:space="preserve"> is based on the 2030 Agenda for Sustainable Development.</w:t>
      </w:r>
      <w:r w:rsidRPr="0049594B">
        <w:rPr>
          <w:rFonts w:ascii="Georgia" w:hAnsi="Georgia" w:cs="Times New Roman"/>
          <w:sz w:val="24"/>
          <w:szCs w:val="24"/>
        </w:rPr>
        <w:t xml:space="preserve"> With the approval of that agenda, the participating countries and other partners for development committed themselves to working together in promoting sustainable and inclusive growth, social development and environmental protection, with the goal of addressing inequalities, particularly inequality of opportunities, and end all forms of discrimination with the aim that </w:t>
      </w:r>
      <w:r w:rsidRPr="0049594B">
        <w:rPr>
          <w:rFonts w:ascii="Georgia" w:hAnsi="Georgia" w:cs="Times New Roman"/>
          <w:i/>
          <w:iCs/>
          <w:sz w:val="24"/>
          <w:szCs w:val="24"/>
        </w:rPr>
        <w:t>no one is left behind</w:t>
      </w:r>
      <w:r w:rsidRPr="0049594B">
        <w:rPr>
          <w:rFonts w:ascii="Georgia" w:hAnsi="Georgia" w:cs="Times New Roman"/>
          <w:sz w:val="24"/>
          <w:szCs w:val="24"/>
        </w:rPr>
        <w:t>. The UN Development Assistance Framework 2018-2022 for Kenya is aligned to Kenya Vision 2030 and the priorities outlined in the MTP3, the Big Four Agenda and the Sustainable Development Goals.</w:t>
      </w:r>
      <w:r w:rsidRPr="0049594B">
        <w:rPr>
          <w:rStyle w:val="FootnoteReference"/>
          <w:rFonts w:ascii="Georgia" w:hAnsi="Georgia" w:cs="Times New Roman"/>
          <w:sz w:val="24"/>
          <w:szCs w:val="24"/>
        </w:rPr>
        <w:footnoteReference w:id="48"/>
      </w:r>
    </w:p>
    <w:p w14:paraId="5A3E1828" w14:textId="77777777" w:rsidR="00682930" w:rsidRPr="0049594B" w:rsidRDefault="00682930" w:rsidP="00682930">
      <w:pPr>
        <w:jc w:val="both"/>
        <w:rPr>
          <w:rFonts w:ascii="Georgia" w:hAnsi="Georgia" w:cs="Times New Roman"/>
          <w:sz w:val="24"/>
          <w:szCs w:val="24"/>
        </w:rPr>
      </w:pPr>
      <w:r w:rsidRPr="0049594B">
        <w:rPr>
          <w:rFonts w:ascii="Georgia" w:eastAsia="Times New Roman" w:hAnsi="Georgia" w:cs="Times New Roman"/>
          <w:sz w:val="24"/>
          <w:szCs w:val="24"/>
          <w:lang w:eastAsia="en-GB"/>
        </w:rPr>
        <w:t>Inequality also features in the</w:t>
      </w:r>
      <w:r w:rsidRPr="0049594B">
        <w:rPr>
          <w:rFonts w:ascii="Georgia" w:eastAsia="Times New Roman" w:hAnsi="Georgia" w:cs="Times New Roman"/>
          <w:b/>
          <w:sz w:val="24"/>
          <w:szCs w:val="24"/>
          <w:lang w:eastAsia="en-GB"/>
        </w:rPr>
        <w:t xml:space="preserve"> World Bank</w:t>
      </w:r>
      <w:r w:rsidRPr="0049594B">
        <w:rPr>
          <w:rFonts w:ascii="Georgia" w:eastAsia="Times New Roman" w:hAnsi="Georgia" w:cs="Times New Roman"/>
          <w:bCs/>
          <w:sz w:val="24"/>
          <w:szCs w:val="24"/>
          <w:lang w:eastAsia="en-GB"/>
        </w:rPr>
        <w:t xml:space="preserve">’s strategies for its work in Kenya. </w:t>
      </w:r>
      <w:r w:rsidRPr="0049594B">
        <w:rPr>
          <w:rFonts w:ascii="Georgia" w:hAnsi="Georgia" w:cs="Times New Roman"/>
          <w:sz w:val="24"/>
          <w:szCs w:val="24"/>
        </w:rPr>
        <w:t>The new Country Partnership Framework for the Period FY23-FY28 identifies several policy areas for reducing inequality of opportunity and outcomes, including extending basic service provision to most of its population, providing infrastructure services to poorer counties, further reforms to education focused on improving learning outcomes, as well as further expansion of the social safety net system.</w:t>
      </w:r>
      <w:r w:rsidRPr="0049594B">
        <w:rPr>
          <w:rStyle w:val="FootnoteReference"/>
          <w:rFonts w:ascii="Georgia" w:hAnsi="Georgia" w:cs="Times New Roman"/>
          <w:sz w:val="24"/>
          <w:szCs w:val="24"/>
        </w:rPr>
        <w:footnoteReference w:id="49"/>
      </w:r>
    </w:p>
    <w:p w14:paraId="333CCF66" w14:textId="1CC0E51D" w:rsidR="00682930" w:rsidRPr="0049594B" w:rsidRDefault="00682930" w:rsidP="00682930">
      <w:pPr>
        <w:jc w:val="both"/>
        <w:rPr>
          <w:rFonts w:ascii="Georgia" w:hAnsi="Georgia" w:cs="Times New Roman"/>
          <w:sz w:val="24"/>
          <w:szCs w:val="24"/>
        </w:rPr>
      </w:pPr>
      <w:r w:rsidRPr="0049594B">
        <w:rPr>
          <w:rFonts w:ascii="Georgia" w:eastAsia="Times New Roman" w:hAnsi="Georgia" w:cs="Times New Roman"/>
          <w:sz w:val="24"/>
          <w:szCs w:val="24"/>
          <w:lang w:eastAsia="en-GB"/>
        </w:rPr>
        <w:t xml:space="preserve">Finally, the overall objective of the </w:t>
      </w:r>
      <w:r w:rsidRPr="0049594B">
        <w:rPr>
          <w:rFonts w:ascii="Georgia" w:eastAsia="Times New Roman" w:hAnsi="Georgia" w:cs="Times New Roman"/>
          <w:b/>
          <w:bCs/>
          <w:sz w:val="24"/>
          <w:szCs w:val="24"/>
          <w:lang w:eastAsia="en-GB"/>
        </w:rPr>
        <w:t>African Development Bank</w:t>
      </w:r>
      <w:r w:rsidRPr="0049594B">
        <w:rPr>
          <w:rFonts w:ascii="Georgia" w:eastAsia="Times New Roman" w:hAnsi="Georgia" w:cs="Times New Roman"/>
          <w:sz w:val="24"/>
          <w:szCs w:val="24"/>
          <w:lang w:eastAsia="en-GB"/>
        </w:rPr>
        <w:t>‘s Country Strategy Paper 2019-2023 for Kenya is ‘to support structural transformation to address persistent challenges of poverty, unemployment, income inequality and spatial socioeconomic disparity through industrialization.</w:t>
      </w:r>
      <w:r w:rsidRPr="0049594B">
        <w:rPr>
          <w:rStyle w:val="FootnoteReference"/>
          <w:rFonts w:ascii="Georgia" w:eastAsia="Times New Roman" w:hAnsi="Georgia" w:cs="Times New Roman"/>
          <w:sz w:val="24"/>
          <w:szCs w:val="24"/>
          <w:lang w:eastAsia="en-GB"/>
        </w:rPr>
        <w:footnoteReference w:id="50"/>
      </w:r>
      <w:r w:rsidRPr="0049594B">
        <w:rPr>
          <w:rFonts w:ascii="Georgia" w:eastAsia="Times New Roman" w:hAnsi="Georgia" w:cs="Times New Roman"/>
          <w:sz w:val="24"/>
          <w:szCs w:val="24"/>
          <w:lang w:eastAsia="en-GB"/>
        </w:rPr>
        <w:t xml:space="preserve"> The country strategy is articulated around two pillars – i.e. industrialization and capacity development – which are aligned with the Government of Kenyan’s policies and strategies. Based on the 2021 mid-term review of the Country Strategy Paper, the management of the</w:t>
      </w:r>
      <w:r w:rsidR="00A57A9A" w:rsidRPr="0049594B">
        <w:rPr>
          <w:rFonts w:ascii="Georgia" w:eastAsia="Times New Roman" w:hAnsi="Georgia" w:cs="Times New Roman"/>
          <w:sz w:val="24"/>
          <w:szCs w:val="24"/>
          <w:lang w:eastAsia="en-GB"/>
        </w:rPr>
        <w:t xml:space="preserve"> </w:t>
      </w:r>
      <w:r w:rsidRPr="0049594B">
        <w:rPr>
          <w:rFonts w:ascii="Georgia" w:eastAsia="Times New Roman" w:hAnsi="Georgia" w:cs="Times New Roman"/>
          <w:sz w:val="24"/>
          <w:szCs w:val="24"/>
          <w:lang w:eastAsia="en-GB"/>
        </w:rPr>
        <w:t>African Development Bank proposed to keep the pillars unchanged.</w:t>
      </w:r>
      <w:r w:rsidRPr="0049594B">
        <w:rPr>
          <w:rStyle w:val="FootnoteReference"/>
          <w:rFonts w:ascii="Georgia" w:eastAsia="Times New Roman" w:hAnsi="Georgia" w:cs="Times New Roman"/>
          <w:sz w:val="24"/>
          <w:szCs w:val="24"/>
          <w:lang w:eastAsia="en-GB"/>
        </w:rPr>
        <w:footnoteReference w:id="51"/>
      </w:r>
    </w:p>
    <w:p w14:paraId="17F603A7" w14:textId="730A6C3A" w:rsidR="00B45ED8" w:rsidRPr="009C5581" w:rsidRDefault="00B45ED8" w:rsidP="00693DA3">
      <w:pPr>
        <w:jc w:val="both"/>
        <w:rPr>
          <w:rFonts w:ascii="Times New Roman" w:hAnsi="Times New Roman" w:cs="Times New Roman"/>
        </w:rPr>
      </w:pPr>
      <w:r w:rsidRPr="009C5581">
        <w:rPr>
          <w:rFonts w:ascii="Times New Roman" w:hAnsi="Times New Roman" w:cs="Times New Roman"/>
        </w:rPr>
        <w:br w:type="page"/>
      </w:r>
    </w:p>
    <w:p w14:paraId="3E329094" w14:textId="77777777" w:rsidR="00CE4A4C" w:rsidRPr="0049594B" w:rsidRDefault="00CE4A4C" w:rsidP="00CE4A4C">
      <w:pPr>
        <w:pStyle w:val="Heading1"/>
        <w:numPr>
          <w:ilvl w:val="0"/>
          <w:numId w:val="1"/>
        </w:numPr>
        <w:spacing w:before="0" w:after="120" w:line="240" w:lineRule="auto"/>
        <w:rPr>
          <w:rFonts w:ascii="Georgia" w:eastAsia="Constantia" w:hAnsi="Georgia" w:cs="Times New Roman"/>
          <w:b/>
          <w:bCs/>
          <w:color w:val="000000" w:themeColor="text1"/>
          <w:lang w:eastAsia="en-GB"/>
        </w:rPr>
      </w:pPr>
      <w:bookmarkStart w:id="85" w:name="_Toc145928788"/>
      <w:r w:rsidRPr="0049594B">
        <w:rPr>
          <w:rFonts w:ascii="Georgia" w:eastAsia="Constantia" w:hAnsi="Georgia" w:cs="Times New Roman"/>
          <w:b/>
          <w:bCs/>
          <w:color w:val="000000" w:themeColor="text1"/>
          <w:lang w:eastAsia="en-GB"/>
        </w:rPr>
        <w:t>Policy options</w:t>
      </w:r>
      <w:bookmarkEnd w:id="85"/>
    </w:p>
    <w:tbl>
      <w:tblPr>
        <w:tblStyle w:val="TableGrid"/>
        <w:tblW w:w="0" w:type="auto"/>
        <w:tblLook w:val="04A0" w:firstRow="1" w:lastRow="0" w:firstColumn="1" w:lastColumn="0" w:noHBand="0" w:noVBand="1"/>
      </w:tblPr>
      <w:tblGrid>
        <w:gridCol w:w="9529"/>
      </w:tblGrid>
      <w:tr w:rsidR="00CE4A4C" w:rsidRPr="009C5581" w14:paraId="429FAEF0" w14:textId="77777777" w:rsidTr="0049594B">
        <w:trPr>
          <w:trHeight w:val="4079"/>
        </w:trPr>
        <w:tc>
          <w:tcPr>
            <w:tcW w:w="9529" w:type="dxa"/>
          </w:tcPr>
          <w:p w14:paraId="34E16564" w14:textId="2D46A3A0" w:rsidR="00CE4A4C" w:rsidRPr="0049594B" w:rsidRDefault="00CE4A4C" w:rsidP="00A4493C">
            <w:pPr>
              <w:spacing w:before="120" w:after="120"/>
              <w:jc w:val="both"/>
              <w:rPr>
                <w:rFonts w:ascii="Georgia" w:hAnsi="Georgia" w:cs="Times New Roman"/>
              </w:rPr>
            </w:pPr>
            <w:bookmarkStart w:id="86" w:name="_Toc108017995"/>
            <w:bookmarkStart w:id="87" w:name="_Toc144414486"/>
            <w:r w:rsidRPr="0049594B">
              <w:rPr>
                <w:rFonts w:ascii="Georgia" w:hAnsi="Georgia" w:cs="Times New Roman"/>
              </w:rPr>
              <w:t xml:space="preserve">Box </w:t>
            </w:r>
            <w:r w:rsidRPr="0049594B">
              <w:rPr>
                <w:rFonts w:ascii="Georgia" w:hAnsi="Georgia" w:cs="Times New Roman"/>
              </w:rPr>
              <w:fldChar w:fldCharType="begin"/>
            </w:r>
            <w:r w:rsidRPr="0049594B">
              <w:rPr>
                <w:rFonts w:ascii="Georgia" w:hAnsi="Georgia" w:cs="Times New Roman"/>
              </w:rPr>
              <w:instrText xml:space="preserve"> SEQ Box \* ARABIC </w:instrText>
            </w:r>
            <w:r w:rsidRPr="0049594B">
              <w:rPr>
                <w:rFonts w:ascii="Georgia" w:hAnsi="Georgia" w:cs="Times New Roman"/>
              </w:rPr>
              <w:fldChar w:fldCharType="separate"/>
            </w:r>
            <w:r w:rsidR="000F6B8E" w:rsidRPr="0049594B">
              <w:rPr>
                <w:rFonts w:ascii="Georgia" w:hAnsi="Georgia" w:cs="Times New Roman"/>
                <w:noProof/>
              </w:rPr>
              <w:t>4</w:t>
            </w:r>
            <w:r w:rsidRPr="0049594B">
              <w:rPr>
                <w:rFonts w:ascii="Georgia" w:hAnsi="Georgia" w:cs="Times New Roman"/>
              </w:rPr>
              <w:fldChar w:fldCharType="end"/>
            </w:r>
            <w:r w:rsidRPr="0049594B">
              <w:rPr>
                <w:rFonts w:ascii="Georgia" w:hAnsi="Georgia" w:cs="Times New Roman"/>
              </w:rPr>
              <w:t>: Summary of policy options</w:t>
            </w:r>
            <w:bookmarkEnd w:id="86"/>
            <w:bookmarkEnd w:id="87"/>
          </w:p>
          <w:p w14:paraId="45FB8F2F" w14:textId="5B363B8A" w:rsidR="00CE4A4C" w:rsidRPr="0049594B" w:rsidRDefault="00331BEE" w:rsidP="00A4493C">
            <w:pPr>
              <w:pStyle w:val="ListParagraph"/>
              <w:numPr>
                <w:ilvl w:val="0"/>
                <w:numId w:val="19"/>
              </w:numPr>
              <w:spacing w:after="120"/>
              <w:jc w:val="both"/>
              <w:rPr>
                <w:rFonts w:ascii="Georgia" w:hAnsi="Georgia" w:cs="Times New Roman"/>
                <w:i/>
                <w:iCs/>
              </w:rPr>
            </w:pPr>
            <w:r w:rsidRPr="0049594B">
              <w:rPr>
                <w:rFonts w:ascii="Georgia" w:hAnsi="Georgia" w:cs="Times New Roman"/>
                <w:i/>
                <w:iCs/>
              </w:rPr>
              <w:t xml:space="preserve">Narrow the gender gap in labour force participation by </w:t>
            </w:r>
            <w:r w:rsidR="00CC460F" w:rsidRPr="0049594B">
              <w:rPr>
                <w:rFonts w:ascii="Georgia" w:hAnsi="Georgia" w:cs="Times New Roman"/>
                <w:i/>
                <w:iCs/>
              </w:rPr>
              <w:t>stimulating economic activity of women.</w:t>
            </w:r>
            <w:r w:rsidRPr="0049594B">
              <w:rPr>
                <w:rFonts w:ascii="Georgia" w:hAnsi="Georgia" w:cs="Times New Roman"/>
                <w:i/>
                <w:iCs/>
              </w:rPr>
              <w:t xml:space="preserve"> </w:t>
            </w:r>
          </w:p>
          <w:p w14:paraId="7B5FFD18" w14:textId="77777777" w:rsidR="00CE4A4C" w:rsidRPr="0049594B" w:rsidRDefault="00B8205E" w:rsidP="00A4493C">
            <w:pPr>
              <w:pStyle w:val="ListParagraph"/>
              <w:numPr>
                <w:ilvl w:val="0"/>
                <w:numId w:val="19"/>
              </w:numPr>
              <w:spacing w:after="120"/>
              <w:jc w:val="both"/>
              <w:rPr>
                <w:rFonts w:ascii="Georgia" w:hAnsi="Georgia" w:cs="Times New Roman"/>
                <w:i/>
                <w:iCs/>
              </w:rPr>
            </w:pPr>
            <w:r w:rsidRPr="0049594B">
              <w:rPr>
                <w:rFonts w:ascii="Georgia" w:hAnsi="Georgia" w:cs="Times New Roman"/>
                <w:i/>
                <w:iCs/>
              </w:rPr>
              <w:t>Increasing labour demand, particularly in rural areas and non-agricultural sectors.</w:t>
            </w:r>
          </w:p>
          <w:p w14:paraId="7C87005D" w14:textId="77777777" w:rsidR="00B8205E" w:rsidRPr="0049594B" w:rsidRDefault="00606618" w:rsidP="00A4493C">
            <w:pPr>
              <w:pStyle w:val="ListParagraph"/>
              <w:numPr>
                <w:ilvl w:val="0"/>
                <w:numId w:val="19"/>
              </w:numPr>
              <w:spacing w:after="120"/>
              <w:jc w:val="both"/>
              <w:rPr>
                <w:rFonts w:ascii="Georgia" w:hAnsi="Georgia" w:cs="Times New Roman"/>
                <w:i/>
                <w:iCs/>
              </w:rPr>
            </w:pPr>
            <w:r w:rsidRPr="0049594B">
              <w:rPr>
                <w:rFonts w:ascii="Georgia" w:hAnsi="Georgia" w:cs="Times New Roman"/>
                <w:i/>
                <w:iCs/>
              </w:rPr>
              <w:t xml:space="preserve">Improve earnings in informal and vulnerable work and promote formalisation of </w:t>
            </w:r>
            <w:r w:rsidR="00BA4682" w:rsidRPr="0049594B">
              <w:rPr>
                <w:rFonts w:ascii="Georgia" w:hAnsi="Georgia" w:cs="Times New Roman"/>
                <w:i/>
                <w:iCs/>
              </w:rPr>
              <w:t>informal enterprises.</w:t>
            </w:r>
          </w:p>
          <w:p w14:paraId="0278238C" w14:textId="77777777" w:rsidR="00BA4682" w:rsidRPr="0049594B" w:rsidRDefault="00BA4682" w:rsidP="00A4493C">
            <w:pPr>
              <w:pStyle w:val="ListParagraph"/>
              <w:numPr>
                <w:ilvl w:val="0"/>
                <w:numId w:val="19"/>
              </w:numPr>
              <w:spacing w:after="120"/>
              <w:jc w:val="both"/>
              <w:rPr>
                <w:rFonts w:ascii="Georgia" w:hAnsi="Georgia" w:cs="Times New Roman"/>
                <w:i/>
                <w:iCs/>
              </w:rPr>
            </w:pPr>
            <w:r w:rsidRPr="0049594B">
              <w:rPr>
                <w:rFonts w:ascii="Georgia" w:hAnsi="Georgia" w:cs="Times New Roman"/>
                <w:i/>
                <w:iCs/>
              </w:rPr>
              <w:t xml:space="preserve">Increase labour productivity, </w:t>
            </w:r>
            <w:r w:rsidR="00C65DD4" w:rsidRPr="0049594B">
              <w:rPr>
                <w:rFonts w:ascii="Georgia" w:hAnsi="Georgia" w:cs="Times New Roman"/>
                <w:i/>
                <w:iCs/>
              </w:rPr>
              <w:t>among others though training and education.</w:t>
            </w:r>
          </w:p>
          <w:p w14:paraId="43483889" w14:textId="77777777" w:rsidR="00C9354B" w:rsidRPr="0049594B" w:rsidRDefault="00C65DD4" w:rsidP="00A4493C">
            <w:pPr>
              <w:pStyle w:val="ListParagraph"/>
              <w:numPr>
                <w:ilvl w:val="0"/>
                <w:numId w:val="19"/>
              </w:numPr>
              <w:spacing w:after="120"/>
              <w:jc w:val="both"/>
              <w:rPr>
                <w:rFonts w:ascii="Georgia" w:hAnsi="Georgia" w:cs="Times New Roman"/>
                <w:i/>
                <w:iCs/>
              </w:rPr>
            </w:pPr>
            <w:r w:rsidRPr="0049594B">
              <w:rPr>
                <w:rFonts w:ascii="Georgia" w:hAnsi="Georgia" w:cs="Times New Roman"/>
                <w:i/>
                <w:iCs/>
              </w:rPr>
              <w:t xml:space="preserve">Reform the tax system, to make </w:t>
            </w:r>
            <w:r w:rsidR="00C9354B" w:rsidRPr="0049594B">
              <w:rPr>
                <w:rFonts w:ascii="Georgia" w:hAnsi="Georgia" w:cs="Times New Roman"/>
                <w:i/>
                <w:iCs/>
              </w:rPr>
              <w:t>taxes more progressive (by abolishing exemptions) and to enlarge fiscal space for public social expenditure.</w:t>
            </w:r>
          </w:p>
          <w:p w14:paraId="2464E549" w14:textId="70C9C072" w:rsidR="00FB4D2A" w:rsidRPr="0049594B" w:rsidRDefault="00722F64" w:rsidP="00A4493C">
            <w:pPr>
              <w:pStyle w:val="ListParagraph"/>
              <w:numPr>
                <w:ilvl w:val="0"/>
                <w:numId w:val="19"/>
              </w:numPr>
              <w:spacing w:after="120"/>
              <w:jc w:val="both"/>
              <w:rPr>
                <w:rFonts w:ascii="Georgia" w:hAnsi="Georgia" w:cs="Times New Roman"/>
                <w:i/>
                <w:iCs/>
              </w:rPr>
            </w:pPr>
            <w:r w:rsidRPr="0049594B">
              <w:rPr>
                <w:rFonts w:ascii="Georgia" w:hAnsi="Georgia" w:cs="Times New Roman"/>
                <w:i/>
                <w:iCs/>
              </w:rPr>
              <w:t>Address gender inequalities in the labour market</w:t>
            </w:r>
            <w:r w:rsidR="003F60FA" w:rsidRPr="0049594B">
              <w:rPr>
                <w:rFonts w:ascii="Georgia" w:hAnsi="Georgia" w:cs="Times New Roman"/>
                <w:i/>
                <w:iCs/>
              </w:rPr>
              <w:t xml:space="preserve"> (i.e. discrimination against women in terms of access to employment and earning). </w:t>
            </w:r>
          </w:p>
          <w:p w14:paraId="2A3B7B48" w14:textId="5E0686B0" w:rsidR="00813E1A" w:rsidRPr="0049594B" w:rsidRDefault="00813E1A" w:rsidP="00A4493C">
            <w:pPr>
              <w:pStyle w:val="ListParagraph"/>
              <w:numPr>
                <w:ilvl w:val="0"/>
                <w:numId w:val="19"/>
              </w:numPr>
              <w:spacing w:after="120"/>
              <w:jc w:val="both"/>
              <w:rPr>
                <w:rFonts w:ascii="Georgia" w:hAnsi="Georgia" w:cs="Times New Roman"/>
                <w:i/>
                <w:iCs/>
              </w:rPr>
            </w:pPr>
            <w:r w:rsidRPr="0049594B">
              <w:rPr>
                <w:rFonts w:ascii="Georgia" w:hAnsi="Georgia" w:cs="Times New Roman"/>
                <w:i/>
                <w:iCs/>
              </w:rPr>
              <w:t xml:space="preserve">Strengthen social protection systems and </w:t>
            </w:r>
            <w:r w:rsidR="001057C6" w:rsidRPr="0049594B">
              <w:rPr>
                <w:rFonts w:ascii="Georgia" w:hAnsi="Georgia" w:cs="Times New Roman"/>
                <w:i/>
                <w:iCs/>
              </w:rPr>
              <w:t>improve coverage for poorer population.</w:t>
            </w:r>
          </w:p>
          <w:p w14:paraId="6B4653EF" w14:textId="77777777" w:rsidR="00C65DD4" w:rsidRPr="0049594B" w:rsidRDefault="00D27A8D" w:rsidP="00A4493C">
            <w:pPr>
              <w:pStyle w:val="ListParagraph"/>
              <w:numPr>
                <w:ilvl w:val="0"/>
                <w:numId w:val="19"/>
              </w:numPr>
              <w:spacing w:after="120"/>
              <w:jc w:val="both"/>
              <w:rPr>
                <w:rFonts w:ascii="Georgia" w:hAnsi="Georgia" w:cs="Times New Roman"/>
                <w:i/>
                <w:iCs/>
              </w:rPr>
            </w:pPr>
            <w:r w:rsidRPr="0049594B">
              <w:rPr>
                <w:rFonts w:ascii="Georgia" w:hAnsi="Georgia" w:cs="Times New Roman"/>
                <w:i/>
                <w:iCs/>
              </w:rPr>
              <w:t xml:space="preserve">Improve access to quality education and </w:t>
            </w:r>
            <w:r w:rsidR="00002D12" w:rsidRPr="0049594B">
              <w:rPr>
                <w:rFonts w:ascii="Georgia" w:hAnsi="Georgia" w:cs="Times New Roman"/>
                <w:i/>
                <w:iCs/>
              </w:rPr>
              <w:t>health care, especially for women and girls.</w:t>
            </w:r>
            <w:r w:rsidR="00C9354B" w:rsidRPr="0049594B">
              <w:rPr>
                <w:rFonts w:ascii="Georgia" w:hAnsi="Georgia" w:cs="Times New Roman"/>
                <w:i/>
                <w:iCs/>
              </w:rPr>
              <w:t xml:space="preserve"> </w:t>
            </w:r>
          </w:p>
          <w:p w14:paraId="5EB0E074" w14:textId="06E8BC72" w:rsidR="00671674" w:rsidRPr="009C5581" w:rsidRDefault="00671674" w:rsidP="00A4493C">
            <w:pPr>
              <w:pStyle w:val="ListParagraph"/>
              <w:numPr>
                <w:ilvl w:val="0"/>
                <w:numId w:val="19"/>
              </w:numPr>
              <w:spacing w:after="120"/>
              <w:jc w:val="both"/>
              <w:rPr>
                <w:rFonts w:ascii="Times New Roman" w:hAnsi="Times New Roman" w:cs="Times New Roman"/>
                <w:i/>
                <w:iCs/>
                <w:sz w:val="20"/>
                <w:szCs w:val="20"/>
              </w:rPr>
            </w:pPr>
            <w:r w:rsidRPr="0049594B">
              <w:rPr>
                <w:rFonts w:ascii="Georgia" w:hAnsi="Georgia" w:cs="Times New Roman"/>
                <w:i/>
                <w:iCs/>
              </w:rPr>
              <w:t>Improve gender-responsive budgeting.</w:t>
            </w:r>
          </w:p>
        </w:tc>
      </w:tr>
    </w:tbl>
    <w:p w14:paraId="0306FD24" w14:textId="7E20A9B8" w:rsidR="00CE4A4C" w:rsidRPr="0049594B" w:rsidRDefault="00CE4A4C" w:rsidP="00CE4A4C">
      <w:pPr>
        <w:spacing w:before="120" w:after="120" w:line="240" w:lineRule="auto"/>
        <w:jc w:val="both"/>
        <w:rPr>
          <w:rFonts w:ascii="Georgia" w:eastAsia="Constantia" w:hAnsi="Georgia" w:cs="Times New Roman"/>
          <w:sz w:val="24"/>
          <w:szCs w:val="24"/>
        </w:rPr>
      </w:pPr>
      <w:r w:rsidRPr="0049594B">
        <w:rPr>
          <w:rFonts w:ascii="Georgia" w:eastAsia="Constantia" w:hAnsi="Georgia" w:cs="Times New Roman"/>
          <w:sz w:val="24"/>
          <w:szCs w:val="24"/>
        </w:rPr>
        <w:t xml:space="preserve">A vast number of policies exist with the potential to </w:t>
      </w:r>
      <w:r w:rsidR="00AA4A05" w:rsidRPr="0049594B">
        <w:rPr>
          <w:rFonts w:ascii="Georgia" w:eastAsia="Constantia" w:hAnsi="Georgia" w:cs="Times New Roman"/>
          <w:sz w:val="24"/>
          <w:szCs w:val="24"/>
        </w:rPr>
        <w:t>address</w:t>
      </w:r>
      <w:r w:rsidRPr="0049594B">
        <w:rPr>
          <w:rFonts w:ascii="Georgia" w:eastAsia="Constantia" w:hAnsi="Georgia" w:cs="Times New Roman"/>
          <w:sz w:val="24"/>
          <w:szCs w:val="24"/>
        </w:rPr>
        <w:t xml:space="preserve"> inequality. Not all of them are however feasible or relevant in every context. Given the focus on labour market developments</w:t>
      </w:r>
      <w:r w:rsidR="00A07B89" w:rsidRPr="0049594B">
        <w:rPr>
          <w:rFonts w:ascii="Georgia" w:eastAsia="Constantia" w:hAnsi="Georgia" w:cs="Times New Roman"/>
          <w:sz w:val="24"/>
          <w:szCs w:val="24"/>
        </w:rPr>
        <w:t xml:space="preserve">, </w:t>
      </w:r>
      <w:r w:rsidRPr="0049594B">
        <w:rPr>
          <w:rFonts w:ascii="Georgia" w:eastAsia="Constantia" w:hAnsi="Georgia" w:cs="Times New Roman"/>
          <w:sz w:val="24"/>
          <w:szCs w:val="24"/>
        </w:rPr>
        <w:t>taxes and transfers</w:t>
      </w:r>
      <w:r w:rsidR="00A07B89" w:rsidRPr="0049594B">
        <w:rPr>
          <w:rFonts w:ascii="Georgia" w:eastAsia="Constantia" w:hAnsi="Georgia" w:cs="Times New Roman"/>
          <w:sz w:val="24"/>
          <w:szCs w:val="24"/>
        </w:rPr>
        <w:t>, and gender</w:t>
      </w:r>
      <w:r w:rsidRPr="0049594B">
        <w:rPr>
          <w:rFonts w:ascii="Georgia" w:eastAsia="Constantia" w:hAnsi="Georgia" w:cs="Times New Roman"/>
          <w:sz w:val="24"/>
          <w:szCs w:val="24"/>
        </w:rPr>
        <w:t xml:space="preserve"> in the diagnostic (see Section 1), the policy options concentrate on these as well. In prioritising interventions, policy makers should further consider the current and potential future capacity of the state, the stage of development, and the nature of existing institutions </w:t>
      </w:r>
      <w:sdt>
        <w:sdtPr>
          <w:rPr>
            <w:rFonts w:ascii="Georgia" w:eastAsia="Constantia" w:hAnsi="Georgia" w:cs="Times New Roman"/>
            <w:color w:val="000000"/>
            <w:sz w:val="24"/>
            <w:szCs w:val="24"/>
          </w:rPr>
          <w:tag w:val="MENDELEY_CITATION_v3_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"/>
          <w:id w:val="-2081276755"/>
          <w:placeholder>
            <w:docPart w:val="0267CB0B13DA460EBBF6BB12A903267D"/>
          </w:placeholder>
        </w:sdtPr>
        <w:sdtContent>
          <w:r w:rsidRPr="0049594B">
            <w:rPr>
              <w:rFonts w:ascii="Georgia" w:eastAsia="Constantia" w:hAnsi="Georgia" w:cs="Times New Roman"/>
              <w:color w:val="000000"/>
              <w:sz w:val="24"/>
              <w:szCs w:val="24"/>
            </w:rPr>
            <w:t>(UNRISD 2010; Klasen et al. 2016; ILO 2017)</w:t>
          </w:r>
        </w:sdtContent>
      </w:sdt>
      <w:r w:rsidRPr="0049594B">
        <w:rPr>
          <w:rFonts w:ascii="Georgia" w:eastAsia="Constantia" w:hAnsi="Georgia" w:cs="Times New Roman"/>
          <w:sz w:val="24"/>
          <w:szCs w:val="24"/>
        </w:rPr>
        <w:t xml:space="preserve"> which collectively determine the policy environment.</w:t>
      </w:r>
      <w:r w:rsidR="00920801" w:rsidRPr="0049594B">
        <w:rPr>
          <w:rFonts w:ascii="Georgia" w:eastAsia="Constantia" w:hAnsi="Georgia" w:cs="Times New Roman"/>
          <w:sz w:val="24"/>
          <w:szCs w:val="24"/>
        </w:rPr>
        <w:t xml:space="preserve"> </w:t>
      </w:r>
      <w:r w:rsidR="005C3D6D" w:rsidRPr="0049594B">
        <w:rPr>
          <w:rFonts w:ascii="Georgia" w:eastAsia="Constantia" w:hAnsi="Georgia" w:cs="Times New Roman"/>
          <w:sz w:val="24"/>
          <w:szCs w:val="24"/>
        </w:rPr>
        <w:t>Several policy options discussed her</w:t>
      </w:r>
      <w:r w:rsidR="00CC6825" w:rsidRPr="0049594B">
        <w:rPr>
          <w:rFonts w:ascii="Georgia" w:eastAsia="Constantia" w:hAnsi="Georgia" w:cs="Times New Roman"/>
          <w:sz w:val="24"/>
          <w:szCs w:val="24"/>
        </w:rPr>
        <w:t>e</w:t>
      </w:r>
      <w:r w:rsidR="005C3D6D" w:rsidRPr="0049594B">
        <w:rPr>
          <w:rFonts w:ascii="Georgia" w:eastAsia="Constantia" w:hAnsi="Georgia" w:cs="Times New Roman"/>
          <w:sz w:val="24"/>
          <w:szCs w:val="24"/>
        </w:rPr>
        <w:t xml:space="preserve"> are in line with current </w:t>
      </w:r>
      <w:r w:rsidR="0083008A" w:rsidRPr="0049594B">
        <w:rPr>
          <w:rFonts w:ascii="Georgia" w:eastAsia="Constantia" w:hAnsi="Georgia" w:cs="Times New Roman"/>
          <w:sz w:val="24"/>
          <w:szCs w:val="24"/>
        </w:rPr>
        <w:t>government policies.</w:t>
      </w:r>
    </w:p>
    <w:p w14:paraId="3E29FA49" w14:textId="77777777" w:rsidR="00CE4A4C" w:rsidRPr="0049594B" w:rsidRDefault="00CE4A4C" w:rsidP="00CE4A4C">
      <w:pPr>
        <w:pStyle w:val="Heading2"/>
        <w:numPr>
          <w:ilvl w:val="1"/>
          <w:numId w:val="1"/>
        </w:numPr>
        <w:spacing w:before="0" w:after="120" w:line="240" w:lineRule="auto"/>
        <w:ind w:left="567" w:hanging="567"/>
        <w:rPr>
          <w:rFonts w:ascii="Georgia" w:hAnsi="Georgia" w:cs="Times New Roman"/>
          <w:color w:val="auto"/>
          <w:sz w:val="24"/>
          <w:szCs w:val="24"/>
          <w:shd w:val="clear" w:color="auto" w:fill="FFFFFF"/>
        </w:rPr>
      </w:pPr>
      <w:bookmarkStart w:id="88" w:name="_Toc145928789"/>
      <w:r w:rsidRPr="0049594B">
        <w:rPr>
          <w:rFonts w:ascii="Georgia" w:hAnsi="Georgia" w:cs="Times New Roman"/>
          <w:color w:val="auto"/>
          <w:sz w:val="24"/>
          <w:szCs w:val="24"/>
          <w:shd w:val="clear" w:color="auto" w:fill="FFFFFF"/>
        </w:rPr>
        <w:t>Labour market policies</w:t>
      </w:r>
      <w:bookmarkEnd w:id="88"/>
    </w:p>
    <w:p w14:paraId="7CFDD548" w14:textId="17DEF884" w:rsidR="00827B63" w:rsidRPr="0049594B" w:rsidRDefault="00827B63" w:rsidP="00827B63">
      <w:pPr>
        <w:spacing w:after="120" w:line="240" w:lineRule="auto"/>
        <w:jc w:val="both"/>
        <w:rPr>
          <w:rFonts w:ascii="Georgia" w:eastAsia="Constantia" w:hAnsi="Georgia" w:cs="Times New Roman"/>
          <w:sz w:val="24"/>
          <w:szCs w:val="24"/>
        </w:rPr>
      </w:pPr>
      <w:r w:rsidRPr="0049594B">
        <w:rPr>
          <w:rFonts w:ascii="Georgia" w:eastAsia="Constantia" w:hAnsi="Georgia" w:cs="Times New Roman"/>
          <w:i/>
          <w:iCs/>
          <w:sz w:val="24"/>
          <w:szCs w:val="24"/>
        </w:rPr>
        <w:t>Increasing female labour force participation</w:t>
      </w:r>
      <w:r w:rsidRPr="0049594B">
        <w:rPr>
          <w:rFonts w:ascii="Georgia" w:eastAsia="Constantia" w:hAnsi="Georgia" w:cs="Times New Roman"/>
          <w:sz w:val="24"/>
          <w:szCs w:val="24"/>
        </w:rPr>
        <w:t>: There is a clear need for policies to narrow the large gender gap in labour force participation</w:t>
      </w:r>
      <w:r w:rsidR="00800635" w:rsidRPr="0049594B">
        <w:rPr>
          <w:rFonts w:ascii="Georgia" w:eastAsia="Constantia" w:hAnsi="Georgia" w:cs="Times New Roman"/>
          <w:sz w:val="24"/>
          <w:szCs w:val="24"/>
        </w:rPr>
        <w:t xml:space="preserve"> (which increased again during the COVID-19 pandemic)</w:t>
      </w:r>
      <w:r w:rsidR="00C96130" w:rsidRPr="0049594B">
        <w:rPr>
          <w:rFonts w:ascii="Georgia" w:eastAsia="Constantia" w:hAnsi="Georgia" w:cs="Times New Roman"/>
          <w:sz w:val="24"/>
          <w:szCs w:val="24"/>
        </w:rPr>
        <w:t xml:space="preserve">, </w:t>
      </w:r>
      <w:r w:rsidRPr="0049594B">
        <w:rPr>
          <w:rFonts w:ascii="Georgia" w:eastAsia="Constantia" w:hAnsi="Georgia" w:cs="Times New Roman"/>
          <w:sz w:val="24"/>
          <w:szCs w:val="24"/>
        </w:rPr>
        <w:t>by stimulating the participation of women in economic activities.</w:t>
      </w:r>
      <w:r w:rsidR="003E24B3" w:rsidRPr="0049594B">
        <w:rPr>
          <w:rFonts w:ascii="Georgia" w:eastAsia="Constantia" w:hAnsi="Georgia" w:cs="Times New Roman"/>
          <w:sz w:val="24"/>
          <w:szCs w:val="24"/>
        </w:rPr>
        <w:t xml:space="preserve"> </w:t>
      </w:r>
      <w:r w:rsidRPr="0049594B">
        <w:rPr>
          <w:rFonts w:ascii="Georgia" w:eastAsia="Constantia" w:hAnsi="Georgia" w:cs="Times New Roman"/>
          <w:sz w:val="24"/>
          <w:szCs w:val="24"/>
        </w:rPr>
        <w:t xml:space="preserve">The employability of women could be enhanced by making changes in the curricula of schools and providing training and childcare facilities. </w:t>
      </w:r>
    </w:p>
    <w:p w14:paraId="5C2B1D34" w14:textId="1C554EEC" w:rsidR="00D25E1D" w:rsidRPr="0049594B" w:rsidRDefault="005F3F61" w:rsidP="00827B63">
      <w:pPr>
        <w:spacing w:after="120" w:line="240" w:lineRule="auto"/>
        <w:jc w:val="both"/>
        <w:rPr>
          <w:rFonts w:ascii="Georgia" w:eastAsia="Constantia" w:hAnsi="Georgia" w:cs="Times New Roman"/>
          <w:i/>
          <w:iCs/>
          <w:sz w:val="24"/>
          <w:szCs w:val="24"/>
        </w:rPr>
      </w:pPr>
      <w:r w:rsidRPr="0049594B">
        <w:rPr>
          <w:rFonts w:ascii="Georgia" w:eastAsia="Constantia" w:hAnsi="Georgia" w:cs="Times New Roman"/>
          <w:i/>
          <w:iCs/>
          <w:sz w:val="24"/>
          <w:szCs w:val="24"/>
        </w:rPr>
        <w:t>Increasing labour demand, particularly in rural areas</w:t>
      </w:r>
      <w:r w:rsidR="001672E0" w:rsidRPr="0049594B">
        <w:rPr>
          <w:rFonts w:ascii="Georgia" w:eastAsia="Constantia" w:hAnsi="Georgia" w:cs="Times New Roman"/>
          <w:i/>
          <w:iCs/>
          <w:sz w:val="24"/>
          <w:szCs w:val="24"/>
        </w:rPr>
        <w:t xml:space="preserve"> and non-agricultural sectors</w:t>
      </w:r>
      <w:r w:rsidRPr="0049594B">
        <w:rPr>
          <w:rFonts w:ascii="Georgia" w:eastAsia="Constantia" w:hAnsi="Georgia" w:cs="Times New Roman"/>
          <w:sz w:val="24"/>
          <w:szCs w:val="24"/>
        </w:rPr>
        <w:t>: Policies are needed to stimulate the demand for labour</w:t>
      </w:r>
      <w:r w:rsidR="001672E0" w:rsidRPr="0049594B">
        <w:rPr>
          <w:rFonts w:ascii="Georgia" w:eastAsia="Constantia" w:hAnsi="Georgia" w:cs="Times New Roman"/>
          <w:sz w:val="24"/>
          <w:szCs w:val="24"/>
        </w:rPr>
        <w:t xml:space="preserve"> in non-agricultural sectors</w:t>
      </w:r>
      <w:r w:rsidRPr="0049594B">
        <w:rPr>
          <w:rFonts w:ascii="Georgia" w:eastAsia="Constantia" w:hAnsi="Georgia" w:cs="Times New Roman"/>
          <w:sz w:val="24"/>
          <w:szCs w:val="24"/>
        </w:rPr>
        <w:t>, particularly in rural areas</w:t>
      </w:r>
      <w:r w:rsidR="001E24F4" w:rsidRPr="0049594B">
        <w:rPr>
          <w:rFonts w:ascii="Georgia" w:eastAsia="Constantia" w:hAnsi="Georgia" w:cs="Times New Roman"/>
          <w:sz w:val="24"/>
          <w:szCs w:val="24"/>
        </w:rPr>
        <w:t xml:space="preserve">. </w:t>
      </w:r>
      <w:r w:rsidR="00907B8B" w:rsidRPr="0049594B">
        <w:rPr>
          <w:rFonts w:ascii="Georgia" w:eastAsia="Constantia" w:hAnsi="Georgia" w:cs="Times New Roman"/>
          <w:sz w:val="24"/>
          <w:szCs w:val="24"/>
        </w:rPr>
        <w:t xml:space="preserve">Such policies are needed </w:t>
      </w:r>
      <w:r w:rsidRPr="0049594B">
        <w:rPr>
          <w:rFonts w:ascii="Georgia" w:eastAsia="Constantia" w:hAnsi="Georgia" w:cs="Times New Roman"/>
          <w:sz w:val="24"/>
          <w:szCs w:val="24"/>
        </w:rPr>
        <w:t xml:space="preserve">to address the large urban-rural income inequalities and more limited opportunities in rural areas than in the cities to be engaged in </w:t>
      </w:r>
      <w:r w:rsidR="00C20919" w:rsidRPr="0049594B">
        <w:rPr>
          <w:rFonts w:ascii="Georgia" w:eastAsia="Constantia" w:hAnsi="Georgia" w:cs="Times New Roman"/>
          <w:sz w:val="24"/>
          <w:szCs w:val="24"/>
        </w:rPr>
        <w:t xml:space="preserve">more productive, </w:t>
      </w:r>
      <w:r w:rsidRPr="0049594B">
        <w:rPr>
          <w:rFonts w:ascii="Georgia" w:eastAsia="Constantia" w:hAnsi="Georgia" w:cs="Times New Roman"/>
          <w:sz w:val="24"/>
          <w:szCs w:val="24"/>
        </w:rPr>
        <w:t>higher-quality and higher-remunerated employment</w:t>
      </w:r>
      <w:r w:rsidR="00A456C4" w:rsidRPr="0049594B">
        <w:rPr>
          <w:rFonts w:ascii="Georgia" w:eastAsia="Constantia" w:hAnsi="Georgia" w:cs="Times New Roman"/>
          <w:sz w:val="24"/>
          <w:szCs w:val="24"/>
        </w:rPr>
        <w:t xml:space="preserve"> – issues that </w:t>
      </w:r>
      <w:r w:rsidRPr="0049594B">
        <w:rPr>
          <w:rFonts w:ascii="Georgia" w:eastAsia="Constantia" w:hAnsi="Georgia" w:cs="Times New Roman"/>
          <w:sz w:val="24"/>
          <w:szCs w:val="24"/>
        </w:rPr>
        <w:t xml:space="preserve">were referred to in earlier sections of this diagnostic. One way to do this could be to step up public investment in (especially poorer) rural areas. At the same time, as discussed in Section 1, there is need for </w:t>
      </w:r>
      <w:r w:rsidR="00B31072" w:rsidRPr="0049594B">
        <w:rPr>
          <w:rFonts w:ascii="Georgia" w:eastAsia="Constantia" w:hAnsi="Georgia" w:cs="Times New Roman"/>
          <w:sz w:val="24"/>
          <w:szCs w:val="24"/>
        </w:rPr>
        <w:t>generating higher-quality jobs for low- and medium-skilled workers</w:t>
      </w:r>
      <w:r w:rsidR="008508B2" w:rsidRPr="0049594B">
        <w:rPr>
          <w:rFonts w:ascii="Georgia" w:eastAsia="Constantia" w:hAnsi="Georgia" w:cs="Times New Roman"/>
          <w:sz w:val="24"/>
          <w:szCs w:val="24"/>
        </w:rPr>
        <w:t>. That</w:t>
      </w:r>
      <w:r w:rsidR="00FC164D" w:rsidRPr="0049594B">
        <w:rPr>
          <w:rFonts w:ascii="Georgia" w:eastAsia="Constantia" w:hAnsi="Georgia" w:cs="Times New Roman"/>
          <w:sz w:val="24"/>
          <w:szCs w:val="24"/>
        </w:rPr>
        <w:t xml:space="preserve"> will require stimulation of the demand for labour in manufacturing (or industry in general)</w:t>
      </w:r>
      <w:r w:rsidR="00D50E7D" w:rsidRPr="0049594B">
        <w:rPr>
          <w:rFonts w:ascii="Georgia" w:eastAsia="Constantia" w:hAnsi="Georgia" w:cs="Times New Roman"/>
          <w:sz w:val="24"/>
          <w:szCs w:val="24"/>
        </w:rPr>
        <w:t xml:space="preserve"> through a </w:t>
      </w:r>
      <w:r w:rsidRPr="0049594B">
        <w:rPr>
          <w:rFonts w:ascii="Georgia" w:eastAsia="Constantia" w:hAnsi="Georgia" w:cs="Times New Roman"/>
          <w:sz w:val="24"/>
          <w:szCs w:val="24"/>
        </w:rPr>
        <w:t>diversification of the economy</w:t>
      </w:r>
      <w:r w:rsidR="00D50E7D" w:rsidRPr="0049594B">
        <w:rPr>
          <w:rFonts w:ascii="Georgia" w:eastAsia="Constantia" w:hAnsi="Georgia" w:cs="Times New Roman"/>
          <w:sz w:val="24"/>
          <w:szCs w:val="24"/>
        </w:rPr>
        <w:t>. E</w:t>
      </w:r>
      <w:r w:rsidRPr="0049594B">
        <w:rPr>
          <w:rFonts w:ascii="Georgia" w:eastAsia="Constantia" w:hAnsi="Georgia" w:cs="Times New Roman"/>
          <w:sz w:val="24"/>
          <w:szCs w:val="24"/>
        </w:rPr>
        <w:t>fforts to boost exports could help to realise the desired structural change in the economy and the labour market</w:t>
      </w:r>
      <w:r w:rsidR="008508B2" w:rsidRPr="0049594B">
        <w:rPr>
          <w:rFonts w:ascii="Georgia" w:eastAsia="Constantia" w:hAnsi="Georgia" w:cs="Times New Roman"/>
          <w:sz w:val="24"/>
          <w:szCs w:val="24"/>
        </w:rPr>
        <w:t>. However, such efforts</w:t>
      </w:r>
      <w:r w:rsidR="00E11B5C" w:rsidRPr="0049594B">
        <w:rPr>
          <w:rFonts w:ascii="Georgia" w:eastAsia="Constantia" w:hAnsi="Georgia" w:cs="Times New Roman"/>
          <w:sz w:val="24"/>
          <w:szCs w:val="24"/>
        </w:rPr>
        <w:t xml:space="preserve"> should avoid any </w:t>
      </w:r>
      <w:r w:rsidR="005300A0" w:rsidRPr="0049594B">
        <w:rPr>
          <w:rFonts w:ascii="Georgia" w:eastAsia="Constantia" w:hAnsi="Georgia" w:cs="Times New Roman"/>
          <w:sz w:val="24"/>
          <w:szCs w:val="24"/>
        </w:rPr>
        <w:t xml:space="preserve">adverse distributional </w:t>
      </w:r>
      <w:r w:rsidR="00E11B5C" w:rsidRPr="0049594B">
        <w:rPr>
          <w:rFonts w:ascii="Georgia" w:eastAsia="Constantia" w:hAnsi="Georgia" w:cs="Times New Roman"/>
          <w:sz w:val="24"/>
          <w:szCs w:val="24"/>
        </w:rPr>
        <w:t>effects</w:t>
      </w:r>
      <w:r w:rsidR="005300A0" w:rsidRPr="0049594B">
        <w:rPr>
          <w:rFonts w:ascii="Georgia" w:eastAsia="Constantia" w:hAnsi="Georgia" w:cs="Times New Roman"/>
          <w:sz w:val="24"/>
          <w:szCs w:val="24"/>
        </w:rPr>
        <w:t xml:space="preserve"> of international trade.</w:t>
      </w:r>
    </w:p>
    <w:p w14:paraId="413AF884" w14:textId="465A89E5" w:rsidR="00E82536" w:rsidRPr="0049594B" w:rsidRDefault="00D25E1D" w:rsidP="00E82536">
      <w:pPr>
        <w:spacing w:after="120" w:line="240" w:lineRule="auto"/>
        <w:jc w:val="both"/>
        <w:rPr>
          <w:rFonts w:ascii="Georgia" w:eastAsia="Constantia" w:hAnsi="Georgia" w:cs="Times New Roman"/>
          <w:sz w:val="24"/>
          <w:szCs w:val="24"/>
        </w:rPr>
      </w:pPr>
      <w:r w:rsidRPr="0049594B">
        <w:rPr>
          <w:rFonts w:ascii="Georgia" w:eastAsia="Constantia" w:hAnsi="Georgia" w:cs="Times New Roman"/>
          <w:i/>
          <w:iCs/>
          <w:sz w:val="24"/>
          <w:szCs w:val="24"/>
        </w:rPr>
        <w:t>Address informality and vulnerable work</w:t>
      </w:r>
      <w:r w:rsidR="00E82536" w:rsidRPr="0049594B">
        <w:rPr>
          <w:rFonts w:ascii="Georgia" w:eastAsia="Constantia" w:hAnsi="Georgia" w:cs="Times New Roman"/>
          <w:sz w:val="24"/>
          <w:szCs w:val="24"/>
        </w:rPr>
        <w:t>: As indicated in Section 1, people engaged in informal and/or vulnerable work usually earn less than their counterparts in formal (wage) employment. Hence, a process of formalisation of employment can contribute to reducing both labour income inequality and overall income inequality. It is therefore suggested to make more efforts to formalise employment</w:t>
      </w:r>
      <w:r w:rsidR="009C4C83" w:rsidRPr="0049594B">
        <w:rPr>
          <w:rFonts w:ascii="Georgia" w:eastAsia="Constantia" w:hAnsi="Georgia" w:cs="Times New Roman"/>
          <w:sz w:val="24"/>
          <w:szCs w:val="24"/>
        </w:rPr>
        <w:t xml:space="preserve">. </w:t>
      </w:r>
      <w:r w:rsidR="00EC1074" w:rsidRPr="0049594B">
        <w:rPr>
          <w:rFonts w:ascii="Georgia" w:eastAsia="Constantia" w:hAnsi="Georgia" w:cs="Times New Roman"/>
          <w:sz w:val="24"/>
          <w:szCs w:val="24"/>
        </w:rPr>
        <w:t xml:space="preserve">At the same time, the </w:t>
      </w:r>
      <w:r w:rsidR="00AB673E" w:rsidRPr="0049594B">
        <w:rPr>
          <w:rFonts w:ascii="Georgia" w:eastAsia="Constantia" w:hAnsi="Georgia" w:cs="Times New Roman"/>
          <w:sz w:val="24"/>
          <w:szCs w:val="24"/>
        </w:rPr>
        <w:t xml:space="preserve">very high </w:t>
      </w:r>
      <w:r w:rsidR="0014362C" w:rsidRPr="0049594B">
        <w:rPr>
          <w:rFonts w:ascii="Georgia" w:eastAsia="Constantia" w:hAnsi="Georgia" w:cs="Times New Roman"/>
          <w:sz w:val="24"/>
          <w:szCs w:val="24"/>
        </w:rPr>
        <w:t xml:space="preserve">proportion of informal employment </w:t>
      </w:r>
      <w:r w:rsidR="00AB673E" w:rsidRPr="0049594B">
        <w:rPr>
          <w:rFonts w:ascii="Georgia" w:eastAsia="Constantia" w:hAnsi="Georgia" w:cs="Times New Roman"/>
          <w:sz w:val="24"/>
          <w:szCs w:val="24"/>
        </w:rPr>
        <w:t xml:space="preserve">makes it </w:t>
      </w:r>
      <w:r w:rsidR="007A5704" w:rsidRPr="0049594B">
        <w:rPr>
          <w:rFonts w:ascii="Georgia" w:eastAsia="Constantia" w:hAnsi="Georgia" w:cs="Times New Roman"/>
          <w:sz w:val="24"/>
          <w:szCs w:val="24"/>
        </w:rPr>
        <w:t xml:space="preserve">also necessary to </w:t>
      </w:r>
      <w:r w:rsidR="00E173BF" w:rsidRPr="0049594B">
        <w:rPr>
          <w:rFonts w:ascii="Georgia" w:eastAsia="Constantia" w:hAnsi="Georgia" w:cs="Times New Roman"/>
          <w:sz w:val="24"/>
          <w:szCs w:val="24"/>
        </w:rPr>
        <w:t xml:space="preserve">try to </w:t>
      </w:r>
      <w:r w:rsidR="007A5704" w:rsidRPr="0049594B">
        <w:rPr>
          <w:rFonts w:ascii="Georgia" w:eastAsia="Constantia" w:hAnsi="Georgia" w:cs="Times New Roman"/>
          <w:sz w:val="24"/>
          <w:szCs w:val="24"/>
        </w:rPr>
        <w:t>increas</w:t>
      </w:r>
      <w:r w:rsidR="005D5EB1" w:rsidRPr="0049594B">
        <w:rPr>
          <w:rFonts w:ascii="Georgia" w:eastAsia="Constantia" w:hAnsi="Georgia" w:cs="Times New Roman"/>
          <w:sz w:val="24"/>
          <w:szCs w:val="24"/>
        </w:rPr>
        <w:t>e</w:t>
      </w:r>
      <w:r w:rsidR="007A5704" w:rsidRPr="0049594B">
        <w:rPr>
          <w:rFonts w:ascii="Georgia" w:eastAsia="Constantia" w:hAnsi="Georgia" w:cs="Times New Roman"/>
          <w:sz w:val="24"/>
          <w:szCs w:val="24"/>
        </w:rPr>
        <w:t xml:space="preserve"> the non-formal workers’ income</w:t>
      </w:r>
      <w:r w:rsidR="0046526D" w:rsidRPr="0049594B">
        <w:rPr>
          <w:rFonts w:ascii="Georgia" w:eastAsia="Constantia" w:hAnsi="Georgia" w:cs="Times New Roman"/>
          <w:sz w:val="24"/>
          <w:szCs w:val="24"/>
        </w:rPr>
        <w:t xml:space="preserve">, </w:t>
      </w:r>
      <w:r w:rsidR="00E173BF" w:rsidRPr="0049594B">
        <w:rPr>
          <w:rFonts w:ascii="Georgia" w:eastAsia="Constantia" w:hAnsi="Georgia" w:cs="Times New Roman"/>
          <w:sz w:val="24"/>
          <w:szCs w:val="24"/>
        </w:rPr>
        <w:t xml:space="preserve">which </w:t>
      </w:r>
      <w:r w:rsidR="0046526D" w:rsidRPr="0049594B">
        <w:rPr>
          <w:rFonts w:ascii="Georgia" w:eastAsia="Constantia" w:hAnsi="Georgia" w:cs="Times New Roman"/>
          <w:sz w:val="24"/>
          <w:szCs w:val="24"/>
        </w:rPr>
        <w:t xml:space="preserve">in line with </w:t>
      </w:r>
      <w:r w:rsidR="005D5EB1" w:rsidRPr="0049594B">
        <w:rPr>
          <w:rFonts w:ascii="Georgia" w:eastAsia="Constantia" w:hAnsi="Georgia" w:cs="Times New Roman"/>
          <w:sz w:val="24"/>
          <w:szCs w:val="24"/>
        </w:rPr>
        <w:t>current government policies</w:t>
      </w:r>
      <w:r w:rsidR="00E82536" w:rsidRPr="0049594B">
        <w:rPr>
          <w:rFonts w:ascii="Georgia" w:eastAsia="Constantia" w:hAnsi="Georgia" w:cs="Times New Roman"/>
          <w:sz w:val="24"/>
          <w:szCs w:val="24"/>
        </w:rPr>
        <w:t>. Providing training to improve skills of informal/vulnerable workers can also help to increase their earnings and reduce the gap with the earning of people in formal employment.</w:t>
      </w:r>
      <w:r w:rsidR="00815197" w:rsidRPr="0049594B">
        <w:rPr>
          <w:rFonts w:ascii="Georgia" w:eastAsia="Constantia" w:hAnsi="Georgia" w:cs="Times New Roman"/>
          <w:sz w:val="24"/>
          <w:szCs w:val="24"/>
        </w:rPr>
        <w:t xml:space="preserve"> Training may also help people to find alternative </w:t>
      </w:r>
      <w:r w:rsidR="00525EB6" w:rsidRPr="0049594B">
        <w:rPr>
          <w:rFonts w:ascii="Georgia" w:eastAsia="Constantia" w:hAnsi="Georgia" w:cs="Times New Roman"/>
          <w:sz w:val="24"/>
          <w:szCs w:val="24"/>
        </w:rPr>
        <w:t xml:space="preserve">and better-remunerated </w:t>
      </w:r>
      <w:r w:rsidR="00AC0900" w:rsidRPr="0049594B">
        <w:rPr>
          <w:rFonts w:ascii="Georgia" w:eastAsia="Constantia" w:hAnsi="Georgia" w:cs="Times New Roman"/>
          <w:sz w:val="24"/>
          <w:szCs w:val="24"/>
        </w:rPr>
        <w:t xml:space="preserve">formal </w:t>
      </w:r>
      <w:r w:rsidR="00815197" w:rsidRPr="0049594B">
        <w:rPr>
          <w:rFonts w:ascii="Georgia" w:eastAsia="Constantia" w:hAnsi="Georgia" w:cs="Times New Roman"/>
          <w:sz w:val="24"/>
          <w:szCs w:val="24"/>
        </w:rPr>
        <w:t>employment</w:t>
      </w:r>
      <w:r w:rsidR="00AC0900" w:rsidRPr="0049594B">
        <w:rPr>
          <w:rFonts w:ascii="Georgia" w:eastAsia="Constantia" w:hAnsi="Georgia" w:cs="Times New Roman"/>
          <w:sz w:val="24"/>
          <w:szCs w:val="24"/>
        </w:rPr>
        <w:t>.</w:t>
      </w:r>
      <w:r w:rsidR="003E24B3" w:rsidRPr="0049594B">
        <w:rPr>
          <w:rFonts w:ascii="Georgia" w:eastAsia="Constantia" w:hAnsi="Georgia" w:cs="Times New Roman"/>
          <w:sz w:val="24"/>
          <w:szCs w:val="24"/>
        </w:rPr>
        <w:t xml:space="preserve"> </w:t>
      </w:r>
    </w:p>
    <w:p w14:paraId="60BFC27A" w14:textId="699E6955" w:rsidR="00462DE2" w:rsidRPr="0049594B" w:rsidRDefault="009D3358" w:rsidP="00462DE2">
      <w:pPr>
        <w:spacing w:after="120" w:line="240" w:lineRule="auto"/>
        <w:jc w:val="both"/>
        <w:rPr>
          <w:rFonts w:ascii="Georgia" w:eastAsia="Constantia" w:hAnsi="Georgia" w:cs="Times New Roman"/>
          <w:i/>
          <w:iCs/>
          <w:sz w:val="24"/>
          <w:szCs w:val="24"/>
        </w:rPr>
      </w:pPr>
      <w:r w:rsidRPr="0049594B">
        <w:rPr>
          <w:rFonts w:ascii="Georgia" w:eastAsia="Constantia" w:hAnsi="Georgia" w:cs="Times New Roman"/>
          <w:i/>
          <w:iCs/>
          <w:sz w:val="24"/>
          <w:szCs w:val="24"/>
        </w:rPr>
        <w:t>Increasing labour productivity</w:t>
      </w:r>
      <w:r w:rsidRPr="0049594B">
        <w:rPr>
          <w:rFonts w:ascii="Georgia" w:eastAsia="Constantia" w:hAnsi="Georgia" w:cs="Times New Roman"/>
          <w:sz w:val="24"/>
          <w:szCs w:val="24"/>
        </w:rPr>
        <w:t xml:space="preserve">. Efforts to increase labour productivity </w:t>
      </w:r>
      <w:r w:rsidR="00725440" w:rsidRPr="0049594B">
        <w:rPr>
          <w:rFonts w:ascii="Georgia" w:eastAsia="Constantia" w:hAnsi="Georgia" w:cs="Times New Roman"/>
          <w:sz w:val="24"/>
          <w:szCs w:val="24"/>
        </w:rPr>
        <w:t>in b</w:t>
      </w:r>
      <w:r w:rsidR="00462DE2" w:rsidRPr="0049594B">
        <w:rPr>
          <w:rFonts w:ascii="Georgia" w:eastAsia="Constantia" w:hAnsi="Georgia" w:cs="Times New Roman"/>
          <w:sz w:val="24"/>
          <w:szCs w:val="24"/>
        </w:rPr>
        <w:t xml:space="preserve">oth agricultural and non-agricultural employment </w:t>
      </w:r>
      <w:r w:rsidRPr="0049594B">
        <w:rPr>
          <w:rFonts w:ascii="Georgia" w:eastAsia="Constantia" w:hAnsi="Georgia" w:cs="Times New Roman"/>
          <w:sz w:val="24"/>
          <w:szCs w:val="24"/>
        </w:rPr>
        <w:t xml:space="preserve">can involve improving the access to education and the provision of training to improve the skills of workers. Improving the access to </w:t>
      </w:r>
      <w:r w:rsidR="0026294A" w:rsidRPr="0049594B">
        <w:rPr>
          <w:rFonts w:ascii="Georgia" w:eastAsia="Constantia" w:hAnsi="Georgia" w:cs="Times New Roman"/>
          <w:sz w:val="24"/>
          <w:szCs w:val="24"/>
        </w:rPr>
        <w:t xml:space="preserve">good quality </w:t>
      </w:r>
      <w:r w:rsidRPr="0049594B">
        <w:rPr>
          <w:rFonts w:ascii="Georgia" w:eastAsia="Constantia" w:hAnsi="Georgia" w:cs="Times New Roman"/>
          <w:sz w:val="24"/>
          <w:szCs w:val="24"/>
        </w:rPr>
        <w:t>education is one of the policy priorities of the current Government (see Section 2).</w:t>
      </w:r>
      <w:r w:rsidR="000D4A6C" w:rsidRPr="0049594B">
        <w:rPr>
          <w:rFonts w:ascii="Georgia" w:eastAsia="Constantia" w:hAnsi="Georgia" w:cs="Times New Roman"/>
          <w:sz w:val="24"/>
          <w:szCs w:val="24"/>
        </w:rPr>
        <w:t xml:space="preserve"> </w:t>
      </w:r>
      <w:r w:rsidR="00516669" w:rsidRPr="0049594B">
        <w:rPr>
          <w:rFonts w:ascii="Georgia" w:eastAsia="Constantia" w:hAnsi="Georgia" w:cs="Times New Roman"/>
          <w:sz w:val="24"/>
          <w:szCs w:val="24"/>
        </w:rPr>
        <w:t xml:space="preserve">Investments </w:t>
      </w:r>
      <w:r w:rsidR="00AA3967" w:rsidRPr="0049594B">
        <w:rPr>
          <w:rFonts w:ascii="Georgia" w:eastAsia="Constantia" w:hAnsi="Georgia" w:cs="Times New Roman"/>
          <w:sz w:val="24"/>
          <w:szCs w:val="24"/>
        </w:rPr>
        <w:t xml:space="preserve">in infrastructure </w:t>
      </w:r>
      <w:r w:rsidR="00516669" w:rsidRPr="0049594B">
        <w:rPr>
          <w:rFonts w:ascii="Georgia" w:eastAsia="Constantia" w:hAnsi="Georgia" w:cs="Times New Roman"/>
          <w:sz w:val="24"/>
          <w:szCs w:val="24"/>
        </w:rPr>
        <w:t xml:space="preserve">can also </w:t>
      </w:r>
      <w:r w:rsidR="00AA3967" w:rsidRPr="0049594B">
        <w:rPr>
          <w:rFonts w:ascii="Georgia" w:eastAsia="Constantia" w:hAnsi="Georgia" w:cs="Times New Roman"/>
          <w:sz w:val="24"/>
          <w:szCs w:val="24"/>
        </w:rPr>
        <w:t>contribute to raising labour productivity.</w:t>
      </w:r>
      <w:r w:rsidR="00462DE2" w:rsidRPr="0049594B">
        <w:rPr>
          <w:rFonts w:ascii="Georgia" w:eastAsia="Constantia" w:hAnsi="Georgia" w:cs="Times New Roman"/>
          <w:i/>
          <w:iCs/>
          <w:sz w:val="24"/>
          <w:szCs w:val="24"/>
        </w:rPr>
        <w:t xml:space="preserve"> </w:t>
      </w:r>
    </w:p>
    <w:p w14:paraId="1A8F128D" w14:textId="05CFEB35" w:rsidR="00462DE2" w:rsidRPr="0049594B" w:rsidRDefault="00462DE2" w:rsidP="00462DE2">
      <w:pPr>
        <w:spacing w:after="120" w:line="240" w:lineRule="auto"/>
        <w:jc w:val="both"/>
        <w:rPr>
          <w:rFonts w:ascii="Georgia" w:eastAsia="Constantia" w:hAnsi="Georgia" w:cs="Times New Roman"/>
          <w:sz w:val="24"/>
          <w:szCs w:val="24"/>
        </w:rPr>
      </w:pPr>
      <w:r w:rsidRPr="0049594B">
        <w:rPr>
          <w:rFonts w:ascii="Georgia" w:eastAsia="Constantia" w:hAnsi="Georgia" w:cs="Times New Roman"/>
          <w:i/>
          <w:iCs/>
          <w:sz w:val="24"/>
          <w:szCs w:val="24"/>
        </w:rPr>
        <w:t>Expand education</w:t>
      </w:r>
      <w:r w:rsidRPr="0049594B">
        <w:rPr>
          <w:rFonts w:ascii="Georgia" w:eastAsia="Constantia" w:hAnsi="Georgia" w:cs="Times New Roman"/>
          <w:sz w:val="24"/>
          <w:szCs w:val="24"/>
        </w:rPr>
        <w:t xml:space="preserve">: Expanding the provision of education, increasing educational attainment and improving the employability of </w:t>
      </w:r>
      <w:r w:rsidR="00122F40" w:rsidRPr="0049594B">
        <w:rPr>
          <w:rFonts w:ascii="Georgia" w:eastAsia="Constantia" w:hAnsi="Georgia" w:cs="Times New Roman"/>
          <w:sz w:val="24"/>
          <w:szCs w:val="24"/>
        </w:rPr>
        <w:t xml:space="preserve">(especially female) </w:t>
      </w:r>
      <w:r w:rsidRPr="0049594B">
        <w:rPr>
          <w:rFonts w:ascii="Georgia" w:eastAsia="Constantia" w:hAnsi="Georgia" w:cs="Times New Roman"/>
          <w:sz w:val="24"/>
          <w:szCs w:val="24"/>
        </w:rPr>
        <w:t>graduates can help to reduce both earnings inequality and overall income inequality. An increased supply of higher-educated labour</w:t>
      </w:r>
      <w:r w:rsidR="00D270F9" w:rsidRPr="0049594B">
        <w:rPr>
          <w:rFonts w:ascii="Georgia" w:eastAsia="Constantia" w:hAnsi="Georgia" w:cs="Times New Roman"/>
          <w:sz w:val="24"/>
          <w:szCs w:val="24"/>
        </w:rPr>
        <w:t xml:space="preserve"> (as a more longer-term policy)</w:t>
      </w:r>
      <w:r w:rsidRPr="0049594B">
        <w:rPr>
          <w:rFonts w:ascii="Georgia" w:eastAsia="Constantia" w:hAnsi="Georgia" w:cs="Times New Roman"/>
          <w:sz w:val="24"/>
          <w:szCs w:val="24"/>
        </w:rPr>
        <w:t xml:space="preserve"> can lead to a diminishing of the skill-premium if the demand for labour with higher levels of education does not change at the same pace.</w:t>
      </w:r>
    </w:p>
    <w:p w14:paraId="2948569E" w14:textId="77777777" w:rsidR="00CE4A4C" w:rsidRPr="0049594B" w:rsidRDefault="00CE4A4C" w:rsidP="00CE4A4C">
      <w:pPr>
        <w:pStyle w:val="Heading2"/>
        <w:numPr>
          <w:ilvl w:val="1"/>
          <w:numId w:val="1"/>
        </w:numPr>
        <w:spacing w:before="0" w:after="120" w:line="240" w:lineRule="auto"/>
        <w:ind w:left="567" w:hanging="567"/>
        <w:contextualSpacing/>
        <w:rPr>
          <w:rFonts w:ascii="Georgia" w:hAnsi="Georgia" w:cs="Times New Roman"/>
          <w:color w:val="auto"/>
          <w:sz w:val="24"/>
          <w:szCs w:val="24"/>
          <w:shd w:val="clear" w:color="auto" w:fill="FFFFFF"/>
        </w:rPr>
      </w:pPr>
      <w:bookmarkStart w:id="89" w:name="_Toc145928790"/>
      <w:r w:rsidRPr="0049594B">
        <w:rPr>
          <w:rFonts w:ascii="Georgia" w:hAnsi="Georgia" w:cs="Times New Roman"/>
          <w:color w:val="auto"/>
          <w:sz w:val="24"/>
          <w:szCs w:val="24"/>
          <w:shd w:val="clear" w:color="auto" w:fill="FFFFFF"/>
        </w:rPr>
        <w:t>Policies for taxes and public social expenditure</w:t>
      </w:r>
      <w:bookmarkEnd w:id="89"/>
    </w:p>
    <w:p w14:paraId="6752EB4A" w14:textId="77777777" w:rsidR="00262946" w:rsidRPr="0049594B" w:rsidRDefault="00262946" w:rsidP="00262946">
      <w:pPr>
        <w:spacing w:after="120" w:line="240" w:lineRule="auto"/>
        <w:jc w:val="both"/>
        <w:rPr>
          <w:rFonts w:ascii="Georgia" w:eastAsia="Constantia" w:hAnsi="Georgia" w:cs="Times New Roman"/>
          <w:i/>
          <w:iCs/>
          <w:sz w:val="24"/>
          <w:szCs w:val="24"/>
        </w:rPr>
      </w:pPr>
      <w:r w:rsidRPr="0049594B">
        <w:rPr>
          <w:rFonts w:ascii="Georgia" w:eastAsia="Constantia" w:hAnsi="Georgia" w:cs="Times New Roman"/>
          <w:i/>
          <w:iCs/>
          <w:sz w:val="24"/>
          <w:szCs w:val="24"/>
        </w:rPr>
        <w:t>Tax policies</w:t>
      </w:r>
    </w:p>
    <w:p w14:paraId="19D04858" w14:textId="472370B3" w:rsidR="00EC51E2" w:rsidRPr="0049594B" w:rsidRDefault="00EC51E2" w:rsidP="00262946">
      <w:pPr>
        <w:spacing w:after="120" w:line="240" w:lineRule="auto"/>
        <w:jc w:val="both"/>
        <w:rPr>
          <w:rFonts w:ascii="Georgia" w:eastAsia="Constantia" w:hAnsi="Georgia" w:cs="Times New Roman"/>
          <w:i/>
          <w:iCs/>
          <w:sz w:val="24"/>
          <w:szCs w:val="24"/>
        </w:rPr>
      </w:pPr>
      <w:r w:rsidRPr="0049594B">
        <w:rPr>
          <w:rFonts w:ascii="Georgia" w:hAnsi="Georgia" w:cs="Times New Roman"/>
          <w:sz w:val="24"/>
          <w:szCs w:val="24"/>
        </w:rPr>
        <w:t>World Bank (2020: Box 1.2) explores options for enhancing revenue mobilisation in Kenya. It estimates that 1.5-3.2% of potential CIT revenue and about 5% of potential VAT revenue was forgone in 2015-2017 as a result of exemptions.</w:t>
      </w:r>
      <w:r w:rsidR="00ED7F61" w:rsidRPr="0049594B">
        <w:rPr>
          <w:rFonts w:ascii="Georgia" w:hAnsi="Georgia" w:cs="Times New Roman"/>
          <w:sz w:val="24"/>
          <w:szCs w:val="24"/>
        </w:rPr>
        <w:t xml:space="preserve"> </w:t>
      </w:r>
      <w:r w:rsidRPr="0049594B">
        <w:rPr>
          <w:rFonts w:ascii="Georgia" w:hAnsi="Georgia" w:cs="Times New Roman"/>
          <w:sz w:val="24"/>
          <w:szCs w:val="24"/>
        </w:rPr>
        <w:t>This means that there would be scope to raise revenues in these tax categories. OHRCR (2021: 12) noted, however, that ‘increases in regressive taxes such as Value Added Tax should be avoided at this time of reduced income and job losses, as they are likely to severely affect the poor and most vulnerable.’</w:t>
      </w:r>
      <w:r w:rsidRPr="0049594B">
        <w:rPr>
          <w:rStyle w:val="FootnoteReference"/>
          <w:rFonts w:ascii="Georgia" w:hAnsi="Georgia" w:cs="Times New Roman"/>
          <w:sz w:val="24"/>
          <w:szCs w:val="24"/>
        </w:rPr>
        <w:footnoteReference w:id="52"/>
      </w:r>
      <w:r w:rsidR="004F7C3F" w:rsidRPr="0049594B">
        <w:rPr>
          <w:rFonts w:ascii="Georgia" w:hAnsi="Georgia" w:cs="Times New Roman"/>
          <w:sz w:val="24"/>
          <w:szCs w:val="24"/>
        </w:rPr>
        <w:t xml:space="preserve"> </w:t>
      </w:r>
      <w:r w:rsidR="00570058" w:rsidRPr="0049594B">
        <w:rPr>
          <w:rFonts w:ascii="Georgia" w:hAnsi="Georgia" w:cs="Times New Roman"/>
          <w:sz w:val="24"/>
          <w:szCs w:val="24"/>
        </w:rPr>
        <w:t xml:space="preserve">It is suggested to also </w:t>
      </w:r>
      <w:r w:rsidR="00CB481B" w:rsidRPr="0049594B">
        <w:rPr>
          <w:rFonts w:ascii="Georgia" w:hAnsi="Georgia" w:cs="Times New Roman"/>
          <w:sz w:val="24"/>
          <w:szCs w:val="24"/>
        </w:rPr>
        <w:t>explore possibilities to abolish exemption</w:t>
      </w:r>
      <w:r w:rsidR="00116D60" w:rsidRPr="0049594B">
        <w:rPr>
          <w:rFonts w:ascii="Georgia" w:hAnsi="Georgia" w:cs="Times New Roman"/>
          <w:sz w:val="24"/>
          <w:szCs w:val="24"/>
        </w:rPr>
        <w:t>s</w:t>
      </w:r>
      <w:r w:rsidR="00CB481B" w:rsidRPr="0049594B">
        <w:rPr>
          <w:rFonts w:ascii="Georgia" w:hAnsi="Georgia" w:cs="Times New Roman"/>
          <w:sz w:val="24"/>
          <w:szCs w:val="24"/>
        </w:rPr>
        <w:t xml:space="preserve"> in PIT which are pro rich</w:t>
      </w:r>
      <w:r w:rsidR="00F769B8" w:rsidRPr="0049594B">
        <w:rPr>
          <w:rFonts w:ascii="Georgia" w:hAnsi="Georgia" w:cs="Times New Roman"/>
          <w:sz w:val="24"/>
          <w:szCs w:val="24"/>
        </w:rPr>
        <w:t>.</w:t>
      </w:r>
      <w:r w:rsidR="003E24B3" w:rsidRPr="0049594B">
        <w:rPr>
          <w:rFonts w:ascii="Georgia" w:hAnsi="Georgia" w:cs="Times New Roman"/>
          <w:sz w:val="24"/>
          <w:szCs w:val="24"/>
        </w:rPr>
        <w:t xml:space="preserve"> </w:t>
      </w:r>
      <w:r w:rsidR="00F769B8" w:rsidRPr="0049594B">
        <w:rPr>
          <w:rFonts w:ascii="Georgia" w:hAnsi="Georgia" w:cs="Times New Roman"/>
          <w:sz w:val="24"/>
          <w:szCs w:val="24"/>
        </w:rPr>
        <w:t>That w</w:t>
      </w:r>
      <w:r w:rsidR="00F670FC" w:rsidRPr="0049594B">
        <w:rPr>
          <w:rFonts w:ascii="Georgia" w:hAnsi="Georgia" w:cs="Times New Roman"/>
          <w:sz w:val="24"/>
          <w:szCs w:val="24"/>
        </w:rPr>
        <w:t xml:space="preserve">ould </w:t>
      </w:r>
      <w:r w:rsidR="00641BA3" w:rsidRPr="0049594B">
        <w:rPr>
          <w:rFonts w:ascii="Georgia" w:hAnsi="Georgia" w:cs="Times New Roman"/>
          <w:sz w:val="24"/>
          <w:szCs w:val="24"/>
        </w:rPr>
        <w:t xml:space="preserve">directly </w:t>
      </w:r>
      <w:r w:rsidR="00E14751" w:rsidRPr="0049594B">
        <w:rPr>
          <w:rFonts w:ascii="Georgia" w:hAnsi="Georgia" w:cs="Times New Roman"/>
          <w:sz w:val="24"/>
          <w:szCs w:val="24"/>
        </w:rPr>
        <w:t xml:space="preserve">improve post-tax income inequality and </w:t>
      </w:r>
      <w:r w:rsidR="00F670FC" w:rsidRPr="0049594B">
        <w:rPr>
          <w:rFonts w:ascii="Georgia" w:hAnsi="Georgia" w:cs="Times New Roman"/>
          <w:sz w:val="24"/>
          <w:szCs w:val="24"/>
        </w:rPr>
        <w:t xml:space="preserve">increase the fiscal space for public </w:t>
      </w:r>
      <w:r w:rsidR="00641BA3" w:rsidRPr="0049594B">
        <w:rPr>
          <w:rFonts w:ascii="Georgia" w:hAnsi="Georgia" w:cs="Times New Roman"/>
          <w:sz w:val="24"/>
          <w:szCs w:val="24"/>
        </w:rPr>
        <w:t xml:space="preserve">social </w:t>
      </w:r>
      <w:r w:rsidR="00F670FC" w:rsidRPr="0049594B">
        <w:rPr>
          <w:rFonts w:ascii="Georgia" w:hAnsi="Georgia" w:cs="Times New Roman"/>
          <w:sz w:val="24"/>
          <w:szCs w:val="24"/>
        </w:rPr>
        <w:t>expenditure</w:t>
      </w:r>
      <w:r w:rsidR="00641BA3" w:rsidRPr="0049594B">
        <w:rPr>
          <w:rFonts w:ascii="Georgia" w:hAnsi="Georgia" w:cs="Times New Roman"/>
          <w:sz w:val="24"/>
          <w:szCs w:val="24"/>
        </w:rPr>
        <w:t>.</w:t>
      </w:r>
    </w:p>
    <w:p w14:paraId="731956FD" w14:textId="7FC73F31" w:rsidR="00262946" w:rsidRPr="0049594B" w:rsidRDefault="00262946" w:rsidP="00262946">
      <w:pPr>
        <w:spacing w:after="120" w:line="240" w:lineRule="auto"/>
        <w:jc w:val="both"/>
        <w:rPr>
          <w:rFonts w:ascii="Georgia" w:eastAsia="Constantia" w:hAnsi="Georgia" w:cs="Times New Roman"/>
          <w:i/>
          <w:iCs/>
          <w:sz w:val="24"/>
          <w:szCs w:val="24"/>
        </w:rPr>
      </w:pPr>
      <w:r w:rsidRPr="0049594B">
        <w:rPr>
          <w:rFonts w:ascii="Georgia" w:eastAsia="Constantia" w:hAnsi="Georgia" w:cs="Times New Roman"/>
          <w:i/>
          <w:iCs/>
          <w:sz w:val="24"/>
          <w:szCs w:val="24"/>
        </w:rPr>
        <w:t>Policies concerning public social expenditure and improving access to education and health services</w:t>
      </w:r>
    </w:p>
    <w:p w14:paraId="708908FC" w14:textId="36F64E24" w:rsidR="00914E0D" w:rsidRPr="0049594B" w:rsidRDefault="00214AE8" w:rsidP="00914E0D">
      <w:p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With respect to </w:t>
      </w:r>
      <w:r w:rsidR="001705FC" w:rsidRPr="0049594B">
        <w:rPr>
          <w:rFonts w:ascii="Georgia" w:hAnsi="Georgia" w:cs="Times New Roman"/>
          <w:sz w:val="24"/>
          <w:szCs w:val="24"/>
        </w:rPr>
        <w:t xml:space="preserve">public social expenditure, </w:t>
      </w:r>
      <w:r w:rsidR="001C4136" w:rsidRPr="0049594B">
        <w:rPr>
          <w:rFonts w:ascii="Georgia" w:hAnsi="Georgia" w:cs="Times New Roman"/>
          <w:sz w:val="24"/>
          <w:szCs w:val="24"/>
        </w:rPr>
        <w:t>OHRCR (2021: 12) notes that ‘in order to sustainably fi</w:t>
      </w:r>
      <w:r w:rsidR="001C4136" w:rsidRPr="0049594B">
        <w:rPr>
          <w:rFonts w:ascii="Georgia" w:hAnsi="Georgia" w:cs="Times New Roman"/>
          <w:sz w:val="24"/>
          <w:szCs w:val="24"/>
        </w:rPr>
        <w:softHyphen/>
        <w:t>nance the social sectors, the Government needs to expand fi</w:t>
      </w:r>
      <w:r w:rsidR="001C4136" w:rsidRPr="0049594B">
        <w:rPr>
          <w:rFonts w:ascii="Georgia" w:hAnsi="Georgia" w:cs="Times New Roman"/>
          <w:sz w:val="24"/>
          <w:szCs w:val="24"/>
        </w:rPr>
        <w:softHyphen/>
        <w:t xml:space="preserve">scal space by increasing domestic resource mobilization, particularly by exploring more progressive tax measures on income and wealth.’ </w:t>
      </w:r>
      <w:r w:rsidR="0062660E" w:rsidRPr="0049594B">
        <w:rPr>
          <w:rFonts w:ascii="Georgia" w:hAnsi="Georgia" w:cs="Times New Roman"/>
          <w:sz w:val="24"/>
          <w:szCs w:val="24"/>
        </w:rPr>
        <w:t xml:space="preserve">The above-mentioned measures could contribute to </w:t>
      </w:r>
      <w:r w:rsidR="00C0165F" w:rsidRPr="0049594B">
        <w:rPr>
          <w:rFonts w:ascii="Georgia" w:hAnsi="Georgia" w:cs="Times New Roman"/>
          <w:sz w:val="24"/>
          <w:szCs w:val="24"/>
        </w:rPr>
        <w:t>increasing the fiscal space</w:t>
      </w:r>
      <w:r w:rsidR="0062531A" w:rsidRPr="0049594B">
        <w:rPr>
          <w:rFonts w:ascii="Georgia" w:hAnsi="Georgia" w:cs="Times New Roman"/>
          <w:sz w:val="24"/>
          <w:szCs w:val="24"/>
        </w:rPr>
        <w:t xml:space="preserve"> for </w:t>
      </w:r>
      <w:r w:rsidR="009A0B1C" w:rsidRPr="0049594B">
        <w:rPr>
          <w:rFonts w:ascii="Georgia" w:hAnsi="Georgia" w:cs="Times New Roman"/>
          <w:sz w:val="24"/>
          <w:szCs w:val="24"/>
        </w:rPr>
        <w:t>higher public social expenditure</w:t>
      </w:r>
      <w:r w:rsidR="00C0165F" w:rsidRPr="0049594B">
        <w:rPr>
          <w:rFonts w:ascii="Georgia" w:hAnsi="Georgia" w:cs="Times New Roman"/>
          <w:sz w:val="24"/>
          <w:szCs w:val="24"/>
        </w:rPr>
        <w:t xml:space="preserve"> (while at the same time </w:t>
      </w:r>
      <w:r w:rsidR="009A0B1C" w:rsidRPr="0049594B">
        <w:rPr>
          <w:rFonts w:ascii="Georgia" w:hAnsi="Georgia" w:cs="Times New Roman"/>
          <w:sz w:val="24"/>
          <w:szCs w:val="24"/>
        </w:rPr>
        <w:t xml:space="preserve">in itself </w:t>
      </w:r>
      <w:r w:rsidR="00C0165F" w:rsidRPr="0049594B">
        <w:rPr>
          <w:rFonts w:ascii="Georgia" w:hAnsi="Georgia" w:cs="Times New Roman"/>
          <w:sz w:val="24"/>
          <w:szCs w:val="24"/>
        </w:rPr>
        <w:t xml:space="preserve">directly </w:t>
      </w:r>
      <w:r w:rsidR="004F303F" w:rsidRPr="0049594B">
        <w:rPr>
          <w:rFonts w:ascii="Georgia" w:hAnsi="Georgia" w:cs="Times New Roman"/>
          <w:sz w:val="24"/>
          <w:szCs w:val="24"/>
        </w:rPr>
        <w:t xml:space="preserve">contributing to reducing post-tax </w:t>
      </w:r>
      <w:r w:rsidR="008152C4" w:rsidRPr="0049594B">
        <w:rPr>
          <w:rFonts w:ascii="Georgia" w:hAnsi="Georgia" w:cs="Times New Roman"/>
          <w:sz w:val="24"/>
          <w:szCs w:val="24"/>
        </w:rPr>
        <w:t xml:space="preserve">income </w:t>
      </w:r>
      <w:r w:rsidR="004F303F" w:rsidRPr="0049594B">
        <w:rPr>
          <w:rFonts w:ascii="Georgia" w:hAnsi="Georgia" w:cs="Times New Roman"/>
          <w:sz w:val="24"/>
          <w:szCs w:val="24"/>
        </w:rPr>
        <w:t>inequality)</w:t>
      </w:r>
      <w:r w:rsidR="00C0165F" w:rsidRPr="0049594B">
        <w:rPr>
          <w:rFonts w:ascii="Georgia" w:hAnsi="Georgia" w:cs="Times New Roman"/>
          <w:sz w:val="24"/>
          <w:szCs w:val="24"/>
        </w:rPr>
        <w:t>.</w:t>
      </w:r>
    </w:p>
    <w:p w14:paraId="3ED0B40A" w14:textId="77777777" w:rsidR="00EE1DE5" w:rsidRPr="0049594B" w:rsidRDefault="00D829EB" w:rsidP="00CE4A4C">
      <w:p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Improving access to quality education </w:t>
      </w:r>
      <w:r w:rsidR="006F5F64" w:rsidRPr="0049594B">
        <w:rPr>
          <w:rFonts w:ascii="Georgia" w:hAnsi="Georgia" w:cs="Times New Roman"/>
          <w:sz w:val="24"/>
          <w:szCs w:val="24"/>
        </w:rPr>
        <w:t>for especially the poorest segments of the population is key</w:t>
      </w:r>
      <w:r w:rsidR="00ED3088" w:rsidRPr="0049594B">
        <w:rPr>
          <w:rFonts w:ascii="Georgia" w:hAnsi="Georgia" w:cs="Times New Roman"/>
          <w:sz w:val="24"/>
          <w:szCs w:val="24"/>
        </w:rPr>
        <w:t xml:space="preserve"> for reducing the inequality of opportunity</w:t>
      </w:r>
      <w:r w:rsidR="00DA7B18" w:rsidRPr="0049594B">
        <w:rPr>
          <w:rFonts w:ascii="Georgia" w:hAnsi="Georgia" w:cs="Times New Roman"/>
          <w:sz w:val="24"/>
          <w:szCs w:val="24"/>
        </w:rPr>
        <w:t xml:space="preserve">, which can help to </w:t>
      </w:r>
      <w:r w:rsidR="006C4F42" w:rsidRPr="0049594B">
        <w:rPr>
          <w:rFonts w:ascii="Georgia" w:hAnsi="Georgia" w:cs="Times New Roman"/>
          <w:sz w:val="24"/>
          <w:szCs w:val="24"/>
        </w:rPr>
        <w:t>diminish the inter-generational transmission of poverty</w:t>
      </w:r>
      <w:r w:rsidR="00087BB8" w:rsidRPr="0049594B">
        <w:rPr>
          <w:rFonts w:ascii="Georgia" w:hAnsi="Georgia" w:cs="Times New Roman"/>
          <w:sz w:val="24"/>
          <w:szCs w:val="24"/>
        </w:rPr>
        <w:t xml:space="preserve">. It is expected that in the end it will also contribute to reducing the </w:t>
      </w:r>
      <w:r w:rsidR="004C268B" w:rsidRPr="0049594B">
        <w:rPr>
          <w:rFonts w:ascii="Georgia" w:hAnsi="Georgia" w:cs="Times New Roman"/>
          <w:sz w:val="24"/>
          <w:szCs w:val="24"/>
        </w:rPr>
        <w:t>inequality of outcomes</w:t>
      </w:r>
      <w:r w:rsidR="00653846" w:rsidRPr="0049594B">
        <w:rPr>
          <w:rFonts w:ascii="Georgia" w:hAnsi="Georgia" w:cs="Times New Roman"/>
          <w:sz w:val="24"/>
          <w:szCs w:val="24"/>
        </w:rPr>
        <w:t>, if poor children receive better education</w:t>
      </w:r>
      <w:r w:rsidR="00734BE0" w:rsidRPr="0049594B">
        <w:rPr>
          <w:rFonts w:ascii="Georgia" w:hAnsi="Georgia" w:cs="Times New Roman"/>
          <w:sz w:val="24"/>
          <w:szCs w:val="24"/>
        </w:rPr>
        <w:t xml:space="preserve">, which will </w:t>
      </w:r>
      <w:r w:rsidR="007D117F" w:rsidRPr="0049594B">
        <w:rPr>
          <w:rFonts w:ascii="Georgia" w:hAnsi="Georgia" w:cs="Times New Roman"/>
          <w:sz w:val="24"/>
          <w:szCs w:val="24"/>
        </w:rPr>
        <w:t>enhance</w:t>
      </w:r>
      <w:r w:rsidR="003357D4" w:rsidRPr="0049594B">
        <w:rPr>
          <w:rFonts w:ascii="Georgia" w:hAnsi="Georgia" w:cs="Times New Roman"/>
          <w:sz w:val="24"/>
          <w:szCs w:val="24"/>
        </w:rPr>
        <w:t xml:space="preserve"> their opportunities in the labour market later on their lives.</w:t>
      </w:r>
      <w:r w:rsidR="00734BE0" w:rsidRPr="0049594B">
        <w:rPr>
          <w:rFonts w:ascii="Georgia" w:hAnsi="Georgia" w:cs="Times New Roman"/>
          <w:sz w:val="24"/>
          <w:szCs w:val="24"/>
        </w:rPr>
        <w:t xml:space="preserve"> </w:t>
      </w:r>
      <w:r w:rsidR="007D117F" w:rsidRPr="0049594B">
        <w:rPr>
          <w:rFonts w:ascii="Georgia" w:hAnsi="Georgia" w:cs="Times New Roman"/>
          <w:sz w:val="24"/>
          <w:szCs w:val="24"/>
        </w:rPr>
        <w:t>Measures to improving access to quality education</w:t>
      </w:r>
      <w:r w:rsidR="00573D74" w:rsidRPr="0049594B">
        <w:rPr>
          <w:rFonts w:ascii="Georgia" w:hAnsi="Georgia" w:cs="Times New Roman"/>
          <w:sz w:val="24"/>
          <w:szCs w:val="24"/>
        </w:rPr>
        <w:t xml:space="preserve"> among disadvantaged children can </w:t>
      </w:r>
      <w:r w:rsidR="00685BD7" w:rsidRPr="0049594B">
        <w:rPr>
          <w:rFonts w:ascii="Georgia" w:hAnsi="Georgia" w:cs="Times New Roman"/>
          <w:sz w:val="24"/>
          <w:szCs w:val="24"/>
        </w:rPr>
        <w:t>take the form of targeted (conditional or unconditional) transfers to poor households</w:t>
      </w:r>
      <w:r w:rsidR="008B78F1" w:rsidRPr="0049594B">
        <w:rPr>
          <w:rFonts w:ascii="Georgia" w:hAnsi="Georgia" w:cs="Times New Roman"/>
          <w:sz w:val="24"/>
          <w:szCs w:val="24"/>
        </w:rPr>
        <w:t xml:space="preserve">, </w:t>
      </w:r>
      <w:r w:rsidR="00D64373" w:rsidRPr="0049594B">
        <w:rPr>
          <w:rFonts w:ascii="Georgia" w:hAnsi="Georgia" w:cs="Times New Roman"/>
          <w:sz w:val="24"/>
          <w:szCs w:val="24"/>
        </w:rPr>
        <w:t>lowering the cost</w:t>
      </w:r>
      <w:r w:rsidR="0073511F" w:rsidRPr="0049594B">
        <w:rPr>
          <w:rFonts w:ascii="Georgia" w:hAnsi="Georgia" w:cs="Times New Roman"/>
          <w:sz w:val="24"/>
          <w:szCs w:val="24"/>
        </w:rPr>
        <w:t>s</w:t>
      </w:r>
      <w:r w:rsidR="00D64373" w:rsidRPr="0049594B">
        <w:rPr>
          <w:rFonts w:ascii="Georgia" w:hAnsi="Georgia" w:cs="Times New Roman"/>
          <w:sz w:val="24"/>
          <w:szCs w:val="24"/>
        </w:rPr>
        <w:t xml:space="preserve"> </w:t>
      </w:r>
      <w:r w:rsidR="0073511F" w:rsidRPr="0049594B">
        <w:rPr>
          <w:rFonts w:ascii="Georgia" w:hAnsi="Georgia" w:cs="Times New Roman"/>
          <w:sz w:val="24"/>
          <w:szCs w:val="24"/>
        </w:rPr>
        <w:t xml:space="preserve">for those </w:t>
      </w:r>
      <w:r w:rsidR="00D64373" w:rsidRPr="0049594B">
        <w:rPr>
          <w:rFonts w:ascii="Georgia" w:hAnsi="Georgia" w:cs="Times New Roman"/>
          <w:sz w:val="24"/>
          <w:szCs w:val="24"/>
        </w:rPr>
        <w:t>ho</w:t>
      </w:r>
      <w:r w:rsidR="0073511F" w:rsidRPr="0049594B">
        <w:rPr>
          <w:rFonts w:ascii="Georgia" w:hAnsi="Georgia" w:cs="Times New Roman"/>
          <w:sz w:val="24"/>
          <w:szCs w:val="24"/>
        </w:rPr>
        <w:t xml:space="preserve">useholds of sending their children </w:t>
      </w:r>
      <w:r w:rsidR="00286338" w:rsidRPr="0049594B">
        <w:rPr>
          <w:rFonts w:ascii="Georgia" w:hAnsi="Georgia" w:cs="Times New Roman"/>
          <w:sz w:val="24"/>
          <w:szCs w:val="24"/>
        </w:rPr>
        <w:t>t</w:t>
      </w:r>
      <w:r w:rsidR="0073511F" w:rsidRPr="0049594B">
        <w:rPr>
          <w:rFonts w:ascii="Georgia" w:hAnsi="Georgia" w:cs="Times New Roman"/>
          <w:sz w:val="24"/>
          <w:szCs w:val="24"/>
        </w:rPr>
        <w:t>o school</w:t>
      </w:r>
      <w:r w:rsidR="008B78F1" w:rsidRPr="0049594B">
        <w:rPr>
          <w:rFonts w:ascii="Georgia" w:hAnsi="Georgia" w:cs="Times New Roman"/>
          <w:sz w:val="24"/>
          <w:szCs w:val="24"/>
        </w:rPr>
        <w:t xml:space="preserve">, and improving the quality of education in </w:t>
      </w:r>
      <w:r w:rsidR="00286338" w:rsidRPr="0049594B">
        <w:rPr>
          <w:rFonts w:ascii="Georgia" w:hAnsi="Georgia" w:cs="Times New Roman"/>
          <w:sz w:val="24"/>
          <w:szCs w:val="24"/>
        </w:rPr>
        <w:t>poorer parts of the country</w:t>
      </w:r>
      <w:r w:rsidR="0073511F" w:rsidRPr="0049594B">
        <w:rPr>
          <w:rFonts w:ascii="Georgia" w:hAnsi="Georgia" w:cs="Times New Roman"/>
          <w:sz w:val="24"/>
          <w:szCs w:val="24"/>
        </w:rPr>
        <w:t>.</w:t>
      </w:r>
    </w:p>
    <w:p w14:paraId="4A6200EF" w14:textId="145C6120" w:rsidR="00EE1DE5" w:rsidRPr="0049594B" w:rsidRDefault="001C4136" w:rsidP="00CE4A4C">
      <w:pPr>
        <w:spacing w:after="120" w:line="240" w:lineRule="auto"/>
        <w:jc w:val="both"/>
        <w:rPr>
          <w:rFonts w:ascii="Georgia" w:eastAsia="Constantia" w:hAnsi="Georgia" w:cs="Times New Roman"/>
          <w:sz w:val="24"/>
          <w:szCs w:val="24"/>
        </w:rPr>
      </w:pPr>
      <w:r w:rsidRPr="0049594B">
        <w:rPr>
          <w:rFonts w:ascii="Georgia" w:hAnsi="Georgia" w:cs="Times New Roman"/>
          <w:sz w:val="24"/>
          <w:szCs w:val="24"/>
        </w:rPr>
        <w:t>Regarding the NHIF</w:t>
      </w:r>
      <w:r w:rsidR="00532D30" w:rsidRPr="0049594B">
        <w:rPr>
          <w:rFonts w:ascii="Georgia" w:hAnsi="Georgia" w:cs="Times New Roman"/>
          <w:sz w:val="24"/>
          <w:szCs w:val="24"/>
        </w:rPr>
        <w:t xml:space="preserve"> and contributions of the population to this Fund</w:t>
      </w:r>
      <w:r w:rsidRPr="0049594B">
        <w:rPr>
          <w:rFonts w:ascii="Georgia" w:hAnsi="Georgia" w:cs="Times New Roman"/>
          <w:sz w:val="24"/>
          <w:szCs w:val="24"/>
        </w:rPr>
        <w:t xml:space="preserve">, OHRCR (2021) reported that ‘a more progressive contribution would ensure </w:t>
      </w:r>
      <w:r w:rsidR="00611C36" w:rsidRPr="0049594B">
        <w:rPr>
          <w:rFonts w:ascii="Georgia" w:hAnsi="Georgia" w:cs="Times New Roman"/>
          <w:sz w:val="24"/>
          <w:szCs w:val="24"/>
        </w:rPr>
        <w:t xml:space="preserve">that </w:t>
      </w:r>
      <w:r w:rsidRPr="0049594B">
        <w:rPr>
          <w:rFonts w:ascii="Georgia" w:hAnsi="Georgia" w:cs="Times New Roman"/>
          <w:sz w:val="24"/>
          <w:szCs w:val="24"/>
        </w:rPr>
        <w:t>the most disadvantaged and marginalised groups are not left behind. Also, enrolling workers in the informal sector will be key.’</w:t>
      </w:r>
      <w:r w:rsidR="002F5024" w:rsidRPr="0049594B">
        <w:rPr>
          <w:rFonts w:ascii="Georgia" w:hAnsi="Georgia" w:cs="Times New Roman"/>
          <w:sz w:val="24"/>
          <w:szCs w:val="24"/>
        </w:rPr>
        <w:t xml:space="preserve"> In this context, </w:t>
      </w:r>
      <w:r w:rsidRPr="0049594B">
        <w:rPr>
          <w:rFonts w:ascii="Georgia" w:eastAsia="Constantia" w:hAnsi="Georgia" w:cs="Times New Roman"/>
          <w:sz w:val="24"/>
          <w:szCs w:val="24"/>
        </w:rPr>
        <w:t>Kazungu &amp; Barasa (2017) argue that ‘in a context where over 80% of the population is in the informal sector, and close to 50% live below the national poverty line, achieving high and equitable coverage levels with contributory and voluntary health insurance mechanism is problematic. Kenya should consider a universal, tax-funded mechanism that ensures revenues are equitably and efficiently collected, and everyone (including the poor and those in the informal sector) is covered.’</w:t>
      </w:r>
      <w:r w:rsidR="004C66BE" w:rsidRPr="0049594B">
        <w:rPr>
          <w:rFonts w:ascii="Georgia" w:eastAsia="Constantia" w:hAnsi="Georgia" w:cs="Times New Roman"/>
          <w:sz w:val="24"/>
          <w:szCs w:val="24"/>
        </w:rPr>
        <w:t xml:space="preserve"> </w:t>
      </w:r>
      <w:r w:rsidR="004D0D6F" w:rsidRPr="0049594B">
        <w:rPr>
          <w:rFonts w:ascii="Georgia" w:eastAsia="Constantia" w:hAnsi="Georgia" w:cs="Times New Roman"/>
          <w:sz w:val="24"/>
          <w:szCs w:val="24"/>
        </w:rPr>
        <w:t xml:space="preserve">It is suggested to </w:t>
      </w:r>
      <w:r w:rsidR="0014593B" w:rsidRPr="0049594B">
        <w:rPr>
          <w:rFonts w:ascii="Georgia" w:eastAsia="Constantia" w:hAnsi="Georgia" w:cs="Times New Roman"/>
          <w:sz w:val="24"/>
          <w:szCs w:val="24"/>
        </w:rPr>
        <w:t>do this, which is actually in line with current government policies in this area.</w:t>
      </w:r>
      <w:r w:rsidR="00462A4B" w:rsidRPr="0049594B">
        <w:rPr>
          <w:rFonts w:ascii="Georgia" w:eastAsia="Constantia" w:hAnsi="Georgia" w:cs="Times New Roman"/>
          <w:sz w:val="24"/>
          <w:szCs w:val="24"/>
        </w:rPr>
        <w:t xml:space="preserve"> This implies a policy of expanding the </w:t>
      </w:r>
      <w:r w:rsidR="001D322D" w:rsidRPr="0049594B">
        <w:rPr>
          <w:rFonts w:ascii="Georgia" w:eastAsia="Constantia" w:hAnsi="Georgia" w:cs="Times New Roman"/>
          <w:sz w:val="24"/>
          <w:szCs w:val="24"/>
        </w:rPr>
        <w:t>health system financed by revenues collected by the national and country governments</w:t>
      </w:r>
      <w:r w:rsidR="008D56A4" w:rsidRPr="0049594B">
        <w:rPr>
          <w:rFonts w:ascii="Georgia" w:eastAsia="Constantia" w:hAnsi="Georgia" w:cs="Times New Roman"/>
          <w:sz w:val="24"/>
          <w:szCs w:val="24"/>
        </w:rPr>
        <w:t xml:space="preserve">, </w:t>
      </w:r>
      <w:r w:rsidR="00741A84" w:rsidRPr="0049594B">
        <w:rPr>
          <w:rFonts w:ascii="Georgia" w:eastAsia="Constantia" w:hAnsi="Georgia" w:cs="Times New Roman"/>
          <w:sz w:val="24"/>
          <w:szCs w:val="24"/>
        </w:rPr>
        <w:t xml:space="preserve">given that the government-financed part currently </w:t>
      </w:r>
      <w:r w:rsidR="00427E83" w:rsidRPr="0049594B">
        <w:rPr>
          <w:rFonts w:ascii="Georgia" w:eastAsia="Constantia" w:hAnsi="Georgia" w:cs="Times New Roman"/>
          <w:sz w:val="24"/>
          <w:szCs w:val="24"/>
        </w:rPr>
        <w:t>makes up le</w:t>
      </w:r>
      <w:r w:rsidR="007158E1" w:rsidRPr="0049594B">
        <w:rPr>
          <w:rFonts w:ascii="Georgia" w:eastAsia="Constantia" w:hAnsi="Georgia" w:cs="Times New Roman"/>
          <w:sz w:val="24"/>
          <w:szCs w:val="24"/>
        </w:rPr>
        <w:t>s</w:t>
      </w:r>
      <w:r w:rsidR="00427E83" w:rsidRPr="0049594B">
        <w:rPr>
          <w:rFonts w:ascii="Georgia" w:eastAsia="Constantia" w:hAnsi="Georgia" w:cs="Times New Roman"/>
          <w:sz w:val="24"/>
          <w:szCs w:val="24"/>
        </w:rPr>
        <w:t>s than half of the health system.</w:t>
      </w:r>
      <w:r w:rsidR="008D56A4" w:rsidRPr="0049594B">
        <w:rPr>
          <w:rFonts w:ascii="Georgia" w:eastAsia="Constantia" w:hAnsi="Georgia" w:cs="Times New Roman"/>
          <w:sz w:val="24"/>
          <w:szCs w:val="24"/>
        </w:rPr>
        <w:t xml:space="preserve"> </w:t>
      </w:r>
      <w:r w:rsidR="0054393E" w:rsidRPr="0049594B">
        <w:rPr>
          <w:rFonts w:ascii="Georgia" w:eastAsia="Constantia" w:hAnsi="Georgia" w:cs="Times New Roman"/>
          <w:sz w:val="24"/>
          <w:szCs w:val="24"/>
        </w:rPr>
        <w:t xml:space="preserve">It would </w:t>
      </w:r>
      <w:r w:rsidR="000D0DCA" w:rsidRPr="0049594B">
        <w:rPr>
          <w:rFonts w:ascii="Georgia" w:eastAsia="Constantia" w:hAnsi="Georgia" w:cs="Times New Roman"/>
          <w:sz w:val="24"/>
          <w:szCs w:val="24"/>
        </w:rPr>
        <w:t xml:space="preserve">at the same time require efforts to </w:t>
      </w:r>
      <w:r w:rsidR="00472390" w:rsidRPr="0049594B">
        <w:rPr>
          <w:rFonts w:ascii="Georgia" w:eastAsia="Constantia" w:hAnsi="Georgia" w:cs="Times New Roman"/>
          <w:sz w:val="24"/>
          <w:szCs w:val="24"/>
        </w:rPr>
        <w:t>substantially reduce</w:t>
      </w:r>
      <w:r w:rsidR="00495C21" w:rsidRPr="0049594B">
        <w:rPr>
          <w:rFonts w:ascii="Georgia" w:eastAsia="Constantia" w:hAnsi="Georgia" w:cs="Times New Roman"/>
          <w:sz w:val="24"/>
          <w:szCs w:val="24"/>
        </w:rPr>
        <w:t xml:space="preserve"> </w:t>
      </w:r>
      <w:r w:rsidR="003E12E2" w:rsidRPr="0049594B">
        <w:rPr>
          <w:rFonts w:ascii="Georgia" w:eastAsia="Constantia" w:hAnsi="Georgia" w:cs="Times New Roman"/>
          <w:sz w:val="24"/>
          <w:szCs w:val="24"/>
        </w:rPr>
        <w:t>further</w:t>
      </w:r>
      <w:r w:rsidR="00472390" w:rsidRPr="0049594B">
        <w:rPr>
          <w:rFonts w:ascii="Georgia" w:eastAsia="Constantia" w:hAnsi="Georgia" w:cs="Times New Roman"/>
          <w:sz w:val="24"/>
          <w:szCs w:val="24"/>
        </w:rPr>
        <w:t xml:space="preserve"> private health expenditu</w:t>
      </w:r>
      <w:r w:rsidR="009C20A3" w:rsidRPr="0049594B">
        <w:rPr>
          <w:rFonts w:ascii="Georgia" w:eastAsia="Constantia" w:hAnsi="Georgia" w:cs="Times New Roman"/>
          <w:sz w:val="24"/>
          <w:szCs w:val="24"/>
        </w:rPr>
        <w:t>re, which principally consists of out-of-pocket expenses</w:t>
      </w:r>
      <w:r w:rsidR="003E12E2" w:rsidRPr="0049594B">
        <w:rPr>
          <w:rFonts w:ascii="Georgia" w:eastAsia="Constantia" w:hAnsi="Georgia" w:cs="Times New Roman"/>
          <w:sz w:val="24"/>
          <w:szCs w:val="24"/>
        </w:rPr>
        <w:t xml:space="preserve"> that are poverty increasing.</w:t>
      </w:r>
    </w:p>
    <w:p w14:paraId="4CD35E20" w14:textId="668496E5" w:rsidR="001C4136" w:rsidRPr="0049594B" w:rsidRDefault="005C3ACE" w:rsidP="00CE4A4C">
      <w:pPr>
        <w:spacing w:after="120" w:line="240" w:lineRule="auto"/>
        <w:contextualSpacing/>
        <w:jc w:val="both"/>
        <w:rPr>
          <w:rFonts w:ascii="Georgia" w:eastAsia="Constantia" w:hAnsi="Georgia" w:cs="Times New Roman"/>
          <w:sz w:val="24"/>
          <w:szCs w:val="24"/>
        </w:rPr>
      </w:pPr>
      <w:r w:rsidRPr="0049594B">
        <w:rPr>
          <w:rFonts w:ascii="Georgia" w:eastAsia="Constantia" w:hAnsi="Georgia" w:cs="Times New Roman"/>
          <w:sz w:val="24"/>
          <w:szCs w:val="24"/>
        </w:rPr>
        <w:t xml:space="preserve">In terms of social protection, it is suggested to </w:t>
      </w:r>
      <w:r w:rsidR="00680A43" w:rsidRPr="0049594B">
        <w:rPr>
          <w:rFonts w:ascii="Georgia" w:eastAsia="Constantia" w:hAnsi="Georgia" w:cs="Times New Roman"/>
          <w:sz w:val="24"/>
          <w:szCs w:val="24"/>
        </w:rPr>
        <w:t>examine why</w:t>
      </w:r>
      <w:r w:rsidR="001D322D" w:rsidRPr="0049594B">
        <w:rPr>
          <w:rFonts w:ascii="Georgia" w:eastAsia="Constantia" w:hAnsi="Georgia" w:cs="Times New Roman"/>
          <w:sz w:val="24"/>
          <w:szCs w:val="24"/>
        </w:rPr>
        <w:t xml:space="preserve"> </w:t>
      </w:r>
      <w:r w:rsidR="00680A43" w:rsidRPr="0049594B">
        <w:rPr>
          <w:rFonts w:ascii="Georgia" w:eastAsia="Constantia" w:hAnsi="Georgia" w:cs="Times New Roman"/>
          <w:sz w:val="24"/>
          <w:szCs w:val="24"/>
        </w:rPr>
        <w:t>the coverage of social assistance programmes d</w:t>
      </w:r>
      <w:r w:rsidR="00872816" w:rsidRPr="0049594B">
        <w:rPr>
          <w:rFonts w:ascii="Georgia" w:eastAsia="Constantia" w:hAnsi="Georgia" w:cs="Times New Roman"/>
          <w:sz w:val="24"/>
          <w:szCs w:val="24"/>
        </w:rPr>
        <w:t>e</w:t>
      </w:r>
      <w:r w:rsidR="000D70B6" w:rsidRPr="0049594B">
        <w:rPr>
          <w:rFonts w:ascii="Georgia" w:eastAsia="Constantia" w:hAnsi="Georgia" w:cs="Times New Roman"/>
          <w:sz w:val="24"/>
          <w:szCs w:val="24"/>
        </w:rPr>
        <w:t>cre</w:t>
      </w:r>
      <w:r w:rsidR="00872816" w:rsidRPr="0049594B">
        <w:rPr>
          <w:rFonts w:ascii="Georgia" w:eastAsia="Constantia" w:hAnsi="Georgia" w:cs="Times New Roman"/>
          <w:sz w:val="24"/>
          <w:szCs w:val="24"/>
        </w:rPr>
        <w:t>ase for the poorest quintile</w:t>
      </w:r>
      <w:r w:rsidR="00711E0B" w:rsidRPr="0049594B">
        <w:rPr>
          <w:rFonts w:ascii="Georgia" w:eastAsia="Constantia" w:hAnsi="Georgia" w:cs="Times New Roman"/>
          <w:sz w:val="24"/>
          <w:szCs w:val="24"/>
        </w:rPr>
        <w:t xml:space="preserve"> of the population</w:t>
      </w:r>
      <w:r w:rsidR="000D70B6" w:rsidRPr="0049594B">
        <w:rPr>
          <w:rFonts w:ascii="Georgia" w:eastAsia="Constantia" w:hAnsi="Georgia" w:cs="Times New Roman"/>
          <w:sz w:val="24"/>
          <w:szCs w:val="24"/>
        </w:rPr>
        <w:t xml:space="preserve">, in contrast to increases for </w:t>
      </w:r>
      <w:r w:rsidR="005E16DD" w:rsidRPr="0049594B">
        <w:rPr>
          <w:rFonts w:ascii="Georgia" w:eastAsia="Constantia" w:hAnsi="Georgia" w:cs="Times New Roman"/>
          <w:sz w:val="24"/>
          <w:szCs w:val="24"/>
        </w:rPr>
        <w:t xml:space="preserve">the </w:t>
      </w:r>
      <w:r w:rsidR="000D70B6" w:rsidRPr="0049594B">
        <w:rPr>
          <w:rFonts w:ascii="Georgia" w:eastAsia="Constantia" w:hAnsi="Georgia" w:cs="Times New Roman"/>
          <w:sz w:val="24"/>
          <w:szCs w:val="24"/>
        </w:rPr>
        <w:t>other quin</w:t>
      </w:r>
      <w:r w:rsidR="005E16DD" w:rsidRPr="0049594B">
        <w:rPr>
          <w:rFonts w:ascii="Georgia" w:eastAsia="Constantia" w:hAnsi="Georgia" w:cs="Times New Roman"/>
          <w:sz w:val="24"/>
          <w:szCs w:val="24"/>
        </w:rPr>
        <w:t xml:space="preserve">tiles. It is furthermore suggested to </w:t>
      </w:r>
      <w:r w:rsidR="00ED73B2" w:rsidRPr="0049594B">
        <w:rPr>
          <w:rFonts w:ascii="Georgia" w:eastAsia="Constantia" w:hAnsi="Georgia" w:cs="Times New Roman"/>
          <w:sz w:val="24"/>
          <w:szCs w:val="24"/>
        </w:rPr>
        <w:t>assess whether there are opportunities for merging nationwide cash transfer programmes</w:t>
      </w:r>
      <w:r w:rsidR="00BA7B82" w:rsidRPr="0049594B">
        <w:rPr>
          <w:rFonts w:ascii="Georgia" w:eastAsia="Constantia" w:hAnsi="Georgia" w:cs="Times New Roman"/>
          <w:sz w:val="24"/>
          <w:szCs w:val="24"/>
        </w:rPr>
        <w:t xml:space="preserve"> and if that could help to raise</w:t>
      </w:r>
      <w:r w:rsidR="00711E0B" w:rsidRPr="0049594B">
        <w:rPr>
          <w:rFonts w:ascii="Georgia" w:eastAsia="Constantia" w:hAnsi="Georgia" w:cs="Times New Roman"/>
          <w:sz w:val="24"/>
          <w:szCs w:val="24"/>
        </w:rPr>
        <w:t xml:space="preserve"> the coverage of the bottom quintile. In </w:t>
      </w:r>
      <w:r w:rsidR="002B12DA" w:rsidRPr="0049594B">
        <w:rPr>
          <w:rFonts w:ascii="Georgia" w:eastAsia="Constantia" w:hAnsi="Georgia" w:cs="Times New Roman"/>
          <w:sz w:val="24"/>
          <w:szCs w:val="24"/>
        </w:rPr>
        <w:t xml:space="preserve">any case, there is a need to </w:t>
      </w:r>
      <w:r w:rsidR="0009006C" w:rsidRPr="0049594B">
        <w:rPr>
          <w:rFonts w:ascii="Georgia" w:eastAsia="Constantia" w:hAnsi="Georgia" w:cs="Times New Roman"/>
          <w:sz w:val="24"/>
          <w:szCs w:val="24"/>
        </w:rPr>
        <w:t>targe</w:t>
      </w:r>
      <w:r w:rsidR="00AE0AD3" w:rsidRPr="0049594B">
        <w:rPr>
          <w:rFonts w:ascii="Georgia" w:eastAsia="Constantia" w:hAnsi="Georgia" w:cs="Times New Roman"/>
          <w:sz w:val="24"/>
          <w:szCs w:val="24"/>
        </w:rPr>
        <w:t>t</w:t>
      </w:r>
      <w:r w:rsidR="0009006C" w:rsidRPr="0049594B">
        <w:rPr>
          <w:rFonts w:ascii="Georgia" w:eastAsia="Constantia" w:hAnsi="Georgia" w:cs="Times New Roman"/>
          <w:sz w:val="24"/>
          <w:szCs w:val="24"/>
        </w:rPr>
        <w:t xml:space="preserve"> the programmes more</w:t>
      </w:r>
      <w:r w:rsidR="00AE0AD3" w:rsidRPr="0049594B">
        <w:rPr>
          <w:rFonts w:ascii="Georgia" w:eastAsia="Constantia" w:hAnsi="Georgia" w:cs="Times New Roman"/>
          <w:sz w:val="24"/>
          <w:szCs w:val="24"/>
        </w:rPr>
        <w:t xml:space="preserve"> on the poorer population. In </w:t>
      </w:r>
      <w:r w:rsidR="00711E0B" w:rsidRPr="0049594B">
        <w:rPr>
          <w:rFonts w:ascii="Georgia" w:eastAsia="Constantia" w:hAnsi="Georgia" w:cs="Times New Roman"/>
          <w:sz w:val="24"/>
          <w:szCs w:val="24"/>
        </w:rPr>
        <w:t xml:space="preserve">addition, </w:t>
      </w:r>
      <w:r w:rsidR="007000C9" w:rsidRPr="0049594B">
        <w:rPr>
          <w:rFonts w:ascii="Georgia" w:eastAsia="Constantia" w:hAnsi="Georgia" w:cs="Times New Roman"/>
          <w:sz w:val="24"/>
          <w:szCs w:val="24"/>
        </w:rPr>
        <w:t xml:space="preserve">it is suggested to take measures to </w:t>
      </w:r>
      <w:r w:rsidR="00510D5A" w:rsidRPr="0049594B">
        <w:rPr>
          <w:rFonts w:ascii="Georgia" w:eastAsia="Constantia" w:hAnsi="Georgia" w:cs="Times New Roman"/>
          <w:sz w:val="24"/>
          <w:szCs w:val="24"/>
        </w:rPr>
        <w:t>improve</w:t>
      </w:r>
      <w:r w:rsidR="007000C9" w:rsidRPr="0049594B">
        <w:rPr>
          <w:rFonts w:ascii="Georgia" w:eastAsia="Constantia" w:hAnsi="Georgia" w:cs="Times New Roman"/>
          <w:sz w:val="24"/>
          <w:szCs w:val="24"/>
        </w:rPr>
        <w:t xml:space="preserve"> the adequacy </w:t>
      </w:r>
      <w:r w:rsidR="00A63997" w:rsidRPr="0049594B">
        <w:rPr>
          <w:rFonts w:ascii="Georgia" w:eastAsia="Constantia" w:hAnsi="Georgia" w:cs="Times New Roman"/>
          <w:sz w:val="24"/>
          <w:szCs w:val="24"/>
        </w:rPr>
        <w:t xml:space="preserve">of social assistance programmes by </w:t>
      </w:r>
      <w:r w:rsidR="00C3193A" w:rsidRPr="0049594B">
        <w:rPr>
          <w:rFonts w:ascii="Georgia" w:eastAsia="Constantia" w:hAnsi="Georgia" w:cs="Times New Roman"/>
          <w:sz w:val="24"/>
          <w:szCs w:val="24"/>
        </w:rPr>
        <w:t>(</w:t>
      </w:r>
      <w:r w:rsidR="00A63997" w:rsidRPr="0049594B">
        <w:rPr>
          <w:rFonts w:ascii="Georgia" w:eastAsia="Constantia" w:hAnsi="Georgia" w:cs="Times New Roman"/>
          <w:sz w:val="24"/>
          <w:szCs w:val="24"/>
        </w:rPr>
        <w:t>further</w:t>
      </w:r>
      <w:r w:rsidR="00C3193A" w:rsidRPr="0049594B">
        <w:rPr>
          <w:rFonts w:ascii="Georgia" w:eastAsia="Constantia" w:hAnsi="Georgia" w:cs="Times New Roman"/>
          <w:sz w:val="24"/>
          <w:szCs w:val="24"/>
        </w:rPr>
        <w:t>)</w:t>
      </w:r>
      <w:r w:rsidR="00A63997" w:rsidRPr="0049594B">
        <w:rPr>
          <w:rFonts w:ascii="Georgia" w:eastAsia="Constantia" w:hAnsi="Georgia" w:cs="Times New Roman"/>
          <w:sz w:val="24"/>
          <w:szCs w:val="24"/>
        </w:rPr>
        <w:t xml:space="preserve"> increa</w:t>
      </w:r>
      <w:r w:rsidR="00510D5A" w:rsidRPr="0049594B">
        <w:rPr>
          <w:rFonts w:ascii="Georgia" w:eastAsia="Constantia" w:hAnsi="Georgia" w:cs="Times New Roman"/>
          <w:sz w:val="24"/>
          <w:szCs w:val="24"/>
        </w:rPr>
        <w:t xml:space="preserve">sing the benefit incidence </w:t>
      </w:r>
      <w:r w:rsidR="001233F3" w:rsidRPr="0049594B">
        <w:rPr>
          <w:rFonts w:ascii="Georgia" w:eastAsia="Constantia" w:hAnsi="Georgia" w:cs="Times New Roman"/>
          <w:sz w:val="24"/>
          <w:szCs w:val="24"/>
        </w:rPr>
        <w:t>of social safety net programmes to the bottom 40%</w:t>
      </w:r>
      <w:r w:rsidR="004B52A6" w:rsidRPr="0049594B">
        <w:rPr>
          <w:rFonts w:ascii="Georgia" w:eastAsia="Constantia" w:hAnsi="Georgia" w:cs="Times New Roman"/>
          <w:sz w:val="24"/>
          <w:szCs w:val="24"/>
        </w:rPr>
        <w:t>, s</w:t>
      </w:r>
      <w:r w:rsidR="00992413" w:rsidRPr="0049594B">
        <w:rPr>
          <w:rFonts w:ascii="Georgia" w:eastAsia="Constantia" w:hAnsi="Georgia" w:cs="Times New Roman"/>
          <w:sz w:val="24"/>
          <w:szCs w:val="24"/>
        </w:rPr>
        <w:t>o as to ‘leave no one behind’.</w:t>
      </w:r>
      <w:r w:rsidR="006861F9" w:rsidRPr="0049594B">
        <w:rPr>
          <w:rFonts w:ascii="Georgia" w:eastAsia="Constantia" w:hAnsi="Georgia" w:cs="Times New Roman"/>
          <w:sz w:val="24"/>
          <w:szCs w:val="24"/>
        </w:rPr>
        <w:t xml:space="preserve"> </w:t>
      </w:r>
      <w:r w:rsidR="00C163A8" w:rsidRPr="0049594B">
        <w:rPr>
          <w:rFonts w:ascii="Georgia" w:eastAsia="Constantia" w:hAnsi="Georgia" w:cs="Times New Roman"/>
          <w:sz w:val="24"/>
          <w:szCs w:val="24"/>
        </w:rPr>
        <w:t>At the same time, efforts are required to reverse the decline in the coverage of social security</w:t>
      </w:r>
      <w:r w:rsidR="00E03E6C" w:rsidRPr="0049594B">
        <w:rPr>
          <w:rFonts w:ascii="Georgia" w:eastAsia="Constantia" w:hAnsi="Georgia" w:cs="Times New Roman"/>
          <w:sz w:val="24"/>
          <w:szCs w:val="24"/>
        </w:rPr>
        <w:t xml:space="preserve">, and particularly </w:t>
      </w:r>
      <w:r w:rsidR="000E208E" w:rsidRPr="0049594B">
        <w:rPr>
          <w:rFonts w:ascii="Georgia" w:eastAsia="Constantia" w:hAnsi="Georgia" w:cs="Times New Roman"/>
          <w:sz w:val="24"/>
          <w:szCs w:val="24"/>
        </w:rPr>
        <w:t xml:space="preserve">raise the coverage among the population in the </w:t>
      </w:r>
      <w:r w:rsidR="005A3DC3" w:rsidRPr="0049594B">
        <w:rPr>
          <w:rFonts w:ascii="Georgia" w:eastAsia="Constantia" w:hAnsi="Georgia" w:cs="Times New Roman"/>
          <w:sz w:val="24"/>
          <w:szCs w:val="24"/>
        </w:rPr>
        <w:t>lowest quintiles</w:t>
      </w:r>
      <w:r w:rsidR="00D369ED" w:rsidRPr="0049594B">
        <w:rPr>
          <w:rFonts w:ascii="Georgia" w:eastAsia="Constantia" w:hAnsi="Georgia" w:cs="Times New Roman"/>
          <w:sz w:val="24"/>
          <w:szCs w:val="24"/>
        </w:rPr>
        <w:t xml:space="preserve">, </w:t>
      </w:r>
      <w:r w:rsidR="00B158A0" w:rsidRPr="0049594B">
        <w:rPr>
          <w:rFonts w:ascii="Georgia" w:eastAsia="Constantia" w:hAnsi="Georgia" w:cs="Times New Roman"/>
          <w:sz w:val="24"/>
          <w:szCs w:val="24"/>
        </w:rPr>
        <w:t>w</w:t>
      </w:r>
      <w:r w:rsidR="00DC648C" w:rsidRPr="0049594B">
        <w:rPr>
          <w:rFonts w:ascii="Georgia" w:eastAsia="Constantia" w:hAnsi="Georgia" w:cs="Times New Roman"/>
          <w:sz w:val="24"/>
          <w:szCs w:val="24"/>
        </w:rPr>
        <w:t>hich includes the poor population</w:t>
      </w:r>
      <w:r w:rsidR="005A3DC3" w:rsidRPr="0049594B">
        <w:rPr>
          <w:rFonts w:ascii="Georgia" w:eastAsia="Constantia" w:hAnsi="Georgia" w:cs="Times New Roman"/>
          <w:sz w:val="24"/>
          <w:szCs w:val="24"/>
        </w:rPr>
        <w:t>.</w:t>
      </w:r>
      <w:r w:rsidR="003E24B3" w:rsidRPr="0049594B">
        <w:rPr>
          <w:rFonts w:ascii="Georgia" w:eastAsia="Constantia" w:hAnsi="Georgia" w:cs="Times New Roman"/>
          <w:sz w:val="24"/>
          <w:szCs w:val="24"/>
        </w:rPr>
        <w:t xml:space="preserve"> </w:t>
      </w:r>
      <w:r w:rsidR="00ED73B2" w:rsidRPr="0049594B">
        <w:rPr>
          <w:rFonts w:ascii="Georgia" w:eastAsia="Constantia" w:hAnsi="Georgia" w:cs="Times New Roman"/>
          <w:sz w:val="24"/>
          <w:szCs w:val="24"/>
        </w:rPr>
        <w:t xml:space="preserve"> </w:t>
      </w:r>
    </w:p>
    <w:p w14:paraId="0E9F86CC" w14:textId="668496E5" w:rsidR="001E7DE1" w:rsidRPr="0049594B" w:rsidRDefault="001E7DE1" w:rsidP="001E7DE1">
      <w:pPr>
        <w:pStyle w:val="Heading2"/>
        <w:numPr>
          <w:ilvl w:val="1"/>
          <w:numId w:val="1"/>
        </w:numPr>
        <w:spacing w:before="240" w:after="120" w:line="240" w:lineRule="auto"/>
        <w:ind w:left="567" w:hanging="567"/>
        <w:rPr>
          <w:rFonts w:ascii="Georgia" w:eastAsia="Constantia" w:hAnsi="Georgia" w:cs="Times New Roman"/>
          <w:color w:val="000000" w:themeColor="text1"/>
          <w:sz w:val="24"/>
          <w:szCs w:val="24"/>
          <w:lang w:eastAsia="en-GB"/>
        </w:rPr>
      </w:pPr>
      <w:bookmarkStart w:id="90" w:name="_Toc129341298"/>
      <w:bookmarkStart w:id="91" w:name="_Toc145928791"/>
      <w:r w:rsidRPr="0049594B">
        <w:rPr>
          <w:rFonts w:ascii="Georgia" w:eastAsia="Constantia" w:hAnsi="Georgia" w:cs="Times New Roman"/>
          <w:color w:val="000000" w:themeColor="text1"/>
          <w:sz w:val="24"/>
          <w:szCs w:val="24"/>
          <w:lang w:eastAsia="en-GB"/>
        </w:rPr>
        <w:t>Gender</w:t>
      </w:r>
      <w:bookmarkEnd w:id="90"/>
      <w:bookmarkEnd w:id="91"/>
      <w:r w:rsidRPr="0049594B">
        <w:rPr>
          <w:rFonts w:ascii="Georgia" w:eastAsia="Constantia" w:hAnsi="Georgia" w:cs="Times New Roman"/>
          <w:color w:val="000000" w:themeColor="text1"/>
          <w:sz w:val="24"/>
          <w:szCs w:val="24"/>
          <w:lang w:eastAsia="en-GB"/>
        </w:rPr>
        <w:t xml:space="preserve"> </w:t>
      </w:r>
    </w:p>
    <w:p w14:paraId="70477621" w14:textId="3EB2403D" w:rsidR="00AC21FA" w:rsidRPr="0049594B" w:rsidRDefault="00AC21FA" w:rsidP="00EE4051">
      <w:pPr>
        <w:spacing w:after="0" w:line="240" w:lineRule="auto"/>
        <w:contextualSpacing/>
        <w:jc w:val="both"/>
        <w:rPr>
          <w:rFonts w:ascii="Georgia" w:hAnsi="Georgia" w:cs="Times New Roman"/>
          <w:sz w:val="24"/>
          <w:szCs w:val="24"/>
        </w:rPr>
      </w:pPr>
      <w:r w:rsidRPr="0049594B">
        <w:rPr>
          <w:rFonts w:ascii="Georgia" w:hAnsi="Georgia" w:cs="Times New Roman"/>
          <w:sz w:val="24"/>
          <w:szCs w:val="24"/>
        </w:rPr>
        <w:t>The National Policy on Gender and Development (</w:t>
      </w:r>
      <w:r w:rsidR="00C72F07" w:rsidRPr="0049594B">
        <w:rPr>
          <w:rFonts w:ascii="Georgia" w:hAnsi="Georgia" w:cs="Times New Roman"/>
          <w:sz w:val="24"/>
          <w:szCs w:val="24"/>
        </w:rPr>
        <w:t xml:space="preserve">Republic of Kenya, </w:t>
      </w:r>
      <w:r w:rsidRPr="0049594B">
        <w:rPr>
          <w:rFonts w:ascii="Georgia" w:hAnsi="Georgia" w:cs="Times New Roman"/>
          <w:sz w:val="24"/>
          <w:szCs w:val="24"/>
        </w:rPr>
        <w:t>2019) is deeply anchored on the Constitution of 2010</w:t>
      </w:r>
      <w:r w:rsidR="004A700A" w:rsidRPr="0049594B">
        <w:rPr>
          <w:rFonts w:ascii="Georgia" w:hAnsi="Georgia" w:cs="Times New Roman"/>
          <w:sz w:val="24"/>
          <w:szCs w:val="24"/>
        </w:rPr>
        <w:t xml:space="preserve">. </w:t>
      </w:r>
      <w:r w:rsidR="0043167F" w:rsidRPr="0049594B">
        <w:rPr>
          <w:rFonts w:ascii="Georgia" w:hAnsi="Georgia" w:cs="Times New Roman"/>
          <w:sz w:val="24"/>
          <w:szCs w:val="24"/>
        </w:rPr>
        <w:t xml:space="preserve">The policy </w:t>
      </w:r>
      <w:r w:rsidRPr="0049594B">
        <w:rPr>
          <w:rFonts w:ascii="Georgia" w:hAnsi="Georgia" w:cs="Times New Roman"/>
          <w:sz w:val="24"/>
          <w:szCs w:val="24"/>
        </w:rPr>
        <w:t>aim</w:t>
      </w:r>
      <w:r w:rsidR="0043167F" w:rsidRPr="0049594B">
        <w:rPr>
          <w:rFonts w:ascii="Georgia" w:hAnsi="Georgia" w:cs="Times New Roman"/>
          <w:sz w:val="24"/>
          <w:szCs w:val="24"/>
        </w:rPr>
        <w:t xml:space="preserve">s at </w:t>
      </w:r>
      <w:r w:rsidR="00ED51BF" w:rsidRPr="0049594B">
        <w:rPr>
          <w:rFonts w:ascii="Georgia" w:hAnsi="Georgia" w:cs="Times New Roman"/>
          <w:sz w:val="24"/>
          <w:szCs w:val="24"/>
        </w:rPr>
        <w:t>achieving</w:t>
      </w:r>
      <w:r w:rsidRPr="0049594B">
        <w:rPr>
          <w:rFonts w:ascii="Georgia" w:hAnsi="Georgia" w:cs="Times New Roman"/>
          <w:sz w:val="24"/>
          <w:szCs w:val="24"/>
        </w:rPr>
        <w:t xml:space="preserve"> gender equality in different dimensions </w:t>
      </w:r>
      <w:r w:rsidR="002A1C8F" w:rsidRPr="0049594B">
        <w:rPr>
          <w:rFonts w:ascii="Georgia" w:hAnsi="Georgia" w:cs="Times New Roman"/>
          <w:sz w:val="24"/>
          <w:szCs w:val="24"/>
        </w:rPr>
        <w:t>– including the ones covered in Section 1</w:t>
      </w:r>
      <w:r w:rsidR="00AD45A8" w:rsidRPr="0049594B">
        <w:rPr>
          <w:rFonts w:ascii="Georgia" w:hAnsi="Georgia" w:cs="Times New Roman"/>
          <w:sz w:val="24"/>
          <w:szCs w:val="24"/>
        </w:rPr>
        <w:t xml:space="preserve"> of this diagnostic. It </w:t>
      </w:r>
      <w:r w:rsidR="005918E5" w:rsidRPr="0049594B">
        <w:rPr>
          <w:rFonts w:ascii="Georgia" w:hAnsi="Georgia" w:cs="Times New Roman"/>
          <w:sz w:val="24"/>
          <w:szCs w:val="24"/>
        </w:rPr>
        <w:t xml:space="preserve">proposes </w:t>
      </w:r>
      <w:r w:rsidRPr="0049594B">
        <w:rPr>
          <w:rFonts w:ascii="Georgia" w:hAnsi="Georgia" w:cs="Times New Roman"/>
          <w:sz w:val="24"/>
          <w:szCs w:val="24"/>
        </w:rPr>
        <w:t>priority actions</w:t>
      </w:r>
      <w:r w:rsidR="00FE7F36" w:rsidRPr="0049594B">
        <w:rPr>
          <w:rFonts w:ascii="Georgia" w:hAnsi="Georgia" w:cs="Times New Roman"/>
          <w:sz w:val="24"/>
          <w:szCs w:val="24"/>
        </w:rPr>
        <w:t xml:space="preserve"> related to the</w:t>
      </w:r>
      <w:r w:rsidR="00CC2186" w:rsidRPr="0049594B">
        <w:rPr>
          <w:rFonts w:ascii="Georgia" w:hAnsi="Georgia" w:cs="Times New Roman"/>
          <w:sz w:val="24"/>
          <w:szCs w:val="24"/>
        </w:rPr>
        <w:t xml:space="preserve"> dimensions of gender equality or inequality.</w:t>
      </w:r>
      <w:r w:rsidRPr="0049594B">
        <w:rPr>
          <w:rFonts w:ascii="Georgia" w:hAnsi="Georgia" w:cs="Times New Roman"/>
          <w:sz w:val="24"/>
          <w:szCs w:val="24"/>
        </w:rPr>
        <w:t xml:space="preserve"> </w:t>
      </w:r>
      <w:r w:rsidR="00ED51BF" w:rsidRPr="0049594B">
        <w:rPr>
          <w:rFonts w:ascii="Georgia" w:hAnsi="Georgia" w:cs="Times New Roman"/>
          <w:sz w:val="24"/>
          <w:szCs w:val="24"/>
        </w:rPr>
        <w:t>T</w:t>
      </w:r>
      <w:r w:rsidRPr="0049594B">
        <w:rPr>
          <w:rFonts w:ascii="Georgia" w:hAnsi="Georgia" w:cs="Times New Roman"/>
          <w:sz w:val="24"/>
          <w:szCs w:val="24"/>
        </w:rPr>
        <w:t xml:space="preserve">he policy </w:t>
      </w:r>
      <w:r w:rsidR="00257D9A" w:rsidRPr="0049594B">
        <w:rPr>
          <w:rFonts w:ascii="Georgia" w:hAnsi="Georgia" w:cs="Times New Roman"/>
          <w:sz w:val="24"/>
          <w:szCs w:val="24"/>
        </w:rPr>
        <w:t xml:space="preserve">priority </w:t>
      </w:r>
      <w:r w:rsidRPr="0049594B">
        <w:rPr>
          <w:rFonts w:ascii="Georgia" w:hAnsi="Georgia" w:cs="Times New Roman"/>
          <w:sz w:val="24"/>
          <w:szCs w:val="24"/>
        </w:rPr>
        <w:t xml:space="preserve">actions are aligned with some guiding principles derived from the </w:t>
      </w:r>
      <w:r w:rsidR="007430F2" w:rsidRPr="0049594B">
        <w:rPr>
          <w:rFonts w:ascii="Georgia" w:hAnsi="Georgia" w:cs="Times New Roman"/>
          <w:sz w:val="24"/>
          <w:szCs w:val="24"/>
        </w:rPr>
        <w:t>C</w:t>
      </w:r>
      <w:r w:rsidRPr="0049594B">
        <w:rPr>
          <w:rFonts w:ascii="Georgia" w:hAnsi="Georgia" w:cs="Times New Roman"/>
          <w:sz w:val="24"/>
          <w:szCs w:val="24"/>
        </w:rPr>
        <w:t>onstitution (</w:t>
      </w:r>
      <w:r w:rsidR="00E67720" w:rsidRPr="0049594B">
        <w:rPr>
          <w:rFonts w:ascii="Georgia" w:hAnsi="Georgia" w:cs="Times New Roman"/>
          <w:sz w:val="24"/>
          <w:szCs w:val="24"/>
        </w:rPr>
        <w:t xml:space="preserve">Ibid.: </w:t>
      </w:r>
      <w:r w:rsidRPr="0049594B">
        <w:rPr>
          <w:rFonts w:ascii="Georgia" w:hAnsi="Georgia" w:cs="Times New Roman"/>
          <w:sz w:val="24"/>
          <w:szCs w:val="24"/>
        </w:rPr>
        <w:t xml:space="preserve">28-29). </w:t>
      </w:r>
      <w:r w:rsidR="004316F9" w:rsidRPr="0049594B">
        <w:rPr>
          <w:rFonts w:ascii="Georgia" w:hAnsi="Georgia" w:cs="Times New Roman"/>
          <w:sz w:val="24"/>
          <w:szCs w:val="24"/>
        </w:rPr>
        <w:t>The most relevant p</w:t>
      </w:r>
      <w:r w:rsidRPr="0049594B">
        <w:rPr>
          <w:rFonts w:ascii="Georgia" w:hAnsi="Georgia" w:cs="Times New Roman"/>
          <w:sz w:val="24"/>
          <w:szCs w:val="24"/>
        </w:rPr>
        <w:t>rinciples are:</w:t>
      </w:r>
    </w:p>
    <w:p w14:paraId="0E90BB9F" w14:textId="60BE6E3F" w:rsidR="00AC21FA" w:rsidRPr="0049594B" w:rsidRDefault="00AC21FA" w:rsidP="004316F9">
      <w:pPr>
        <w:pStyle w:val="ListParagraph"/>
        <w:numPr>
          <w:ilvl w:val="0"/>
          <w:numId w:val="30"/>
        </w:num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Equality, equity and non-discrimination; </w:t>
      </w:r>
    </w:p>
    <w:p w14:paraId="617A71F7" w14:textId="04985303" w:rsidR="00AC21FA" w:rsidRPr="0049594B" w:rsidRDefault="00AC21FA" w:rsidP="004316F9">
      <w:pPr>
        <w:pStyle w:val="ListParagraph"/>
        <w:numPr>
          <w:ilvl w:val="0"/>
          <w:numId w:val="30"/>
        </w:num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Recognition of differences, diversities and inequalities among women and men; </w:t>
      </w:r>
    </w:p>
    <w:p w14:paraId="3F8DE539" w14:textId="58394295" w:rsidR="00AC21FA" w:rsidRPr="0049594B" w:rsidRDefault="00AC21FA" w:rsidP="004316F9">
      <w:pPr>
        <w:pStyle w:val="ListParagraph"/>
        <w:numPr>
          <w:ilvl w:val="0"/>
          <w:numId w:val="30"/>
        </w:numPr>
        <w:spacing w:after="120" w:line="240" w:lineRule="auto"/>
        <w:jc w:val="both"/>
        <w:rPr>
          <w:rFonts w:ascii="Georgia" w:hAnsi="Georgia" w:cs="Times New Roman"/>
          <w:sz w:val="24"/>
          <w:szCs w:val="24"/>
        </w:rPr>
      </w:pPr>
      <w:r w:rsidRPr="0049594B">
        <w:rPr>
          <w:rFonts w:ascii="Georgia" w:hAnsi="Georgia" w:cs="Times New Roman"/>
          <w:sz w:val="24"/>
          <w:szCs w:val="24"/>
        </w:rPr>
        <w:t>Sustainable development and inclusive growth;</w:t>
      </w:r>
      <w:r w:rsidR="00A9344F" w:rsidRPr="0049594B">
        <w:rPr>
          <w:rFonts w:ascii="Georgia" w:hAnsi="Georgia" w:cs="Times New Roman"/>
          <w:sz w:val="24"/>
          <w:szCs w:val="24"/>
        </w:rPr>
        <w:t xml:space="preserve"> and</w:t>
      </w:r>
    </w:p>
    <w:p w14:paraId="419F8BF5" w14:textId="27BC3E60" w:rsidR="00AC21FA" w:rsidRPr="0049594B" w:rsidRDefault="00AC21FA" w:rsidP="004316F9">
      <w:pPr>
        <w:pStyle w:val="ListParagraph"/>
        <w:numPr>
          <w:ilvl w:val="0"/>
          <w:numId w:val="30"/>
        </w:numPr>
        <w:spacing w:after="120" w:line="240" w:lineRule="auto"/>
        <w:jc w:val="both"/>
        <w:rPr>
          <w:rFonts w:ascii="Georgia" w:hAnsi="Georgia" w:cs="Times New Roman"/>
          <w:sz w:val="24"/>
          <w:szCs w:val="24"/>
        </w:rPr>
      </w:pPr>
      <w:r w:rsidRPr="0049594B">
        <w:rPr>
          <w:rFonts w:ascii="Georgia" w:hAnsi="Georgia" w:cs="Times New Roman"/>
          <w:sz w:val="24"/>
          <w:szCs w:val="24"/>
        </w:rPr>
        <w:t>Protection, inclusion and integration of the marginalized and special interest groups</w:t>
      </w:r>
      <w:r w:rsidR="00A9344F" w:rsidRPr="0049594B">
        <w:rPr>
          <w:rFonts w:ascii="Georgia" w:hAnsi="Georgia" w:cs="Times New Roman"/>
          <w:sz w:val="24"/>
          <w:szCs w:val="24"/>
        </w:rPr>
        <w:t>.</w:t>
      </w:r>
    </w:p>
    <w:p w14:paraId="5B802E01" w14:textId="2B1DF067" w:rsidR="00AC21FA" w:rsidRPr="0049594B" w:rsidRDefault="00AC21FA" w:rsidP="00EE4051">
      <w:pPr>
        <w:spacing w:after="0" w:line="240" w:lineRule="auto"/>
        <w:contextualSpacing/>
        <w:jc w:val="both"/>
        <w:rPr>
          <w:rFonts w:ascii="Georgia" w:hAnsi="Georgia" w:cs="Times New Roman"/>
          <w:sz w:val="24"/>
          <w:szCs w:val="24"/>
        </w:rPr>
      </w:pPr>
      <w:r w:rsidRPr="0049594B">
        <w:rPr>
          <w:rFonts w:ascii="Georgia" w:hAnsi="Georgia" w:cs="Times New Roman"/>
          <w:sz w:val="24"/>
          <w:szCs w:val="24"/>
        </w:rPr>
        <w:t xml:space="preserve">It is also relevant to </w:t>
      </w:r>
      <w:r w:rsidR="00EB5D37" w:rsidRPr="0049594B">
        <w:rPr>
          <w:rFonts w:ascii="Georgia" w:hAnsi="Georgia" w:cs="Times New Roman"/>
          <w:sz w:val="24"/>
          <w:szCs w:val="24"/>
        </w:rPr>
        <w:t xml:space="preserve">bear in </w:t>
      </w:r>
      <w:r w:rsidRPr="0049594B">
        <w:rPr>
          <w:rFonts w:ascii="Georgia" w:hAnsi="Georgia" w:cs="Times New Roman"/>
          <w:sz w:val="24"/>
          <w:szCs w:val="24"/>
        </w:rPr>
        <w:t>mind the policy approaches that guide, in a general way, the actions that are intended to be implemented (</w:t>
      </w:r>
      <w:r w:rsidR="00EB5D37" w:rsidRPr="0049594B">
        <w:rPr>
          <w:rFonts w:ascii="Georgia" w:hAnsi="Georgia" w:cs="Times New Roman"/>
          <w:sz w:val="24"/>
          <w:szCs w:val="24"/>
        </w:rPr>
        <w:t xml:space="preserve">Ibid.: </w:t>
      </w:r>
      <w:r w:rsidRPr="0049594B">
        <w:rPr>
          <w:rFonts w:ascii="Georgia" w:hAnsi="Georgia" w:cs="Times New Roman"/>
          <w:sz w:val="24"/>
          <w:szCs w:val="24"/>
        </w:rPr>
        <w:t>29). These approaches are:</w:t>
      </w:r>
    </w:p>
    <w:p w14:paraId="5F71B6A6" w14:textId="74635DC9" w:rsidR="00AC21FA" w:rsidRPr="0049594B" w:rsidRDefault="00AC21FA" w:rsidP="00CA1F8E">
      <w:pPr>
        <w:pStyle w:val="ListParagraph"/>
        <w:numPr>
          <w:ilvl w:val="0"/>
          <w:numId w:val="31"/>
        </w:num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Gender mainstreaming and integration in all planned interventions; </w:t>
      </w:r>
    </w:p>
    <w:p w14:paraId="2878F9CA" w14:textId="199A8677" w:rsidR="00AC21FA" w:rsidRPr="0049594B" w:rsidRDefault="00AC21FA" w:rsidP="00CA1F8E">
      <w:pPr>
        <w:pStyle w:val="ListParagraph"/>
        <w:numPr>
          <w:ilvl w:val="0"/>
          <w:numId w:val="31"/>
        </w:num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Affirmative </w:t>
      </w:r>
      <w:r w:rsidR="00FF02C9" w:rsidRPr="0049594B">
        <w:rPr>
          <w:rFonts w:ascii="Georgia" w:hAnsi="Georgia" w:cs="Times New Roman"/>
          <w:sz w:val="24"/>
          <w:szCs w:val="24"/>
        </w:rPr>
        <w:t>a</w:t>
      </w:r>
      <w:r w:rsidRPr="0049594B">
        <w:rPr>
          <w:rFonts w:ascii="Georgia" w:hAnsi="Georgia" w:cs="Times New Roman"/>
          <w:sz w:val="24"/>
          <w:szCs w:val="24"/>
        </w:rPr>
        <w:t xml:space="preserve">ction to ensure that temporary special measures are used to address past gender inequalities and injustices; </w:t>
      </w:r>
    </w:p>
    <w:p w14:paraId="44137B0C" w14:textId="087A4F81" w:rsidR="00AC21FA" w:rsidRPr="0049594B" w:rsidRDefault="00AC21FA" w:rsidP="00CA1F8E">
      <w:pPr>
        <w:pStyle w:val="ListParagraph"/>
        <w:numPr>
          <w:ilvl w:val="0"/>
          <w:numId w:val="31"/>
        </w:num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Empowerment of women, men, boys and girls to facilitate equality, equity and non-discrimination; </w:t>
      </w:r>
    </w:p>
    <w:p w14:paraId="3A644BD5" w14:textId="5748C395" w:rsidR="00AC21FA" w:rsidRPr="0049594B" w:rsidRDefault="00AC21FA" w:rsidP="00CA1F8E">
      <w:pPr>
        <w:pStyle w:val="ListParagraph"/>
        <w:numPr>
          <w:ilvl w:val="0"/>
          <w:numId w:val="31"/>
        </w:num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Involvement of men in addressing gender issues; </w:t>
      </w:r>
    </w:p>
    <w:p w14:paraId="34BE075E" w14:textId="1D84130C" w:rsidR="00AC21FA" w:rsidRPr="0049594B" w:rsidRDefault="00AC21FA" w:rsidP="00CA1F8E">
      <w:pPr>
        <w:pStyle w:val="ListParagraph"/>
        <w:numPr>
          <w:ilvl w:val="0"/>
          <w:numId w:val="31"/>
        </w:num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Institutional and human capacity building; </w:t>
      </w:r>
    </w:p>
    <w:p w14:paraId="792D6495" w14:textId="6EDB7B70" w:rsidR="00AC21FA" w:rsidRPr="0049594B" w:rsidRDefault="00AC21FA" w:rsidP="00CA1F8E">
      <w:pPr>
        <w:pStyle w:val="ListParagraph"/>
        <w:numPr>
          <w:ilvl w:val="0"/>
          <w:numId w:val="31"/>
        </w:numPr>
        <w:spacing w:after="120" w:line="240" w:lineRule="auto"/>
        <w:jc w:val="both"/>
        <w:rPr>
          <w:rFonts w:ascii="Georgia" w:hAnsi="Georgia" w:cs="Times New Roman"/>
          <w:sz w:val="24"/>
          <w:szCs w:val="24"/>
        </w:rPr>
      </w:pPr>
      <w:r w:rsidRPr="0049594B">
        <w:rPr>
          <w:rFonts w:ascii="Georgia" w:hAnsi="Georgia" w:cs="Times New Roman"/>
          <w:sz w:val="24"/>
          <w:szCs w:val="24"/>
        </w:rPr>
        <w:t>Gender responsive development planning budgeting;</w:t>
      </w:r>
    </w:p>
    <w:p w14:paraId="5D789440" w14:textId="751B6DD9" w:rsidR="00AC21FA" w:rsidRPr="0049594B" w:rsidRDefault="00AC21FA" w:rsidP="00CA1F8E">
      <w:pPr>
        <w:pStyle w:val="ListParagraph"/>
        <w:numPr>
          <w:ilvl w:val="0"/>
          <w:numId w:val="31"/>
        </w:numPr>
        <w:spacing w:after="120" w:line="240" w:lineRule="auto"/>
        <w:jc w:val="both"/>
        <w:rPr>
          <w:rFonts w:ascii="Georgia" w:hAnsi="Georgia" w:cs="Times New Roman"/>
          <w:sz w:val="24"/>
          <w:szCs w:val="24"/>
        </w:rPr>
      </w:pPr>
      <w:r w:rsidRPr="0049594B">
        <w:rPr>
          <w:rFonts w:ascii="Georgia" w:hAnsi="Georgia" w:cs="Times New Roman"/>
          <w:sz w:val="24"/>
          <w:szCs w:val="24"/>
        </w:rPr>
        <w:t>Generating data and indicators that are disaggregated by sex, age and disability.</w:t>
      </w:r>
    </w:p>
    <w:p w14:paraId="7ACF4276" w14:textId="5E317D3C" w:rsidR="00AC21FA" w:rsidRPr="0049594B" w:rsidRDefault="00BD597D" w:rsidP="00EE4051">
      <w:pPr>
        <w:spacing w:after="0" w:line="240" w:lineRule="auto"/>
        <w:contextualSpacing/>
        <w:jc w:val="both"/>
        <w:rPr>
          <w:rFonts w:ascii="Georgia" w:hAnsi="Georgia" w:cs="Times New Roman"/>
          <w:sz w:val="24"/>
          <w:szCs w:val="24"/>
        </w:rPr>
      </w:pPr>
      <w:r w:rsidRPr="0049594B">
        <w:rPr>
          <w:rFonts w:ascii="Georgia" w:hAnsi="Georgia" w:cs="Times New Roman"/>
          <w:sz w:val="24"/>
          <w:szCs w:val="24"/>
        </w:rPr>
        <w:t>A selection of the p</w:t>
      </w:r>
      <w:r w:rsidR="00AC21FA" w:rsidRPr="0049594B">
        <w:rPr>
          <w:rFonts w:ascii="Georgia" w:hAnsi="Georgia" w:cs="Times New Roman"/>
          <w:sz w:val="24"/>
          <w:szCs w:val="24"/>
        </w:rPr>
        <w:t>olicy priority actions</w:t>
      </w:r>
      <w:r w:rsidR="00E53CA7" w:rsidRPr="0049594B">
        <w:rPr>
          <w:rFonts w:ascii="Georgia" w:hAnsi="Georgia" w:cs="Times New Roman"/>
          <w:sz w:val="24"/>
          <w:szCs w:val="24"/>
        </w:rPr>
        <w:t xml:space="preserve"> listed in Republic of Kenya (2019: 32-</w:t>
      </w:r>
      <w:r w:rsidR="000F0498" w:rsidRPr="0049594B">
        <w:rPr>
          <w:rFonts w:ascii="Georgia" w:hAnsi="Georgia" w:cs="Times New Roman"/>
          <w:sz w:val="24"/>
          <w:szCs w:val="24"/>
        </w:rPr>
        <w:t>38</w:t>
      </w:r>
      <w:r w:rsidR="00E53CA7" w:rsidRPr="0049594B">
        <w:rPr>
          <w:rFonts w:ascii="Georgia" w:hAnsi="Georgia" w:cs="Times New Roman"/>
          <w:sz w:val="24"/>
          <w:szCs w:val="24"/>
        </w:rPr>
        <w:t>)</w:t>
      </w:r>
      <w:r w:rsidRPr="0049594B">
        <w:rPr>
          <w:rFonts w:ascii="Georgia" w:hAnsi="Georgia" w:cs="Times New Roman"/>
          <w:sz w:val="24"/>
          <w:szCs w:val="24"/>
        </w:rPr>
        <w:t xml:space="preserve"> is:</w:t>
      </w:r>
    </w:p>
    <w:p w14:paraId="62D134D2" w14:textId="54A8F30C" w:rsidR="00AC21FA" w:rsidRPr="0049594B" w:rsidRDefault="00AC21FA" w:rsidP="000F0498">
      <w:pPr>
        <w:pStyle w:val="ListParagraph"/>
        <w:numPr>
          <w:ilvl w:val="0"/>
          <w:numId w:val="33"/>
        </w:numPr>
        <w:spacing w:after="120" w:line="240" w:lineRule="auto"/>
        <w:ind w:left="360"/>
        <w:jc w:val="both"/>
        <w:rPr>
          <w:rFonts w:ascii="Georgia" w:hAnsi="Georgia" w:cs="Times New Roman"/>
          <w:sz w:val="24"/>
          <w:szCs w:val="24"/>
        </w:rPr>
      </w:pPr>
      <w:r w:rsidRPr="0049594B">
        <w:rPr>
          <w:rFonts w:ascii="Georgia" w:hAnsi="Georgia" w:cs="Times New Roman"/>
          <w:sz w:val="24"/>
          <w:szCs w:val="24"/>
        </w:rPr>
        <w:t>Poverty eradication</w:t>
      </w:r>
      <w:r w:rsidR="00E53CA7" w:rsidRPr="0049594B">
        <w:rPr>
          <w:rFonts w:ascii="Georgia" w:hAnsi="Georgia" w:cs="Times New Roman"/>
          <w:sz w:val="24"/>
          <w:szCs w:val="24"/>
        </w:rPr>
        <w:t xml:space="preserve">: </w:t>
      </w:r>
      <w:r w:rsidRPr="0049594B">
        <w:rPr>
          <w:rFonts w:ascii="Georgia" w:hAnsi="Georgia" w:cs="Times New Roman"/>
          <w:sz w:val="24"/>
          <w:szCs w:val="24"/>
        </w:rPr>
        <w:t>Ensure equal opportunities and reduce inequalities of outcome, including by eliminating discriminatory laws, policies and practices and promoting appropriate legislation, policies and action. Empower women and men to have access to and control over economic opportunities and resources.</w:t>
      </w:r>
    </w:p>
    <w:p w14:paraId="6689E44D" w14:textId="3F38FE0A" w:rsidR="00AC21FA" w:rsidRPr="0049594B" w:rsidRDefault="00AC21FA" w:rsidP="000F0498">
      <w:pPr>
        <w:pStyle w:val="ListParagraph"/>
        <w:numPr>
          <w:ilvl w:val="0"/>
          <w:numId w:val="33"/>
        </w:numPr>
        <w:spacing w:after="120" w:line="240" w:lineRule="auto"/>
        <w:ind w:left="360"/>
        <w:jc w:val="both"/>
        <w:rPr>
          <w:rFonts w:ascii="Georgia" w:hAnsi="Georgia" w:cs="Times New Roman"/>
          <w:sz w:val="24"/>
          <w:szCs w:val="24"/>
        </w:rPr>
      </w:pPr>
      <w:r w:rsidRPr="0049594B">
        <w:rPr>
          <w:rFonts w:ascii="Georgia" w:hAnsi="Georgia" w:cs="Times New Roman"/>
          <w:sz w:val="24"/>
          <w:szCs w:val="24"/>
        </w:rPr>
        <w:t>Access to labour and economy</w:t>
      </w:r>
      <w:r w:rsidR="000F0498" w:rsidRPr="0049594B">
        <w:rPr>
          <w:rFonts w:ascii="Georgia" w:hAnsi="Georgia" w:cs="Times New Roman"/>
          <w:sz w:val="24"/>
          <w:szCs w:val="24"/>
        </w:rPr>
        <w:t xml:space="preserve">: </w:t>
      </w:r>
      <w:r w:rsidRPr="0049594B">
        <w:rPr>
          <w:rFonts w:ascii="Georgia" w:hAnsi="Georgia" w:cs="Times New Roman"/>
          <w:sz w:val="24"/>
          <w:szCs w:val="24"/>
        </w:rPr>
        <w:t>Eliminate discrimination in access to employment, promotion and training including equal remuneration to enhance income security for men and women.</w:t>
      </w:r>
    </w:p>
    <w:p w14:paraId="00CA3047" w14:textId="1DDA8CAB" w:rsidR="00AC21FA" w:rsidRPr="0049594B" w:rsidRDefault="00AC21FA" w:rsidP="000F0498">
      <w:pPr>
        <w:pStyle w:val="ListParagraph"/>
        <w:numPr>
          <w:ilvl w:val="0"/>
          <w:numId w:val="33"/>
        </w:numPr>
        <w:spacing w:after="120" w:line="240" w:lineRule="auto"/>
        <w:ind w:left="360"/>
        <w:jc w:val="both"/>
        <w:rPr>
          <w:rFonts w:ascii="Georgia" w:hAnsi="Georgia" w:cs="Times New Roman"/>
          <w:sz w:val="24"/>
          <w:szCs w:val="24"/>
        </w:rPr>
      </w:pPr>
      <w:r w:rsidRPr="0049594B">
        <w:rPr>
          <w:rFonts w:ascii="Georgia" w:hAnsi="Georgia" w:cs="Times New Roman"/>
          <w:sz w:val="24"/>
          <w:szCs w:val="24"/>
        </w:rPr>
        <w:t>Access to education</w:t>
      </w:r>
      <w:r w:rsidR="000F0498" w:rsidRPr="0049594B">
        <w:rPr>
          <w:rFonts w:ascii="Georgia" w:hAnsi="Georgia" w:cs="Times New Roman"/>
          <w:sz w:val="24"/>
          <w:szCs w:val="24"/>
        </w:rPr>
        <w:t xml:space="preserve">: </w:t>
      </w:r>
      <w:r w:rsidRPr="0049594B">
        <w:rPr>
          <w:rFonts w:ascii="Georgia" w:hAnsi="Georgia" w:cs="Times New Roman"/>
          <w:sz w:val="24"/>
          <w:szCs w:val="24"/>
        </w:rPr>
        <w:t>Enhance and sustain measures to eliminate gender disparities in access to, retention, transition, performance and quality in education for women, men, girls and boys.</w:t>
      </w:r>
    </w:p>
    <w:p w14:paraId="0FB21115" w14:textId="4AF88EAA" w:rsidR="00AC21FA" w:rsidRPr="0049594B" w:rsidRDefault="00AC21FA" w:rsidP="00A82686">
      <w:pPr>
        <w:pStyle w:val="ListParagraph"/>
        <w:numPr>
          <w:ilvl w:val="0"/>
          <w:numId w:val="33"/>
        </w:numPr>
        <w:spacing w:after="120" w:line="240" w:lineRule="auto"/>
        <w:ind w:left="360"/>
        <w:jc w:val="both"/>
        <w:rPr>
          <w:rFonts w:ascii="Georgia" w:hAnsi="Georgia" w:cs="Times New Roman"/>
          <w:sz w:val="24"/>
          <w:szCs w:val="24"/>
        </w:rPr>
      </w:pPr>
      <w:r w:rsidRPr="0049594B">
        <w:rPr>
          <w:rFonts w:ascii="Georgia" w:hAnsi="Georgia" w:cs="Times New Roman"/>
          <w:sz w:val="24"/>
          <w:szCs w:val="24"/>
        </w:rPr>
        <w:t>Access to health care</w:t>
      </w:r>
      <w:r w:rsidR="000F0498" w:rsidRPr="0049594B">
        <w:rPr>
          <w:rFonts w:ascii="Georgia" w:hAnsi="Georgia" w:cs="Times New Roman"/>
          <w:sz w:val="24"/>
          <w:szCs w:val="24"/>
        </w:rPr>
        <w:t xml:space="preserve">: </w:t>
      </w:r>
      <w:r w:rsidRPr="0049594B">
        <w:rPr>
          <w:rFonts w:ascii="Georgia" w:hAnsi="Georgia" w:cs="Times New Roman"/>
          <w:sz w:val="24"/>
          <w:szCs w:val="24"/>
        </w:rPr>
        <w:t>Facilitate affordable, accessible, acceptable and quality health care services including reproductive health care, emergency services, family planning, HIV and AIDS service for women and men, girls and boys.</w:t>
      </w:r>
    </w:p>
    <w:p w14:paraId="6D0D5870" w14:textId="2ACD3E9A" w:rsidR="003B79D3" w:rsidRPr="0049594B" w:rsidRDefault="003B79D3" w:rsidP="0026294A">
      <w:pPr>
        <w:spacing w:after="120" w:line="240" w:lineRule="auto"/>
        <w:jc w:val="both"/>
        <w:rPr>
          <w:rFonts w:ascii="Georgia" w:hAnsi="Georgia" w:cs="Times New Roman"/>
          <w:sz w:val="24"/>
          <w:szCs w:val="24"/>
        </w:rPr>
      </w:pPr>
      <w:r w:rsidRPr="0049594B">
        <w:rPr>
          <w:rFonts w:ascii="Georgia" w:hAnsi="Georgia" w:cs="Times New Roman"/>
          <w:sz w:val="24"/>
          <w:szCs w:val="24"/>
        </w:rPr>
        <w:t>First of all, it is suggested</w:t>
      </w:r>
      <w:r w:rsidR="003E24B3" w:rsidRPr="0049594B">
        <w:rPr>
          <w:rFonts w:ascii="Georgia" w:hAnsi="Georgia" w:cs="Times New Roman"/>
          <w:sz w:val="24"/>
          <w:szCs w:val="24"/>
        </w:rPr>
        <w:t xml:space="preserve"> </w:t>
      </w:r>
      <w:r w:rsidRPr="0049594B">
        <w:rPr>
          <w:rFonts w:ascii="Georgia" w:hAnsi="Georgia" w:cs="Times New Roman"/>
          <w:sz w:val="24"/>
          <w:szCs w:val="24"/>
        </w:rPr>
        <w:t>to study, analyse and diagnose the different levels and forms of gender disparity (domestic violence, economic opportunities, access to education, finances and time spent on care activities).</w:t>
      </w:r>
    </w:p>
    <w:p w14:paraId="0DEB68A4" w14:textId="7AD71FE0" w:rsidR="006E2A0C" w:rsidRPr="0049594B" w:rsidRDefault="006E2A0C" w:rsidP="0026294A">
      <w:pPr>
        <w:spacing w:after="120" w:line="240" w:lineRule="auto"/>
        <w:jc w:val="both"/>
        <w:rPr>
          <w:rFonts w:ascii="Georgia" w:hAnsi="Georgia" w:cs="Times New Roman"/>
          <w:sz w:val="24"/>
          <w:szCs w:val="24"/>
        </w:rPr>
      </w:pPr>
      <w:r w:rsidRPr="0049594B">
        <w:rPr>
          <w:rFonts w:ascii="Georgia" w:eastAsia="Constantia" w:hAnsi="Georgia" w:cs="Times New Roman"/>
          <w:i/>
          <w:iCs/>
          <w:sz w:val="24"/>
          <w:szCs w:val="24"/>
        </w:rPr>
        <w:t>Address gender inequalities in access to land</w:t>
      </w:r>
    </w:p>
    <w:p w14:paraId="470BE23D" w14:textId="215BC13E" w:rsidR="00E93865" w:rsidRPr="0049594B" w:rsidRDefault="00E93865" w:rsidP="00055A59">
      <w:pPr>
        <w:spacing w:after="120" w:line="240" w:lineRule="auto"/>
        <w:jc w:val="both"/>
        <w:rPr>
          <w:rFonts w:ascii="Georgia" w:hAnsi="Georgia" w:cs="Times New Roman"/>
          <w:sz w:val="24"/>
          <w:szCs w:val="24"/>
        </w:rPr>
      </w:pPr>
      <w:r w:rsidRPr="0049594B">
        <w:rPr>
          <w:rFonts w:ascii="Georgia" w:hAnsi="Georgia" w:cs="Times New Roman"/>
          <w:sz w:val="24"/>
          <w:szCs w:val="24"/>
        </w:rPr>
        <w:t>Nunow et al.</w:t>
      </w:r>
      <w:r w:rsidR="00362E6F" w:rsidRPr="0049594B">
        <w:rPr>
          <w:rFonts w:ascii="Georgia" w:hAnsi="Georgia" w:cs="Times New Roman"/>
          <w:sz w:val="24"/>
          <w:szCs w:val="24"/>
        </w:rPr>
        <w:t xml:space="preserve"> (2020) </w:t>
      </w:r>
      <w:r w:rsidR="00996B82" w:rsidRPr="0049594B">
        <w:rPr>
          <w:rFonts w:ascii="Georgia" w:hAnsi="Georgia" w:cs="Times New Roman"/>
          <w:sz w:val="24"/>
          <w:szCs w:val="24"/>
        </w:rPr>
        <w:t>recommend implementing d</w:t>
      </w:r>
      <w:r w:rsidRPr="0049594B">
        <w:rPr>
          <w:rFonts w:ascii="Georgia" w:hAnsi="Georgia" w:cs="Times New Roman"/>
          <w:sz w:val="24"/>
          <w:szCs w:val="24"/>
        </w:rPr>
        <w:t>eliberate government policies such as giving women more power in the land restitution process</w:t>
      </w:r>
      <w:r w:rsidR="0026294A" w:rsidRPr="0049594B">
        <w:rPr>
          <w:rFonts w:ascii="Georgia" w:hAnsi="Georgia" w:cs="Times New Roman"/>
          <w:sz w:val="24"/>
          <w:szCs w:val="24"/>
        </w:rPr>
        <w:t>, which</w:t>
      </w:r>
      <w:r w:rsidRPr="0049594B">
        <w:rPr>
          <w:rFonts w:ascii="Georgia" w:hAnsi="Georgia" w:cs="Times New Roman"/>
          <w:sz w:val="24"/>
          <w:szCs w:val="24"/>
        </w:rPr>
        <w:t xml:space="preserve"> can reduce gender inequality.</w:t>
      </w:r>
      <w:r w:rsidR="00DD4BAC" w:rsidRPr="0049594B">
        <w:rPr>
          <w:rFonts w:ascii="Georgia" w:hAnsi="Georgia" w:cs="Times New Roman"/>
          <w:sz w:val="24"/>
          <w:szCs w:val="24"/>
        </w:rPr>
        <w:t xml:space="preserve"> It is suggested to explore this further.</w:t>
      </w:r>
    </w:p>
    <w:p w14:paraId="68D4C108" w14:textId="77777777" w:rsidR="00D57DB8" w:rsidRPr="0049594B" w:rsidRDefault="00D57DB8" w:rsidP="00D57DB8">
      <w:pPr>
        <w:spacing w:after="120" w:line="240" w:lineRule="auto"/>
        <w:jc w:val="both"/>
        <w:rPr>
          <w:rFonts w:ascii="Georgia" w:eastAsia="Constantia" w:hAnsi="Georgia" w:cs="Times New Roman"/>
          <w:i/>
          <w:iCs/>
          <w:sz w:val="24"/>
          <w:szCs w:val="24"/>
        </w:rPr>
      </w:pPr>
      <w:r w:rsidRPr="0049594B">
        <w:rPr>
          <w:rFonts w:ascii="Georgia" w:eastAsia="Constantia" w:hAnsi="Georgia" w:cs="Times New Roman"/>
          <w:i/>
          <w:iCs/>
          <w:sz w:val="24"/>
          <w:szCs w:val="24"/>
        </w:rPr>
        <w:t>Address gender inequalities in the labour market</w:t>
      </w:r>
    </w:p>
    <w:p w14:paraId="4F3D6B7F" w14:textId="2EF3F227" w:rsidR="00443F66" w:rsidRPr="0049594B" w:rsidRDefault="00CC6CC2" w:rsidP="005947B7">
      <w:p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Inequality related to time </w:t>
      </w:r>
      <w:r w:rsidR="0082280D" w:rsidRPr="0049594B">
        <w:rPr>
          <w:rFonts w:ascii="Georgia" w:hAnsi="Georgia" w:cs="Times New Roman"/>
          <w:sz w:val="24"/>
          <w:szCs w:val="24"/>
        </w:rPr>
        <w:t>is one of the factors that puts women at a disadvantaged position in the labour market</w:t>
      </w:r>
      <w:r w:rsidR="00AA0226" w:rsidRPr="0049594B">
        <w:rPr>
          <w:rFonts w:ascii="Georgia" w:hAnsi="Georgia" w:cs="Times New Roman"/>
          <w:sz w:val="24"/>
          <w:szCs w:val="24"/>
        </w:rPr>
        <w:t xml:space="preserve">, because women often </w:t>
      </w:r>
      <w:r w:rsidR="00295B2F" w:rsidRPr="0049594B">
        <w:rPr>
          <w:rFonts w:ascii="Georgia" w:hAnsi="Georgia" w:cs="Times New Roman"/>
          <w:sz w:val="24"/>
          <w:szCs w:val="24"/>
        </w:rPr>
        <w:t>bear the brunt of household chores</w:t>
      </w:r>
      <w:r w:rsidR="0082280D" w:rsidRPr="0049594B">
        <w:rPr>
          <w:rFonts w:ascii="Georgia" w:hAnsi="Georgia" w:cs="Times New Roman"/>
          <w:sz w:val="24"/>
          <w:szCs w:val="24"/>
        </w:rPr>
        <w:t xml:space="preserve">. </w:t>
      </w:r>
      <w:r w:rsidR="009B66BD" w:rsidRPr="0049594B">
        <w:rPr>
          <w:rFonts w:ascii="Georgia" w:hAnsi="Georgia" w:cs="Times New Roman"/>
          <w:sz w:val="24"/>
          <w:szCs w:val="24"/>
        </w:rPr>
        <w:t xml:space="preserve">Creating a public child care </w:t>
      </w:r>
      <w:r w:rsidR="00996B82" w:rsidRPr="0049594B">
        <w:rPr>
          <w:rFonts w:ascii="Georgia" w:hAnsi="Georgia" w:cs="Times New Roman"/>
          <w:sz w:val="24"/>
          <w:szCs w:val="24"/>
        </w:rPr>
        <w:t>system</w:t>
      </w:r>
      <w:r w:rsidR="009B66BD" w:rsidRPr="0049594B">
        <w:rPr>
          <w:rFonts w:ascii="Georgia" w:hAnsi="Georgia" w:cs="Times New Roman"/>
          <w:sz w:val="24"/>
          <w:szCs w:val="24"/>
        </w:rPr>
        <w:t xml:space="preserve"> could help to reduc</w:t>
      </w:r>
      <w:r w:rsidR="00657978" w:rsidRPr="0049594B">
        <w:rPr>
          <w:rFonts w:ascii="Georgia" w:hAnsi="Georgia" w:cs="Times New Roman"/>
          <w:sz w:val="24"/>
          <w:szCs w:val="24"/>
        </w:rPr>
        <w:t>e the</w:t>
      </w:r>
      <w:r w:rsidR="009B66BD" w:rsidRPr="0049594B">
        <w:rPr>
          <w:rFonts w:ascii="Georgia" w:hAnsi="Georgia" w:cs="Times New Roman"/>
          <w:sz w:val="24"/>
          <w:szCs w:val="24"/>
        </w:rPr>
        <w:t xml:space="preserve"> inequality related to time</w:t>
      </w:r>
      <w:r w:rsidR="00657978" w:rsidRPr="0049594B">
        <w:rPr>
          <w:rFonts w:ascii="Georgia" w:hAnsi="Georgia" w:cs="Times New Roman"/>
          <w:sz w:val="24"/>
          <w:szCs w:val="24"/>
        </w:rPr>
        <w:t xml:space="preserve">. It is suggested to look at the </w:t>
      </w:r>
      <w:r w:rsidR="00996B82" w:rsidRPr="0049594B">
        <w:rPr>
          <w:rFonts w:ascii="Georgia" w:hAnsi="Georgia" w:cs="Times New Roman"/>
          <w:sz w:val="24"/>
          <w:szCs w:val="24"/>
        </w:rPr>
        <w:t>experience of Bogotá</w:t>
      </w:r>
      <w:r w:rsidR="00336C22" w:rsidRPr="0049594B">
        <w:rPr>
          <w:rFonts w:ascii="Georgia" w:hAnsi="Georgia" w:cs="Times New Roman"/>
          <w:sz w:val="24"/>
          <w:szCs w:val="24"/>
        </w:rPr>
        <w:t>,</w:t>
      </w:r>
      <w:r w:rsidR="00996B82" w:rsidRPr="0049594B">
        <w:rPr>
          <w:rFonts w:ascii="Georgia" w:hAnsi="Georgia" w:cs="Times New Roman"/>
          <w:sz w:val="24"/>
          <w:szCs w:val="24"/>
        </w:rPr>
        <w:t xml:space="preserve"> and </w:t>
      </w:r>
      <w:r w:rsidR="00336C22" w:rsidRPr="0049594B">
        <w:rPr>
          <w:rFonts w:ascii="Georgia" w:hAnsi="Georgia" w:cs="Times New Roman"/>
          <w:sz w:val="24"/>
          <w:szCs w:val="24"/>
        </w:rPr>
        <w:t xml:space="preserve">of </w:t>
      </w:r>
      <w:r w:rsidR="00996B82" w:rsidRPr="0049594B">
        <w:rPr>
          <w:rFonts w:ascii="Georgia" w:hAnsi="Georgia" w:cs="Times New Roman"/>
          <w:sz w:val="24"/>
          <w:szCs w:val="24"/>
        </w:rPr>
        <w:t>Colombia</w:t>
      </w:r>
      <w:r w:rsidR="00336C22" w:rsidRPr="0049594B">
        <w:rPr>
          <w:rFonts w:ascii="Georgia" w:hAnsi="Georgia" w:cs="Times New Roman"/>
          <w:sz w:val="24"/>
          <w:szCs w:val="24"/>
        </w:rPr>
        <w:t xml:space="preserve"> in general,</w:t>
      </w:r>
      <w:r w:rsidR="00996B82" w:rsidRPr="0049594B">
        <w:rPr>
          <w:rFonts w:ascii="Georgia" w:hAnsi="Georgia" w:cs="Times New Roman"/>
          <w:sz w:val="24"/>
          <w:szCs w:val="24"/>
        </w:rPr>
        <w:t xml:space="preserve"> </w:t>
      </w:r>
      <w:r w:rsidR="00657978" w:rsidRPr="0049594B">
        <w:rPr>
          <w:rFonts w:ascii="Georgia" w:hAnsi="Georgia" w:cs="Times New Roman"/>
          <w:sz w:val="24"/>
          <w:szCs w:val="24"/>
        </w:rPr>
        <w:t>in this area.</w:t>
      </w:r>
      <w:r w:rsidR="00443F66" w:rsidRPr="0049594B">
        <w:rPr>
          <w:rFonts w:ascii="Georgia" w:hAnsi="Georgia" w:cs="Times New Roman"/>
          <w:sz w:val="24"/>
          <w:szCs w:val="24"/>
        </w:rPr>
        <w:t xml:space="preserve"> </w:t>
      </w:r>
    </w:p>
    <w:p w14:paraId="5C788F6B" w14:textId="0F367AE2" w:rsidR="00D95A99" w:rsidRPr="0049594B" w:rsidRDefault="00443F66" w:rsidP="00996B82">
      <w:p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But even if women </w:t>
      </w:r>
      <w:r w:rsidR="00F57B10" w:rsidRPr="0049594B">
        <w:rPr>
          <w:rFonts w:ascii="Georgia" w:hAnsi="Georgia" w:cs="Times New Roman"/>
          <w:sz w:val="24"/>
          <w:szCs w:val="24"/>
        </w:rPr>
        <w:t xml:space="preserve">can and </w:t>
      </w:r>
      <w:r w:rsidRPr="0049594B">
        <w:rPr>
          <w:rFonts w:ascii="Georgia" w:hAnsi="Georgia" w:cs="Times New Roman"/>
          <w:sz w:val="24"/>
          <w:szCs w:val="24"/>
        </w:rPr>
        <w:t xml:space="preserve">want to participate </w:t>
      </w:r>
      <w:r w:rsidR="00F57B10" w:rsidRPr="0049594B">
        <w:rPr>
          <w:rFonts w:ascii="Georgia" w:hAnsi="Georgia" w:cs="Times New Roman"/>
          <w:sz w:val="24"/>
          <w:szCs w:val="24"/>
        </w:rPr>
        <w:t xml:space="preserve">(more) </w:t>
      </w:r>
      <w:r w:rsidRPr="0049594B">
        <w:rPr>
          <w:rFonts w:ascii="Georgia" w:hAnsi="Georgia" w:cs="Times New Roman"/>
          <w:sz w:val="24"/>
          <w:szCs w:val="24"/>
        </w:rPr>
        <w:t>in economic activities, they do often not have the same degree of access to jobs as men</w:t>
      </w:r>
      <w:r w:rsidR="000A79D1" w:rsidRPr="0049594B">
        <w:rPr>
          <w:rFonts w:ascii="Georgia" w:hAnsi="Georgia" w:cs="Times New Roman"/>
          <w:sz w:val="24"/>
          <w:szCs w:val="24"/>
        </w:rPr>
        <w:t>,</w:t>
      </w:r>
      <w:r w:rsidR="00865802" w:rsidRPr="0049594B">
        <w:rPr>
          <w:rFonts w:ascii="Georgia" w:hAnsi="Georgia" w:cs="Times New Roman"/>
          <w:sz w:val="24"/>
          <w:szCs w:val="24"/>
        </w:rPr>
        <w:t xml:space="preserve"> because of discrimination</w:t>
      </w:r>
      <w:r w:rsidRPr="0049594B">
        <w:rPr>
          <w:rFonts w:ascii="Georgia" w:hAnsi="Georgia" w:cs="Times New Roman"/>
          <w:sz w:val="24"/>
          <w:szCs w:val="24"/>
        </w:rPr>
        <w:t>.</w:t>
      </w:r>
      <w:r w:rsidR="00865802" w:rsidRPr="0049594B">
        <w:rPr>
          <w:rFonts w:ascii="Georgia" w:hAnsi="Georgia" w:cs="Times New Roman"/>
          <w:sz w:val="24"/>
          <w:szCs w:val="24"/>
        </w:rPr>
        <w:t xml:space="preserve"> </w:t>
      </w:r>
      <w:r w:rsidR="0055336E" w:rsidRPr="0049594B">
        <w:rPr>
          <w:rFonts w:ascii="Georgia" w:hAnsi="Georgia" w:cs="Times New Roman"/>
          <w:sz w:val="24"/>
          <w:szCs w:val="24"/>
        </w:rPr>
        <w:t>A suggestion to address this is to s</w:t>
      </w:r>
      <w:r w:rsidR="00996B82" w:rsidRPr="0049594B">
        <w:rPr>
          <w:rFonts w:ascii="Georgia" w:hAnsi="Georgia" w:cs="Times New Roman"/>
          <w:sz w:val="24"/>
          <w:szCs w:val="24"/>
        </w:rPr>
        <w:t xml:space="preserve">timulate companies and </w:t>
      </w:r>
      <w:r w:rsidR="00D67E13" w:rsidRPr="0049594B">
        <w:rPr>
          <w:rFonts w:ascii="Georgia" w:hAnsi="Georgia" w:cs="Times New Roman"/>
          <w:sz w:val="24"/>
          <w:szCs w:val="24"/>
        </w:rPr>
        <w:t xml:space="preserve">the </w:t>
      </w:r>
      <w:r w:rsidR="00996B82" w:rsidRPr="0049594B">
        <w:rPr>
          <w:rFonts w:ascii="Georgia" w:hAnsi="Georgia" w:cs="Times New Roman"/>
          <w:sz w:val="24"/>
          <w:szCs w:val="24"/>
        </w:rPr>
        <w:t xml:space="preserve">private sector in general to have a 50/50 proportion of hiring processes to level the female/male disparity in terms of </w:t>
      </w:r>
      <w:r w:rsidR="00D67E13" w:rsidRPr="0049594B">
        <w:rPr>
          <w:rFonts w:ascii="Georgia" w:hAnsi="Georgia" w:cs="Times New Roman"/>
          <w:sz w:val="24"/>
          <w:szCs w:val="24"/>
        </w:rPr>
        <w:t xml:space="preserve">employment </w:t>
      </w:r>
      <w:r w:rsidR="00996B82" w:rsidRPr="0049594B">
        <w:rPr>
          <w:rFonts w:ascii="Georgia" w:hAnsi="Georgia" w:cs="Times New Roman"/>
          <w:sz w:val="24"/>
          <w:szCs w:val="24"/>
        </w:rPr>
        <w:t>opportunities.</w:t>
      </w:r>
    </w:p>
    <w:p w14:paraId="44CBF71C" w14:textId="22B0DBEF" w:rsidR="00402160" w:rsidRPr="0049594B" w:rsidRDefault="0026294A" w:rsidP="00055A59">
      <w:p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As </w:t>
      </w:r>
      <w:r w:rsidR="00660429" w:rsidRPr="0049594B">
        <w:rPr>
          <w:rFonts w:ascii="Georgia" w:hAnsi="Georgia" w:cs="Times New Roman"/>
          <w:sz w:val="24"/>
          <w:szCs w:val="24"/>
        </w:rPr>
        <w:t>discussed in sub-section 1.5</w:t>
      </w:r>
      <w:r w:rsidRPr="0049594B">
        <w:rPr>
          <w:rFonts w:ascii="Georgia" w:hAnsi="Georgia" w:cs="Times New Roman"/>
          <w:sz w:val="24"/>
          <w:szCs w:val="24"/>
        </w:rPr>
        <w:t xml:space="preserve">, </w:t>
      </w:r>
      <w:r w:rsidR="00660429" w:rsidRPr="0049594B">
        <w:rPr>
          <w:rFonts w:ascii="Georgia" w:hAnsi="Georgia" w:cs="Times New Roman"/>
          <w:sz w:val="24"/>
          <w:szCs w:val="24"/>
        </w:rPr>
        <w:t>a</w:t>
      </w:r>
      <w:r w:rsidR="00D67E13" w:rsidRPr="0049594B">
        <w:rPr>
          <w:rFonts w:ascii="Georgia" w:hAnsi="Georgia" w:cs="Times New Roman"/>
          <w:sz w:val="24"/>
          <w:szCs w:val="24"/>
        </w:rPr>
        <w:t>nother aspect of gender inequality in the labour market is unequal pay for equal work.</w:t>
      </w:r>
      <w:r w:rsidR="003070C9" w:rsidRPr="0049594B">
        <w:rPr>
          <w:rFonts w:ascii="Georgia" w:hAnsi="Georgia" w:cs="Times New Roman"/>
          <w:sz w:val="24"/>
          <w:szCs w:val="24"/>
        </w:rPr>
        <w:t xml:space="preserve"> It is recommended to </w:t>
      </w:r>
      <w:r w:rsidR="009C3B22" w:rsidRPr="0049594B">
        <w:rPr>
          <w:rFonts w:ascii="Georgia" w:hAnsi="Georgia" w:cs="Times New Roman"/>
          <w:sz w:val="24"/>
          <w:szCs w:val="24"/>
        </w:rPr>
        <w:t>conduct more studies on this topic</w:t>
      </w:r>
      <w:r w:rsidR="00810538" w:rsidRPr="0049594B">
        <w:rPr>
          <w:rFonts w:ascii="Georgia" w:hAnsi="Georgia" w:cs="Times New Roman"/>
          <w:sz w:val="24"/>
          <w:szCs w:val="24"/>
        </w:rPr>
        <w:t xml:space="preserve"> and disseminate its results</w:t>
      </w:r>
      <w:r w:rsidR="006F148E" w:rsidRPr="0049594B">
        <w:rPr>
          <w:rFonts w:ascii="Georgia" w:hAnsi="Georgia" w:cs="Times New Roman"/>
          <w:sz w:val="24"/>
          <w:szCs w:val="24"/>
        </w:rPr>
        <w:t>,</w:t>
      </w:r>
      <w:r w:rsidR="00F40FD7" w:rsidRPr="0049594B">
        <w:rPr>
          <w:rFonts w:ascii="Georgia" w:hAnsi="Georgia" w:cs="Times New Roman"/>
          <w:sz w:val="24"/>
          <w:szCs w:val="24"/>
        </w:rPr>
        <w:t xml:space="preserve"> to make employers more aware of this issue, </w:t>
      </w:r>
      <w:r w:rsidR="005A351B" w:rsidRPr="0049594B">
        <w:rPr>
          <w:rFonts w:ascii="Georgia" w:hAnsi="Georgia" w:cs="Times New Roman"/>
          <w:sz w:val="24"/>
          <w:szCs w:val="24"/>
        </w:rPr>
        <w:t>to help improve empowerment of women</w:t>
      </w:r>
      <w:r w:rsidR="00D17127" w:rsidRPr="0049594B">
        <w:rPr>
          <w:rFonts w:ascii="Georgia" w:hAnsi="Georgia" w:cs="Times New Roman"/>
          <w:sz w:val="24"/>
          <w:szCs w:val="24"/>
        </w:rPr>
        <w:t>, and</w:t>
      </w:r>
      <w:r w:rsidR="009C3B22" w:rsidRPr="0049594B">
        <w:rPr>
          <w:rFonts w:ascii="Georgia" w:hAnsi="Georgia" w:cs="Times New Roman"/>
          <w:sz w:val="24"/>
          <w:szCs w:val="24"/>
        </w:rPr>
        <w:t xml:space="preserve"> </w:t>
      </w:r>
      <w:r w:rsidR="006F148E" w:rsidRPr="0049594B">
        <w:rPr>
          <w:rFonts w:ascii="Georgia" w:hAnsi="Georgia" w:cs="Times New Roman"/>
          <w:sz w:val="24"/>
          <w:szCs w:val="24"/>
        </w:rPr>
        <w:t>to have a stronger basis for designing specific policies to address this issue</w:t>
      </w:r>
      <w:r w:rsidR="00C752C5" w:rsidRPr="0049594B">
        <w:rPr>
          <w:rFonts w:ascii="Georgia" w:hAnsi="Georgia" w:cs="Times New Roman"/>
          <w:sz w:val="24"/>
          <w:szCs w:val="24"/>
        </w:rPr>
        <w:t>, which is also a cause of overall income inequality</w:t>
      </w:r>
      <w:r w:rsidR="006F148E" w:rsidRPr="0049594B">
        <w:rPr>
          <w:rFonts w:ascii="Georgia" w:hAnsi="Georgia" w:cs="Times New Roman"/>
          <w:sz w:val="24"/>
          <w:szCs w:val="24"/>
        </w:rPr>
        <w:t>.</w:t>
      </w:r>
      <w:r w:rsidR="009C3B22" w:rsidRPr="0049594B">
        <w:rPr>
          <w:rFonts w:ascii="Georgia" w:hAnsi="Georgia" w:cs="Times New Roman"/>
          <w:sz w:val="24"/>
          <w:szCs w:val="24"/>
        </w:rPr>
        <w:t xml:space="preserve"> </w:t>
      </w:r>
    </w:p>
    <w:p w14:paraId="2DE55B14" w14:textId="0EE8B21D" w:rsidR="00DE7643" w:rsidRPr="0049594B" w:rsidRDefault="00DE7643" w:rsidP="00DE7643">
      <w:pPr>
        <w:spacing w:after="120" w:line="240" w:lineRule="auto"/>
        <w:jc w:val="both"/>
        <w:rPr>
          <w:rFonts w:ascii="Georgia" w:eastAsia="Constantia" w:hAnsi="Georgia" w:cs="Times New Roman"/>
          <w:sz w:val="24"/>
          <w:szCs w:val="24"/>
        </w:rPr>
      </w:pPr>
      <w:r w:rsidRPr="0049594B">
        <w:rPr>
          <w:rFonts w:ascii="Georgia" w:eastAsia="Constantia" w:hAnsi="Georgia" w:cs="Times New Roman"/>
          <w:i/>
          <w:iCs/>
          <w:sz w:val="24"/>
          <w:szCs w:val="24"/>
        </w:rPr>
        <w:t>Address gender inequalities in education</w:t>
      </w:r>
      <w:r w:rsidR="00BE116B" w:rsidRPr="0049594B">
        <w:rPr>
          <w:rFonts w:ascii="Georgia" w:eastAsia="Constantia" w:hAnsi="Georgia" w:cs="Times New Roman"/>
          <w:sz w:val="24"/>
          <w:szCs w:val="24"/>
        </w:rPr>
        <w:t xml:space="preserve">: </w:t>
      </w:r>
    </w:p>
    <w:p w14:paraId="7D4BE35E" w14:textId="3197CD1A" w:rsidR="00DE7643" w:rsidRPr="0049594B" w:rsidRDefault="007C6784" w:rsidP="003374AD">
      <w:pPr>
        <w:spacing w:after="120" w:line="240" w:lineRule="auto"/>
        <w:jc w:val="both"/>
        <w:rPr>
          <w:rFonts w:ascii="Georgia" w:hAnsi="Georgia" w:cs="Times New Roman"/>
          <w:sz w:val="24"/>
          <w:szCs w:val="24"/>
        </w:rPr>
      </w:pPr>
      <w:r w:rsidRPr="0049594B">
        <w:rPr>
          <w:rFonts w:ascii="Georgia" w:hAnsi="Georgia" w:cs="Times New Roman"/>
          <w:sz w:val="24"/>
          <w:szCs w:val="24"/>
        </w:rPr>
        <w:t xml:space="preserve">Korir et al. (2021) </w:t>
      </w:r>
      <w:r w:rsidR="000C61AF" w:rsidRPr="0049594B">
        <w:rPr>
          <w:rFonts w:ascii="Georgia" w:hAnsi="Georgia" w:cs="Times New Roman"/>
          <w:sz w:val="24"/>
          <w:szCs w:val="24"/>
        </w:rPr>
        <w:t>em</w:t>
      </w:r>
      <w:r w:rsidRPr="0049594B">
        <w:rPr>
          <w:rFonts w:ascii="Georgia" w:hAnsi="Georgia" w:cs="Times New Roman"/>
          <w:sz w:val="24"/>
          <w:szCs w:val="24"/>
        </w:rPr>
        <w:t>phasi</w:t>
      </w:r>
      <w:r w:rsidR="000C61AF" w:rsidRPr="0049594B">
        <w:rPr>
          <w:rFonts w:ascii="Georgia" w:hAnsi="Georgia" w:cs="Times New Roman"/>
          <w:sz w:val="24"/>
          <w:szCs w:val="24"/>
        </w:rPr>
        <w:t>z</w:t>
      </w:r>
      <w:r w:rsidRPr="0049594B">
        <w:rPr>
          <w:rFonts w:ascii="Georgia" w:hAnsi="Georgia" w:cs="Times New Roman"/>
          <w:sz w:val="24"/>
          <w:szCs w:val="24"/>
        </w:rPr>
        <w:t>e</w:t>
      </w:r>
      <w:r w:rsidR="00FF4238" w:rsidRPr="0049594B">
        <w:rPr>
          <w:rFonts w:ascii="Georgia" w:hAnsi="Georgia" w:cs="Times New Roman"/>
          <w:sz w:val="24"/>
          <w:szCs w:val="24"/>
        </w:rPr>
        <w:t>s</w:t>
      </w:r>
      <w:r w:rsidRPr="0049594B">
        <w:rPr>
          <w:rFonts w:ascii="Georgia" w:hAnsi="Georgia" w:cs="Times New Roman"/>
          <w:sz w:val="24"/>
          <w:szCs w:val="24"/>
        </w:rPr>
        <w:t xml:space="preserve"> the ‘need to ensure provision of quality education among children now to promote future resilience to climate change’</w:t>
      </w:r>
      <w:r w:rsidR="00C84E4D" w:rsidRPr="0049594B">
        <w:rPr>
          <w:rFonts w:ascii="Georgia" w:hAnsi="Georgia" w:cs="Times New Roman"/>
          <w:sz w:val="24"/>
          <w:szCs w:val="24"/>
        </w:rPr>
        <w:t>. This is also to avoid adverse effects of climate change on inequality of opportunity (in terms of children’s and especially girls’ access to quality education). The authors recommend</w:t>
      </w:r>
      <w:r w:rsidR="00225C7A" w:rsidRPr="0049594B">
        <w:rPr>
          <w:rFonts w:ascii="Georgia" w:hAnsi="Georgia" w:cs="Times New Roman"/>
          <w:sz w:val="24"/>
          <w:szCs w:val="24"/>
        </w:rPr>
        <w:t xml:space="preserve"> </w:t>
      </w:r>
      <w:r w:rsidRPr="0049594B">
        <w:rPr>
          <w:rFonts w:ascii="Georgia" w:hAnsi="Georgia" w:cs="Times New Roman"/>
          <w:sz w:val="24"/>
          <w:szCs w:val="24"/>
        </w:rPr>
        <w:t xml:space="preserve">that education programmes become more responsive to the pastoralist way of live. </w:t>
      </w:r>
      <w:r w:rsidR="00760728" w:rsidRPr="0049594B">
        <w:rPr>
          <w:rFonts w:ascii="Georgia" w:hAnsi="Georgia" w:cs="Times New Roman"/>
          <w:sz w:val="24"/>
          <w:szCs w:val="24"/>
        </w:rPr>
        <w:t>It is suggested to follow up this recommend</w:t>
      </w:r>
      <w:r w:rsidR="00667515" w:rsidRPr="0049594B">
        <w:rPr>
          <w:rFonts w:ascii="Georgia" w:hAnsi="Georgia" w:cs="Times New Roman"/>
          <w:sz w:val="24"/>
          <w:szCs w:val="24"/>
        </w:rPr>
        <w:t xml:space="preserve">ed change, </w:t>
      </w:r>
      <w:r w:rsidR="00760728" w:rsidRPr="0049594B">
        <w:rPr>
          <w:rFonts w:ascii="Georgia" w:hAnsi="Georgia" w:cs="Times New Roman"/>
          <w:sz w:val="24"/>
          <w:szCs w:val="24"/>
        </w:rPr>
        <w:t xml:space="preserve">as it </w:t>
      </w:r>
      <w:r w:rsidR="00667515" w:rsidRPr="0049594B">
        <w:rPr>
          <w:rFonts w:ascii="Georgia" w:hAnsi="Georgia" w:cs="Times New Roman"/>
          <w:sz w:val="24"/>
          <w:szCs w:val="24"/>
        </w:rPr>
        <w:t>has the potential to address both</w:t>
      </w:r>
      <w:r w:rsidR="003374AD" w:rsidRPr="0049594B">
        <w:rPr>
          <w:rFonts w:ascii="Georgia" w:hAnsi="Georgia" w:cs="Times New Roman"/>
          <w:sz w:val="24"/>
          <w:szCs w:val="24"/>
        </w:rPr>
        <w:t xml:space="preserve"> inequality of opportunities and inequality of outcomes.</w:t>
      </w:r>
      <w:r w:rsidR="00667515" w:rsidRPr="0049594B">
        <w:rPr>
          <w:rFonts w:ascii="Georgia" w:hAnsi="Georgia" w:cs="Times New Roman"/>
          <w:sz w:val="24"/>
          <w:szCs w:val="24"/>
        </w:rPr>
        <w:t xml:space="preserve"> </w:t>
      </w:r>
    </w:p>
    <w:p w14:paraId="520A6301" w14:textId="14D8A3A5" w:rsidR="003374AD" w:rsidRPr="0049594B" w:rsidRDefault="003374AD" w:rsidP="003374AD">
      <w:pPr>
        <w:spacing w:after="120" w:line="240" w:lineRule="auto"/>
        <w:jc w:val="both"/>
        <w:rPr>
          <w:rFonts w:ascii="Georgia" w:hAnsi="Georgia" w:cs="Times New Roman"/>
          <w:b/>
          <w:bCs/>
          <w:sz w:val="24"/>
          <w:szCs w:val="24"/>
        </w:rPr>
      </w:pPr>
      <w:r w:rsidRPr="0049594B">
        <w:rPr>
          <w:rFonts w:ascii="Georgia" w:hAnsi="Georgia" w:cs="Times New Roman"/>
          <w:sz w:val="24"/>
          <w:szCs w:val="24"/>
        </w:rPr>
        <w:t xml:space="preserve">In general, </w:t>
      </w:r>
      <w:r w:rsidR="00846457" w:rsidRPr="0049594B">
        <w:rPr>
          <w:rFonts w:ascii="Georgia" w:hAnsi="Georgia" w:cs="Times New Roman"/>
          <w:sz w:val="24"/>
          <w:szCs w:val="24"/>
        </w:rPr>
        <w:t xml:space="preserve">a policy option is to improve access to education </w:t>
      </w:r>
      <w:r w:rsidR="00D07CE0" w:rsidRPr="0049594B">
        <w:rPr>
          <w:rFonts w:ascii="Georgia" w:hAnsi="Georgia" w:cs="Times New Roman"/>
          <w:sz w:val="24"/>
          <w:szCs w:val="24"/>
        </w:rPr>
        <w:t>of girls and women, also at TVET and university level.</w:t>
      </w:r>
    </w:p>
    <w:p w14:paraId="635E9092" w14:textId="3A61483A" w:rsidR="00DE7643" w:rsidRPr="0049594B" w:rsidRDefault="00DE7643" w:rsidP="00DE7643">
      <w:pPr>
        <w:spacing w:after="120" w:line="240" w:lineRule="auto"/>
        <w:jc w:val="both"/>
        <w:rPr>
          <w:rFonts w:ascii="Georgia" w:eastAsia="Constantia" w:hAnsi="Georgia" w:cs="Times New Roman"/>
          <w:i/>
          <w:iCs/>
          <w:sz w:val="24"/>
          <w:szCs w:val="24"/>
        </w:rPr>
      </w:pPr>
      <w:r w:rsidRPr="0049594B">
        <w:rPr>
          <w:rFonts w:ascii="Georgia" w:eastAsia="Constantia" w:hAnsi="Georgia" w:cs="Times New Roman"/>
          <w:i/>
          <w:iCs/>
          <w:sz w:val="24"/>
          <w:szCs w:val="24"/>
        </w:rPr>
        <w:t>Address gender inequalities in access to health care</w:t>
      </w:r>
    </w:p>
    <w:p w14:paraId="6CA301F6" w14:textId="00C4948E" w:rsidR="00C63523" w:rsidRPr="0049594B" w:rsidRDefault="005C3887" w:rsidP="00DE7643">
      <w:pPr>
        <w:spacing w:after="120" w:line="240" w:lineRule="auto"/>
        <w:jc w:val="both"/>
        <w:rPr>
          <w:rFonts w:ascii="Georgia" w:eastAsia="Constantia" w:hAnsi="Georgia" w:cs="Times New Roman"/>
          <w:sz w:val="24"/>
          <w:szCs w:val="24"/>
        </w:rPr>
      </w:pPr>
      <w:r w:rsidRPr="0049594B">
        <w:rPr>
          <w:rFonts w:ascii="Georgia" w:eastAsia="Constantia" w:hAnsi="Georgia" w:cs="Times New Roman"/>
          <w:sz w:val="24"/>
          <w:szCs w:val="24"/>
        </w:rPr>
        <w:t>A policy option is to improve access to health care for (especially poor) women</w:t>
      </w:r>
      <w:r w:rsidR="00C35126" w:rsidRPr="0049594B">
        <w:rPr>
          <w:rFonts w:ascii="Georgia" w:eastAsia="Constantia" w:hAnsi="Georgia" w:cs="Times New Roman"/>
          <w:sz w:val="24"/>
          <w:szCs w:val="24"/>
        </w:rPr>
        <w:t xml:space="preserve">. </w:t>
      </w:r>
      <w:r w:rsidR="00420551" w:rsidRPr="0049594B">
        <w:rPr>
          <w:rFonts w:ascii="Georgia" w:eastAsia="Constantia" w:hAnsi="Georgia" w:cs="Times New Roman"/>
          <w:sz w:val="24"/>
          <w:szCs w:val="24"/>
        </w:rPr>
        <w:t>Br</w:t>
      </w:r>
      <w:r w:rsidR="00E71336" w:rsidRPr="0049594B">
        <w:rPr>
          <w:rFonts w:ascii="Georgia" w:eastAsia="Constantia" w:hAnsi="Georgia" w:cs="Times New Roman"/>
          <w:sz w:val="24"/>
          <w:szCs w:val="24"/>
        </w:rPr>
        <w:t>oadening the coverage of the subsidised health care system, and ultimate</w:t>
      </w:r>
      <w:r w:rsidR="00F10010" w:rsidRPr="0049594B">
        <w:rPr>
          <w:rFonts w:ascii="Georgia" w:eastAsia="Constantia" w:hAnsi="Georgia" w:cs="Times New Roman"/>
          <w:sz w:val="24"/>
          <w:szCs w:val="24"/>
        </w:rPr>
        <w:t>ly</w:t>
      </w:r>
      <w:r w:rsidR="00E71336" w:rsidRPr="0049594B">
        <w:rPr>
          <w:rFonts w:ascii="Georgia" w:eastAsia="Constantia" w:hAnsi="Georgia" w:cs="Times New Roman"/>
          <w:sz w:val="24"/>
          <w:szCs w:val="24"/>
        </w:rPr>
        <w:t xml:space="preserve"> unifying </w:t>
      </w:r>
      <w:r w:rsidR="00865C31" w:rsidRPr="0049594B">
        <w:rPr>
          <w:rFonts w:ascii="Georgia" w:eastAsia="Constantia" w:hAnsi="Georgia" w:cs="Times New Roman"/>
          <w:sz w:val="24"/>
          <w:szCs w:val="24"/>
        </w:rPr>
        <w:t>currently existing systems</w:t>
      </w:r>
      <w:r w:rsidR="00BD5FC7" w:rsidRPr="0049594B">
        <w:rPr>
          <w:rFonts w:ascii="Georgia" w:eastAsia="Constantia" w:hAnsi="Georgia" w:cs="Times New Roman"/>
          <w:sz w:val="24"/>
          <w:szCs w:val="24"/>
        </w:rPr>
        <w:t xml:space="preserve"> </w:t>
      </w:r>
      <w:r w:rsidR="00865C31" w:rsidRPr="0049594B">
        <w:rPr>
          <w:rFonts w:ascii="Georgia" w:eastAsia="Constantia" w:hAnsi="Georgia" w:cs="Times New Roman"/>
          <w:sz w:val="24"/>
          <w:szCs w:val="24"/>
        </w:rPr>
        <w:t xml:space="preserve">into a </w:t>
      </w:r>
      <w:r w:rsidR="00383D54" w:rsidRPr="0049594B">
        <w:rPr>
          <w:rFonts w:ascii="Georgia" w:eastAsia="Constantia" w:hAnsi="Georgia" w:cs="Times New Roman"/>
          <w:sz w:val="24"/>
          <w:szCs w:val="24"/>
        </w:rPr>
        <w:t xml:space="preserve">tax-based system, can help to achieve this. </w:t>
      </w:r>
      <w:r w:rsidR="008C256B" w:rsidRPr="0049594B">
        <w:rPr>
          <w:rFonts w:ascii="Georgia" w:eastAsia="Constantia" w:hAnsi="Georgia" w:cs="Times New Roman"/>
          <w:sz w:val="24"/>
          <w:szCs w:val="24"/>
        </w:rPr>
        <w:t xml:space="preserve">But there is also e need to </w:t>
      </w:r>
      <w:r w:rsidR="00EC04A0" w:rsidRPr="0049594B">
        <w:rPr>
          <w:rFonts w:ascii="Georgia" w:eastAsia="Constantia" w:hAnsi="Georgia" w:cs="Times New Roman"/>
          <w:sz w:val="24"/>
          <w:szCs w:val="24"/>
        </w:rPr>
        <w:t>take</w:t>
      </w:r>
      <w:r w:rsidR="008C256B" w:rsidRPr="0049594B">
        <w:rPr>
          <w:rFonts w:ascii="Georgia" w:eastAsia="Constantia" w:hAnsi="Georgia" w:cs="Times New Roman"/>
          <w:sz w:val="24"/>
          <w:szCs w:val="24"/>
        </w:rPr>
        <w:t xml:space="preserve"> other factors into account that may inhibit </w:t>
      </w:r>
      <w:r w:rsidR="00AA4A05" w:rsidRPr="0049594B">
        <w:rPr>
          <w:rFonts w:ascii="Georgia" w:eastAsia="Constantia" w:hAnsi="Georgia" w:cs="Times New Roman"/>
          <w:sz w:val="24"/>
          <w:szCs w:val="24"/>
        </w:rPr>
        <w:t>(poor) women to make use of health facilities, such as cost and time required to visit them.</w:t>
      </w:r>
      <w:r w:rsidR="00383D54" w:rsidRPr="0049594B">
        <w:rPr>
          <w:rFonts w:ascii="Georgia" w:eastAsia="Constantia" w:hAnsi="Georgia" w:cs="Times New Roman"/>
          <w:sz w:val="24"/>
          <w:szCs w:val="24"/>
        </w:rPr>
        <w:t xml:space="preserve"> </w:t>
      </w:r>
    </w:p>
    <w:p w14:paraId="1163E6AC" w14:textId="2A560C46" w:rsidR="00652A4F" w:rsidRPr="0049594B" w:rsidRDefault="00C63523" w:rsidP="00DE7643">
      <w:pPr>
        <w:spacing w:after="120" w:line="240" w:lineRule="auto"/>
        <w:jc w:val="both"/>
        <w:rPr>
          <w:rFonts w:ascii="Georgia" w:eastAsia="Constantia" w:hAnsi="Georgia" w:cs="Times New Roman"/>
          <w:sz w:val="24"/>
          <w:szCs w:val="24"/>
        </w:rPr>
      </w:pPr>
      <w:r w:rsidRPr="0049594B">
        <w:rPr>
          <w:rFonts w:ascii="Georgia" w:eastAsia="Constantia" w:hAnsi="Georgia" w:cs="Times New Roman"/>
          <w:i/>
          <w:iCs/>
          <w:sz w:val="24"/>
          <w:szCs w:val="24"/>
        </w:rPr>
        <w:t>Gender</w:t>
      </w:r>
      <w:r w:rsidR="0026294A" w:rsidRPr="0049594B">
        <w:rPr>
          <w:rFonts w:ascii="Georgia" w:eastAsia="Constantia" w:hAnsi="Georgia" w:cs="Times New Roman"/>
          <w:i/>
          <w:iCs/>
          <w:sz w:val="24"/>
          <w:szCs w:val="24"/>
        </w:rPr>
        <w:t>-</w:t>
      </w:r>
      <w:r w:rsidRPr="0049594B">
        <w:rPr>
          <w:rFonts w:ascii="Georgia" w:eastAsia="Constantia" w:hAnsi="Georgia" w:cs="Times New Roman"/>
          <w:i/>
          <w:iCs/>
          <w:sz w:val="24"/>
          <w:szCs w:val="24"/>
        </w:rPr>
        <w:t>Responsive Budgeting</w:t>
      </w:r>
      <w:r w:rsidRPr="0049594B">
        <w:rPr>
          <w:rFonts w:ascii="Georgia" w:eastAsia="Constantia" w:hAnsi="Georgia" w:cs="Times New Roman"/>
          <w:sz w:val="24"/>
          <w:szCs w:val="24"/>
        </w:rPr>
        <w:t xml:space="preserve"> </w:t>
      </w:r>
    </w:p>
    <w:p w14:paraId="697D9FF2" w14:textId="0E64B708" w:rsidR="00C63523" w:rsidRPr="0049594B" w:rsidRDefault="00652A4F" w:rsidP="00DE7643">
      <w:pPr>
        <w:spacing w:after="120" w:line="240" w:lineRule="auto"/>
        <w:jc w:val="both"/>
        <w:rPr>
          <w:rFonts w:ascii="Georgia" w:eastAsia="Constantia" w:hAnsi="Georgia" w:cs="Times New Roman"/>
          <w:sz w:val="24"/>
          <w:szCs w:val="24"/>
        </w:rPr>
      </w:pPr>
      <w:r w:rsidRPr="0049594B">
        <w:rPr>
          <w:rFonts w:ascii="Georgia" w:eastAsia="Constantia" w:hAnsi="Georgia" w:cs="Times New Roman"/>
          <w:sz w:val="24"/>
          <w:szCs w:val="24"/>
        </w:rPr>
        <w:t>I</w:t>
      </w:r>
      <w:r w:rsidR="00C63523" w:rsidRPr="0049594B">
        <w:rPr>
          <w:rFonts w:ascii="Georgia" w:eastAsia="Constantia" w:hAnsi="Georgia" w:cs="Times New Roman"/>
          <w:sz w:val="24"/>
          <w:szCs w:val="24"/>
        </w:rPr>
        <w:t>t is suggested to make further progress in this area</w:t>
      </w:r>
      <w:r w:rsidR="00091F17" w:rsidRPr="0049594B">
        <w:rPr>
          <w:rFonts w:ascii="Georgia" w:eastAsia="Constantia" w:hAnsi="Georgia" w:cs="Times New Roman"/>
          <w:sz w:val="24"/>
          <w:szCs w:val="24"/>
        </w:rPr>
        <w:t>, at national and county level, and ultimately also on local government level</w:t>
      </w:r>
      <w:r w:rsidR="004E2FE8" w:rsidRPr="0049594B">
        <w:rPr>
          <w:rFonts w:ascii="Georgia" w:eastAsia="Constantia" w:hAnsi="Georgia" w:cs="Times New Roman"/>
          <w:sz w:val="24"/>
          <w:szCs w:val="24"/>
        </w:rPr>
        <w:t xml:space="preserve">, by assigning more resources to efforts to </w:t>
      </w:r>
      <w:r w:rsidR="0058556F" w:rsidRPr="0049594B">
        <w:rPr>
          <w:rFonts w:ascii="Georgia" w:eastAsia="Constantia" w:hAnsi="Georgia" w:cs="Times New Roman"/>
          <w:sz w:val="24"/>
          <w:szCs w:val="24"/>
        </w:rPr>
        <w:t>improve this</w:t>
      </w:r>
      <w:r w:rsidR="00091F17" w:rsidRPr="0049594B">
        <w:rPr>
          <w:rFonts w:ascii="Georgia" w:eastAsia="Constantia" w:hAnsi="Georgia" w:cs="Times New Roman"/>
          <w:sz w:val="24"/>
          <w:szCs w:val="24"/>
        </w:rPr>
        <w:t>.</w:t>
      </w:r>
      <w:r w:rsidR="00F12BFC" w:rsidRPr="0049594B">
        <w:rPr>
          <w:rFonts w:ascii="Georgia" w:eastAsia="Constantia" w:hAnsi="Georgia" w:cs="Times New Roman"/>
          <w:sz w:val="24"/>
          <w:szCs w:val="24"/>
        </w:rPr>
        <w:t xml:space="preserve"> </w:t>
      </w:r>
      <w:r w:rsidR="00211501" w:rsidRPr="0049594B">
        <w:rPr>
          <w:rFonts w:ascii="Georgia" w:eastAsia="Constantia" w:hAnsi="Georgia" w:cs="Times New Roman"/>
          <w:sz w:val="24"/>
          <w:szCs w:val="24"/>
        </w:rPr>
        <w:t>Both national and county governments should fully adopt the gender</w:t>
      </w:r>
      <w:r w:rsidR="00352D84" w:rsidRPr="0049594B">
        <w:rPr>
          <w:rFonts w:ascii="Georgia" w:eastAsia="Constantia" w:hAnsi="Georgia" w:cs="Times New Roman"/>
          <w:sz w:val="24"/>
          <w:szCs w:val="24"/>
        </w:rPr>
        <w:t>-</w:t>
      </w:r>
      <w:r w:rsidR="00211501" w:rsidRPr="0049594B">
        <w:rPr>
          <w:rFonts w:ascii="Georgia" w:eastAsia="Constantia" w:hAnsi="Georgia" w:cs="Times New Roman"/>
          <w:sz w:val="24"/>
          <w:szCs w:val="24"/>
        </w:rPr>
        <w:t>responsive budgeting. The application should be consistent and systematic with the aim of allocating more resources to programmes and interventions aimed at reducing inequalities in all spheres of development.</w:t>
      </w:r>
    </w:p>
    <w:p w14:paraId="79DAE206" w14:textId="76B3D9B9" w:rsidR="00AC21FA" w:rsidRPr="0049594B" w:rsidRDefault="00AC21FA">
      <w:pPr>
        <w:rPr>
          <w:rFonts w:ascii="Georgia" w:eastAsiaTheme="majorEastAsia" w:hAnsi="Georgia" w:cs="Times New Roman"/>
          <w:b/>
          <w:bCs/>
          <w:sz w:val="24"/>
          <w:szCs w:val="24"/>
        </w:rPr>
      </w:pPr>
      <w:r w:rsidRPr="0049594B">
        <w:rPr>
          <w:rFonts w:ascii="Georgia" w:hAnsi="Georgia" w:cs="Times New Roman"/>
          <w:b/>
          <w:bCs/>
          <w:sz w:val="24"/>
          <w:szCs w:val="24"/>
        </w:rPr>
        <w:br w:type="page"/>
      </w:r>
    </w:p>
    <w:p w14:paraId="6CC98EE0" w14:textId="372DF9F4" w:rsidR="00B74FC9" w:rsidRPr="0049594B" w:rsidRDefault="00B74FC9" w:rsidP="00865E61">
      <w:pPr>
        <w:pStyle w:val="Heading1"/>
        <w:spacing w:before="0" w:after="120" w:line="240" w:lineRule="auto"/>
        <w:rPr>
          <w:rFonts w:ascii="Georgia" w:hAnsi="Georgia" w:cs="Times New Roman"/>
          <w:b/>
          <w:bCs/>
          <w:color w:val="auto"/>
        </w:rPr>
      </w:pPr>
      <w:bookmarkStart w:id="92" w:name="_Toc145928792"/>
      <w:r w:rsidRPr="0049594B">
        <w:rPr>
          <w:rFonts w:ascii="Georgia" w:hAnsi="Georgia" w:cs="Times New Roman"/>
          <w:b/>
          <w:bCs/>
          <w:color w:val="auto"/>
        </w:rPr>
        <w:t>References</w:t>
      </w:r>
      <w:bookmarkEnd w:id="92"/>
    </w:p>
    <w:p w14:paraId="5A72F903" w14:textId="10D094B5" w:rsidR="00061DD0" w:rsidRPr="009C5581" w:rsidRDefault="00061DD0" w:rsidP="00061DD0">
      <w:pPr>
        <w:rPr>
          <w:rFonts w:ascii="Times New Roman" w:hAnsi="Times New Roman" w:cs="Times New Roman"/>
          <w:color w:val="000000"/>
        </w:rPr>
      </w:pPr>
    </w:p>
    <w:p w14:paraId="4C39AC79" w14:textId="5D58BD46" w:rsidR="007830F5" w:rsidRPr="0049594B" w:rsidRDefault="00D2310B" w:rsidP="00D2310B">
      <w:pPr>
        <w:spacing w:after="120" w:line="240" w:lineRule="auto"/>
        <w:ind w:left="284" w:hanging="284"/>
        <w:jc w:val="both"/>
        <w:rPr>
          <w:rFonts w:ascii="Georgia" w:hAnsi="Georgia" w:cs="Times New Roman"/>
        </w:rPr>
      </w:pPr>
      <w:r w:rsidRPr="0049594B">
        <w:rPr>
          <w:rFonts w:ascii="Georgia" w:hAnsi="Georgia" w:cs="Times New Roman"/>
        </w:rPr>
        <w:t xml:space="preserve">Bigsten, A, Manda, </w:t>
      </w:r>
      <w:r w:rsidR="006D5B37" w:rsidRPr="0049594B">
        <w:rPr>
          <w:rFonts w:ascii="Georgia" w:hAnsi="Georgia" w:cs="Times New Roman"/>
        </w:rPr>
        <w:t xml:space="preserve">D.K., </w:t>
      </w:r>
      <w:r w:rsidRPr="0049594B">
        <w:rPr>
          <w:rFonts w:ascii="Georgia" w:hAnsi="Georgia" w:cs="Times New Roman"/>
        </w:rPr>
        <w:t>Mwabu</w:t>
      </w:r>
      <w:r w:rsidR="006D5B37" w:rsidRPr="0049594B">
        <w:rPr>
          <w:rFonts w:ascii="Georgia" w:hAnsi="Georgia" w:cs="Times New Roman"/>
        </w:rPr>
        <w:t>, G.</w:t>
      </w:r>
      <w:r w:rsidRPr="0049594B">
        <w:rPr>
          <w:rFonts w:ascii="Georgia" w:hAnsi="Georgia" w:cs="Times New Roman"/>
        </w:rPr>
        <w:t xml:space="preserve"> &amp; Wambugu</w:t>
      </w:r>
      <w:r w:rsidR="006D5B37" w:rsidRPr="0049594B">
        <w:rPr>
          <w:rFonts w:ascii="Georgia" w:hAnsi="Georgia" w:cs="Times New Roman"/>
        </w:rPr>
        <w:t>, A.</w:t>
      </w:r>
      <w:r w:rsidRPr="0049594B">
        <w:rPr>
          <w:rFonts w:ascii="Georgia" w:hAnsi="Georgia" w:cs="Times New Roman"/>
        </w:rPr>
        <w:t xml:space="preserve"> (2016)</w:t>
      </w:r>
      <w:r w:rsidR="004B15B2" w:rsidRPr="0049594B">
        <w:rPr>
          <w:rFonts w:ascii="Georgia" w:hAnsi="Georgia" w:cs="Times New Roman"/>
        </w:rPr>
        <w:t>.</w:t>
      </w:r>
      <w:r w:rsidRPr="0049594B">
        <w:rPr>
          <w:rFonts w:ascii="Georgia" w:hAnsi="Georgia" w:cs="Times New Roman"/>
        </w:rPr>
        <w:t xml:space="preserve"> </w:t>
      </w:r>
      <w:r w:rsidR="00997FB9" w:rsidRPr="0049594B">
        <w:rPr>
          <w:rFonts w:ascii="Georgia" w:hAnsi="Georgia" w:cs="Times New Roman"/>
        </w:rPr>
        <w:t>Incomes, Inequality, and Poverty in Kenya: A Long-Term Perspective</w:t>
      </w:r>
      <w:r w:rsidR="0030308F" w:rsidRPr="0049594B">
        <w:rPr>
          <w:rFonts w:ascii="Georgia" w:hAnsi="Georgia" w:cs="Times New Roman"/>
        </w:rPr>
        <w:t>.</w:t>
      </w:r>
      <w:r w:rsidR="0015259A" w:rsidRPr="0049594B">
        <w:rPr>
          <w:rFonts w:ascii="Georgia" w:hAnsi="Georgia" w:cs="Times New Roman"/>
        </w:rPr>
        <w:t xml:space="preserve"> </w:t>
      </w:r>
      <w:r w:rsidR="0030308F" w:rsidRPr="0049594B">
        <w:rPr>
          <w:rFonts w:ascii="Georgia" w:hAnsi="Georgia" w:cs="Times New Roman"/>
        </w:rPr>
        <w:t>I</w:t>
      </w:r>
      <w:r w:rsidR="0015259A" w:rsidRPr="0049594B">
        <w:rPr>
          <w:rFonts w:ascii="Georgia" w:hAnsi="Georgia" w:cs="Times New Roman"/>
        </w:rPr>
        <w:t>n</w:t>
      </w:r>
      <w:r w:rsidR="0030308F" w:rsidRPr="0049594B">
        <w:rPr>
          <w:rFonts w:ascii="Georgia" w:hAnsi="Georgia" w:cs="Times New Roman"/>
        </w:rPr>
        <w:t>:</w:t>
      </w:r>
      <w:r w:rsidR="00143E5F" w:rsidRPr="0049594B">
        <w:rPr>
          <w:rFonts w:ascii="Georgia" w:hAnsi="Georgia" w:cs="Times New Roman"/>
        </w:rPr>
        <w:t xml:space="preserve"> Ch</w:t>
      </w:r>
      <w:r w:rsidR="006D6651" w:rsidRPr="0049594B">
        <w:rPr>
          <w:rFonts w:ascii="Georgia" w:hAnsi="Georgia" w:cs="Times New Roman"/>
        </w:rPr>
        <w:t>.</w:t>
      </w:r>
      <w:r w:rsidR="00143E5F" w:rsidRPr="0049594B">
        <w:rPr>
          <w:rFonts w:ascii="Georgia" w:hAnsi="Georgia" w:cs="Times New Roman"/>
        </w:rPr>
        <w:t xml:space="preserve"> Arndt (ed.), A</w:t>
      </w:r>
      <w:r w:rsidR="0030308F" w:rsidRPr="0049594B">
        <w:rPr>
          <w:rFonts w:ascii="Georgia" w:hAnsi="Georgia" w:cs="Times New Roman"/>
        </w:rPr>
        <w:t>.</w:t>
      </w:r>
      <w:r w:rsidR="00143E5F" w:rsidRPr="0049594B">
        <w:rPr>
          <w:rFonts w:ascii="Georgia" w:hAnsi="Georgia" w:cs="Times New Roman"/>
        </w:rPr>
        <w:t xml:space="preserve"> McKay (ed.)</w:t>
      </w:r>
      <w:r w:rsidR="005060C5" w:rsidRPr="0049594B">
        <w:rPr>
          <w:rFonts w:ascii="Georgia" w:hAnsi="Georgia" w:cs="Times New Roman"/>
        </w:rPr>
        <w:t xml:space="preserve"> &amp;</w:t>
      </w:r>
      <w:r w:rsidR="00143E5F" w:rsidRPr="0049594B">
        <w:rPr>
          <w:rFonts w:ascii="Georgia" w:hAnsi="Georgia" w:cs="Times New Roman"/>
        </w:rPr>
        <w:t xml:space="preserve"> F</w:t>
      </w:r>
      <w:r w:rsidR="0030308F" w:rsidRPr="0049594B">
        <w:rPr>
          <w:rFonts w:ascii="Georgia" w:hAnsi="Georgia" w:cs="Times New Roman"/>
        </w:rPr>
        <w:t>.</w:t>
      </w:r>
      <w:r w:rsidR="00143E5F" w:rsidRPr="0049594B">
        <w:rPr>
          <w:rFonts w:ascii="Georgia" w:hAnsi="Georgia" w:cs="Times New Roman"/>
        </w:rPr>
        <w:t xml:space="preserve"> Tarp (ed.)</w:t>
      </w:r>
      <w:r w:rsidR="00EE4F07" w:rsidRPr="0049594B">
        <w:rPr>
          <w:rFonts w:ascii="Georgia" w:hAnsi="Georgia" w:cs="Times New Roman"/>
        </w:rPr>
        <w:t>.</w:t>
      </w:r>
      <w:r w:rsidR="00143E5F" w:rsidRPr="0049594B">
        <w:rPr>
          <w:rFonts w:ascii="Georgia" w:hAnsi="Georgia" w:cs="Times New Roman"/>
        </w:rPr>
        <w:t xml:space="preserve"> </w:t>
      </w:r>
      <w:hyperlink r:id="rId49" w:history="1">
        <w:r w:rsidR="0015259A" w:rsidRPr="0049594B">
          <w:rPr>
            <w:rStyle w:val="Hyperlink"/>
            <w:rFonts w:ascii="Georgia" w:hAnsi="Georgia" w:cs="Times New Roman"/>
          </w:rPr>
          <w:t>Growth and Poverty in Sub-Saharan Africa</w:t>
        </w:r>
      </w:hyperlink>
      <w:r w:rsidR="006D6651" w:rsidRPr="0049594B">
        <w:rPr>
          <w:rFonts w:ascii="Georgia" w:hAnsi="Georgia" w:cs="Times New Roman"/>
        </w:rPr>
        <w:t>, pages 343-369.</w:t>
      </w:r>
    </w:p>
    <w:p w14:paraId="7EAE2872" w14:textId="77777777" w:rsidR="006B384D" w:rsidRPr="0049594B" w:rsidRDefault="006B384D" w:rsidP="006B384D">
      <w:pPr>
        <w:spacing w:after="120" w:line="240" w:lineRule="auto"/>
        <w:ind w:left="284" w:hanging="284"/>
        <w:jc w:val="both"/>
        <w:rPr>
          <w:rFonts w:ascii="Georgia" w:hAnsi="Georgia" w:cs="Times New Roman"/>
        </w:rPr>
      </w:pPr>
      <w:r w:rsidRPr="0049594B">
        <w:rPr>
          <w:rFonts w:ascii="Georgia" w:hAnsi="Georgia" w:cs="Times New Roman"/>
        </w:rPr>
        <w:t>Boaz, M. (2015). Evolution and Decomposition of Income Inequality in Kenya. Discussion Paper No. 187. Nairobi: The Kenya Institute for Public Policy Research and Analysis. (https://repository.kippra.or.ke/handle/123456789/2225).</w:t>
      </w:r>
    </w:p>
    <w:p w14:paraId="4EF83997" w14:textId="7C14A619" w:rsidR="00D076D6" w:rsidRPr="0049594B" w:rsidRDefault="00D076D6" w:rsidP="00D2310B">
      <w:pPr>
        <w:spacing w:after="120" w:line="240" w:lineRule="auto"/>
        <w:ind w:left="284" w:hanging="284"/>
        <w:jc w:val="both"/>
        <w:rPr>
          <w:rFonts w:ascii="Georgia" w:hAnsi="Georgia" w:cs="Times New Roman"/>
        </w:rPr>
      </w:pPr>
      <w:r w:rsidRPr="0049594B">
        <w:rPr>
          <w:rFonts w:ascii="Georgia" w:hAnsi="Georgia" w:cs="Times New Roman"/>
        </w:rPr>
        <w:t xml:space="preserve">Carillion Consultants (2020). </w:t>
      </w:r>
      <w:r w:rsidR="00127674" w:rsidRPr="0049594B">
        <w:rPr>
          <w:rFonts w:ascii="Georgia" w:hAnsi="Georgia" w:cs="Times New Roman"/>
        </w:rPr>
        <w:t xml:space="preserve">Baseline Assessment </w:t>
      </w:r>
      <w:r w:rsidR="005C4CC1" w:rsidRPr="0049594B">
        <w:rPr>
          <w:rFonts w:ascii="Georgia" w:hAnsi="Georgia" w:cs="Times New Roman"/>
        </w:rPr>
        <w:t>o</w:t>
      </w:r>
      <w:r w:rsidR="00127674" w:rsidRPr="0049594B">
        <w:rPr>
          <w:rFonts w:ascii="Georgia" w:hAnsi="Georgia" w:cs="Times New Roman"/>
        </w:rPr>
        <w:t xml:space="preserve">n Gender Responsive Budgeting </w:t>
      </w:r>
      <w:r w:rsidR="005C4CC1" w:rsidRPr="0049594B">
        <w:rPr>
          <w:rFonts w:ascii="Georgia" w:hAnsi="Georgia" w:cs="Times New Roman"/>
        </w:rPr>
        <w:t>i</w:t>
      </w:r>
      <w:r w:rsidR="00127674" w:rsidRPr="0049594B">
        <w:rPr>
          <w:rFonts w:ascii="Georgia" w:hAnsi="Georgia" w:cs="Times New Roman"/>
        </w:rPr>
        <w:t xml:space="preserve">n Kenya. Report </w:t>
      </w:r>
      <w:r w:rsidR="007E2559" w:rsidRPr="0049594B">
        <w:rPr>
          <w:rFonts w:ascii="Georgia" w:hAnsi="Georgia" w:cs="Times New Roman"/>
        </w:rPr>
        <w:t xml:space="preserve">commissioned by the SDG </w:t>
      </w:r>
      <w:r w:rsidR="006E5522" w:rsidRPr="0049594B">
        <w:rPr>
          <w:rFonts w:ascii="Georgia" w:hAnsi="Georgia" w:cs="Times New Roman"/>
        </w:rPr>
        <w:t xml:space="preserve">Kenya </w:t>
      </w:r>
      <w:r w:rsidR="007E2559" w:rsidRPr="0049594B">
        <w:rPr>
          <w:rFonts w:ascii="Georgia" w:hAnsi="Georgia" w:cs="Times New Roman"/>
        </w:rPr>
        <w:t>Forum</w:t>
      </w:r>
      <w:r w:rsidR="006E5522" w:rsidRPr="0049594B">
        <w:rPr>
          <w:rFonts w:ascii="Georgia" w:hAnsi="Georgia" w:cs="Times New Roman"/>
        </w:rPr>
        <w:t>.</w:t>
      </w:r>
      <w:r w:rsidR="007E2559" w:rsidRPr="0049594B">
        <w:rPr>
          <w:rFonts w:ascii="Georgia" w:hAnsi="Georgia" w:cs="Times New Roman"/>
        </w:rPr>
        <w:t xml:space="preserve"> </w:t>
      </w:r>
    </w:p>
    <w:p w14:paraId="4F8A2754" w14:textId="3CD6300A" w:rsidR="009F7DD3" w:rsidRPr="0049594B" w:rsidRDefault="009F7DD3" w:rsidP="00ED3A6C">
      <w:pPr>
        <w:spacing w:after="120" w:line="240" w:lineRule="auto"/>
        <w:ind w:left="284" w:hanging="284"/>
        <w:jc w:val="both"/>
        <w:rPr>
          <w:rFonts w:ascii="Georgia" w:hAnsi="Georgia" w:cs="Times New Roman"/>
        </w:rPr>
      </w:pPr>
      <w:r w:rsidRPr="0049594B">
        <w:rPr>
          <w:rFonts w:ascii="Georgia" w:hAnsi="Georgia" w:cs="Times New Roman"/>
        </w:rPr>
        <w:t>Chandy</w:t>
      </w:r>
      <w:r w:rsidR="00A30AD8" w:rsidRPr="0049594B">
        <w:rPr>
          <w:rFonts w:ascii="Georgia" w:hAnsi="Georgia" w:cs="Times New Roman"/>
        </w:rPr>
        <w:t>, L.</w:t>
      </w:r>
      <w:r w:rsidR="00FE0243" w:rsidRPr="0049594B">
        <w:rPr>
          <w:rFonts w:ascii="Georgia" w:hAnsi="Georgia" w:cs="Times New Roman"/>
        </w:rPr>
        <w:t>,</w:t>
      </w:r>
      <w:r w:rsidR="00A30AD8" w:rsidRPr="0049594B">
        <w:rPr>
          <w:rFonts w:ascii="Georgia" w:hAnsi="Georgia" w:cs="Times New Roman"/>
        </w:rPr>
        <w:t xml:space="preserve"> &amp;</w:t>
      </w:r>
      <w:r w:rsidRPr="0049594B">
        <w:rPr>
          <w:rFonts w:ascii="Georgia" w:hAnsi="Georgia" w:cs="Times New Roman"/>
        </w:rPr>
        <w:t xml:space="preserve"> </w:t>
      </w:r>
      <w:r w:rsidR="00B22CDB" w:rsidRPr="0049594B">
        <w:rPr>
          <w:rFonts w:ascii="Georgia" w:hAnsi="Georgia" w:cs="Times New Roman"/>
        </w:rPr>
        <w:t>S</w:t>
      </w:r>
      <w:r w:rsidRPr="0049594B">
        <w:rPr>
          <w:rFonts w:ascii="Georgia" w:hAnsi="Georgia" w:cs="Times New Roman"/>
        </w:rPr>
        <w:t>eidel</w:t>
      </w:r>
      <w:r w:rsidR="00FE0243" w:rsidRPr="0049594B">
        <w:rPr>
          <w:rFonts w:ascii="Georgia" w:hAnsi="Georgia" w:cs="Times New Roman"/>
        </w:rPr>
        <w:t>, B.</w:t>
      </w:r>
      <w:r w:rsidRPr="0049594B">
        <w:rPr>
          <w:rFonts w:ascii="Georgia" w:hAnsi="Georgia" w:cs="Times New Roman"/>
        </w:rPr>
        <w:t xml:space="preserve"> (2017)</w:t>
      </w:r>
      <w:r w:rsidR="004B4D1C" w:rsidRPr="0049594B">
        <w:rPr>
          <w:rFonts w:ascii="Georgia" w:hAnsi="Georgia" w:cs="Times New Roman"/>
        </w:rPr>
        <w:t xml:space="preserve">. </w:t>
      </w:r>
      <w:r w:rsidR="00355296" w:rsidRPr="0049594B">
        <w:rPr>
          <w:rFonts w:ascii="Georgia" w:hAnsi="Georgia" w:cs="Times New Roman"/>
        </w:rPr>
        <w:t xml:space="preserve">How much do we really know about inequality within countries around the world? Adjusting Gini coefficients for missing top incomes. </w:t>
      </w:r>
      <w:hyperlink r:id="rId50" w:history="1">
        <w:r w:rsidR="0058733E" w:rsidRPr="0049594B">
          <w:rPr>
            <w:rStyle w:val="Hyperlink"/>
            <w:rFonts w:ascii="Georgia" w:hAnsi="Georgia" w:cs="Times New Roman"/>
          </w:rPr>
          <w:t>Brookings</w:t>
        </w:r>
      </w:hyperlink>
      <w:r w:rsidR="0058733E" w:rsidRPr="0049594B">
        <w:rPr>
          <w:rFonts w:ascii="Georgia" w:hAnsi="Georgia" w:cs="Times New Roman"/>
        </w:rPr>
        <w:t>.</w:t>
      </w:r>
    </w:p>
    <w:p w14:paraId="0119BF5F" w14:textId="32AD7B7E" w:rsidR="005B7DB2" w:rsidRPr="0049594B" w:rsidRDefault="005B7DB2" w:rsidP="00987810">
      <w:pPr>
        <w:spacing w:after="120" w:line="240" w:lineRule="auto"/>
        <w:ind w:left="284" w:hanging="284"/>
        <w:jc w:val="both"/>
        <w:rPr>
          <w:rFonts w:ascii="Georgia" w:hAnsi="Georgia" w:cs="Times New Roman"/>
        </w:rPr>
      </w:pPr>
      <w:r w:rsidRPr="0049594B">
        <w:rPr>
          <w:rFonts w:ascii="Georgia" w:hAnsi="Georgia" w:cs="Times New Roman"/>
        </w:rPr>
        <w:t xml:space="preserve">Demery, </w:t>
      </w:r>
      <w:r w:rsidR="00B40556" w:rsidRPr="0049594B">
        <w:rPr>
          <w:rFonts w:ascii="Georgia" w:hAnsi="Georgia" w:cs="Times New Roman"/>
        </w:rPr>
        <w:t>L., &amp; Gaddis</w:t>
      </w:r>
      <w:r w:rsidR="00FE0243" w:rsidRPr="0049594B">
        <w:rPr>
          <w:rFonts w:ascii="Georgia" w:hAnsi="Georgia" w:cs="Times New Roman"/>
        </w:rPr>
        <w:t>, I.</w:t>
      </w:r>
      <w:r w:rsidR="00B40556" w:rsidRPr="0049594B">
        <w:rPr>
          <w:rFonts w:ascii="Georgia" w:hAnsi="Georgia" w:cs="Times New Roman"/>
        </w:rPr>
        <w:t xml:space="preserve"> (200</w:t>
      </w:r>
      <w:r w:rsidR="00AC702C" w:rsidRPr="0049594B">
        <w:rPr>
          <w:rFonts w:ascii="Georgia" w:hAnsi="Georgia" w:cs="Times New Roman"/>
        </w:rPr>
        <w:t>9</w:t>
      </w:r>
      <w:r w:rsidR="00B40556" w:rsidRPr="0049594B">
        <w:rPr>
          <w:rFonts w:ascii="Georgia" w:hAnsi="Georgia" w:cs="Times New Roman"/>
        </w:rPr>
        <w:t>).</w:t>
      </w:r>
      <w:r w:rsidR="00484FB2" w:rsidRPr="0049594B">
        <w:rPr>
          <w:rFonts w:ascii="Georgia" w:hAnsi="Georgia" w:cs="Times New Roman"/>
        </w:rPr>
        <w:t xml:space="preserve"> </w:t>
      </w:r>
      <w:r w:rsidR="00987810" w:rsidRPr="0049594B">
        <w:rPr>
          <w:rFonts w:ascii="Georgia" w:hAnsi="Georgia" w:cs="Times New Roman"/>
        </w:rPr>
        <w:t>Social spending, poverty and gender equality in Kenya: a benefit incidence</w:t>
      </w:r>
      <w:r w:rsidR="000E7FED" w:rsidRPr="0049594B">
        <w:rPr>
          <w:rFonts w:ascii="Georgia" w:hAnsi="Georgia" w:cs="Times New Roman"/>
        </w:rPr>
        <w:t xml:space="preserve"> </w:t>
      </w:r>
      <w:r w:rsidR="00987810" w:rsidRPr="0049594B">
        <w:rPr>
          <w:rFonts w:ascii="Georgia" w:hAnsi="Georgia" w:cs="Times New Roman"/>
        </w:rPr>
        <w:t>analysis</w:t>
      </w:r>
      <w:r w:rsidR="000E7FED" w:rsidRPr="0049594B">
        <w:rPr>
          <w:rFonts w:ascii="Georgia" w:hAnsi="Georgia" w:cs="Times New Roman"/>
        </w:rPr>
        <w:t xml:space="preserve">. </w:t>
      </w:r>
    </w:p>
    <w:p w14:paraId="5D45CD4A" w14:textId="431BFBAD" w:rsidR="001B392C" w:rsidRPr="0049594B" w:rsidRDefault="00EC512A" w:rsidP="00987810">
      <w:pPr>
        <w:spacing w:after="120" w:line="240" w:lineRule="auto"/>
        <w:ind w:left="284" w:hanging="284"/>
        <w:jc w:val="both"/>
        <w:rPr>
          <w:rFonts w:ascii="Georgia" w:hAnsi="Georgia" w:cs="Times New Roman"/>
        </w:rPr>
      </w:pPr>
      <w:r w:rsidRPr="0049594B">
        <w:rPr>
          <w:rFonts w:ascii="Georgia" w:hAnsi="Georgia" w:cs="Times New Roman"/>
        </w:rPr>
        <w:t xml:space="preserve">ENA (2023). </w:t>
      </w:r>
      <w:r w:rsidR="000F2D3F" w:rsidRPr="0049594B">
        <w:rPr>
          <w:rFonts w:ascii="Georgia" w:hAnsi="Georgia" w:cs="Times New Roman"/>
        </w:rPr>
        <w:t xml:space="preserve">A Gender Audit </w:t>
      </w:r>
      <w:r w:rsidR="00E7381B" w:rsidRPr="0049594B">
        <w:rPr>
          <w:rFonts w:ascii="Georgia" w:hAnsi="Georgia" w:cs="Times New Roman"/>
        </w:rPr>
        <w:t xml:space="preserve">and Analysis </w:t>
      </w:r>
      <w:r w:rsidR="000F2D3F" w:rsidRPr="0049594B">
        <w:rPr>
          <w:rFonts w:ascii="Georgia" w:hAnsi="Georgia" w:cs="Times New Roman"/>
        </w:rPr>
        <w:t>of</w:t>
      </w:r>
      <w:r w:rsidR="00E7381B" w:rsidRPr="0049594B">
        <w:rPr>
          <w:rFonts w:ascii="Georgia" w:hAnsi="Georgia" w:cs="Times New Roman"/>
        </w:rPr>
        <w:t xml:space="preserve"> Kenya’s 2022 General Elections. </w:t>
      </w:r>
      <w:r w:rsidR="000D2901" w:rsidRPr="0049594B">
        <w:rPr>
          <w:rFonts w:ascii="Georgia" w:hAnsi="Georgia" w:cs="Times New Roman"/>
        </w:rPr>
        <w:t>A Publication of Echo Network Africa (ENA).</w:t>
      </w:r>
      <w:r w:rsidR="00927EA9" w:rsidRPr="0049594B">
        <w:rPr>
          <w:rFonts w:ascii="Georgia" w:hAnsi="Georgia" w:cs="Times New Roman"/>
        </w:rPr>
        <w:t xml:space="preserve"> (</w:t>
      </w:r>
      <w:hyperlink r:id="rId51" w:history="1">
        <w:r w:rsidR="001B392C" w:rsidRPr="0049594B">
          <w:rPr>
            <w:rStyle w:val="Hyperlink"/>
            <w:rFonts w:ascii="Georgia" w:hAnsi="Georgia" w:cs="Times New Roman"/>
          </w:rPr>
          <w:t>https://democracytrustfund.org/Gender-Audit-Analysis-Kenya-2022-GE.pdf</w:t>
        </w:r>
      </w:hyperlink>
      <w:r w:rsidR="001B392C" w:rsidRPr="0049594B">
        <w:rPr>
          <w:rFonts w:ascii="Georgia" w:hAnsi="Georgia" w:cs="Times New Roman"/>
        </w:rPr>
        <w:t>).</w:t>
      </w:r>
    </w:p>
    <w:p w14:paraId="33573CD2" w14:textId="15E3D824" w:rsidR="00DE4A89" w:rsidRPr="0049594B" w:rsidRDefault="00DE4A89" w:rsidP="00987810">
      <w:pPr>
        <w:spacing w:after="120" w:line="240" w:lineRule="auto"/>
        <w:ind w:left="284" w:hanging="284"/>
        <w:jc w:val="both"/>
        <w:rPr>
          <w:rFonts w:ascii="Georgia" w:hAnsi="Georgia" w:cs="Times New Roman"/>
        </w:rPr>
      </w:pPr>
      <w:r w:rsidRPr="0049594B">
        <w:rPr>
          <w:rFonts w:ascii="Georgia" w:hAnsi="Georgia" w:cs="Times New Roman"/>
        </w:rPr>
        <w:t>Ichwara, J.M., Kiriti-Ng’ang’a, T. W., &amp; Wambugu, A. (2023). Changes in gender differences in household poverty in Kenya, Cogent Economics &amp; Finance, 11: 2191455</w:t>
      </w:r>
      <w:r w:rsidR="003B728F" w:rsidRPr="0049594B">
        <w:rPr>
          <w:rFonts w:ascii="Georgia" w:hAnsi="Georgia" w:cs="Times New Roman"/>
        </w:rPr>
        <w:t xml:space="preserve"> (</w:t>
      </w:r>
      <w:r w:rsidRPr="0049594B">
        <w:rPr>
          <w:rFonts w:ascii="Georgia" w:hAnsi="Georgia" w:cs="Times New Roman"/>
        </w:rPr>
        <w:t>https://doi.org/10.1080/23322039.2023.2191455</w:t>
      </w:r>
      <w:r w:rsidR="003B728F" w:rsidRPr="0049594B">
        <w:rPr>
          <w:rFonts w:ascii="Georgia" w:hAnsi="Georgia" w:cs="Times New Roman"/>
        </w:rPr>
        <w:t>)</w:t>
      </w:r>
      <w:r w:rsidRPr="0049594B">
        <w:rPr>
          <w:rFonts w:ascii="Georgia" w:hAnsi="Georgia" w:cs="Times New Roman"/>
        </w:rPr>
        <w:t>.</w:t>
      </w:r>
    </w:p>
    <w:p w14:paraId="4485FC48" w14:textId="2D90558C" w:rsidR="00716432" w:rsidRPr="0049594B" w:rsidRDefault="00716432" w:rsidP="005A2422">
      <w:pPr>
        <w:spacing w:after="120" w:line="240" w:lineRule="auto"/>
        <w:ind w:left="284" w:hanging="284"/>
        <w:jc w:val="both"/>
        <w:rPr>
          <w:rFonts w:ascii="Georgia" w:hAnsi="Georgia" w:cs="Times New Roman"/>
        </w:rPr>
      </w:pPr>
      <w:r w:rsidRPr="0049594B">
        <w:rPr>
          <w:rFonts w:ascii="Georgia" w:hAnsi="Georgia" w:cs="Times New Roman"/>
        </w:rPr>
        <w:t>ILO (</w:t>
      </w:r>
      <w:r w:rsidR="003E5506" w:rsidRPr="0049594B">
        <w:rPr>
          <w:rFonts w:ascii="Georgia" w:hAnsi="Georgia" w:cs="Times New Roman"/>
        </w:rPr>
        <w:t xml:space="preserve">2013). </w:t>
      </w:r>
      <w:r w:rsidR="00701774" w:rsidRPr="0049594B">
        <w:rPr>
          <w:rFonts w:ascii="Georgia" w:hAnsi="Georgia" w:cs="Times New Roman"/>
          <w:i/>
          <w:iCs/>
        </w:rPr>
        <w:t>Kenya. Making Quality Employment the Driver of Development</w:t>
      </w:r>
      <w:r w:rsidR="00701774" w:rsidRPr="0049594B">
        <w:rPr>
          <w:rFonts w:ascii="Georgia" w:hAnsi="Georgia" w:cs="Times New Roman"/>
        </w:rPr>
        <w:t xml:space="preserve">. </w:t>
      </w:r>
      <w:r w:rsidR="005A2422" w:rsidRPr="0049594B">
        <w:rPr>
          <w:rFonts w:ascii="Georgia" w:hAnsi="Georgia" w:cs="Times New Roman"/>
        </w:rPr>
        <w:t>International Labour Organization</w:t>
      </w:r>
      <w:r w:rsidR="00CE29A7" w:rsidRPr="0049594B">
        <w:rPr>
          <w:rFonts w:ascii="Georgia" w:hAnsi="Georgia" w:cs="Times New Roman"/>
        </w:rPr>
        <w:t>,</w:t>
      </w:r>
      <w:r w:rsidR="00A57A9A" w:rsidRPr="0049594B">
        <w:rPr>
          <w:rFonts w:ascii="Georgia" w:hAnsi="Georgia" w:cs="Times New Roman"/>
        </w:rPr>
        <w:t xml:space="preserve"> </w:t>
      </w:r>
      <w:r w:rsidR="005A2422" w:rsidRPr="0049594B">
        <w:rPr>
          <w:rFonts w:ascii="Georgia" w:hAnsi="Georgia" w:cs="Times New Roman"/>
        </w:rPr>
        <w:t>International Institute for Labour</w:t>
      </w:r>
      <w:r w:rsidR="00CE29A7" w:rsidRPr="0049594B">
        <w:rPr>
          <w:rFonts w:ascii="Georgia" w:hAnsi="Georgia" w:cs="Times New Roman"/>
        </w:rPr>
        <w:t xml:space="preserve"> </w:t>
      </w:r>
      <w:r w:rsidR="005A2422" w:rsidRPr="0049594B">
        <w:rPr>
          <w:rFonts w:ascii="Georgia" w:hAnsi="Georgia" w:cs="Times New Roman"/>
        </w:rPr>
        <w:t>Studies</w:t>
      </w:r>
      <w:r w:rsidR="00CE29A7" w:rsidRPr="0049594B">
        <w:rPr>
          <w:rFonts w:ascii="Georgia" w:hAnsi="Georgia" w:cs="Times New Roman"/>
        </w:rPr>
        <w:t>.</w:t>
      </w:r>
    </w:p>
    <w:p w14:paraId="6E40179D" w14:textId="587DABE2" w:rsidR="00310B76" w:rsidRPr="0049594B" w:rsidRDefault="00310B76" w:rsidP="00310B76">
      <w:pPr>
        <w:spacing w:after="120" w:line="240" w:lineRule="auto"/>
        <w:ind w:left="480" w:hanging="480"/>
        <w:jc w:val="both"/>
        <w:rPr>
          <w:rFonts w:ascii="Georgia" w:eastAsia="Times New Roman" w:hAnsi="Georgia" w:cs="Times New Roman"/>
          <w:lang w:eastAsia="es-419"/>
        </w:rPr>
      </w:pPr>
      <w:r w:rsidRPr="0049594B">
        <w:rPr>
          <w:rFonts w:ascii="Georgia" w:eastAsia="Times New Roman" w:hAnsi="Georgia" w:cs="Times New Roman"/>
          <w:lang w:eastAsia="es-419"/>
        </w:rPr>
        <w:t xml:space="preserve">ILO (2017). </w:t>
      </w:r>
      <w:hyperlink r:id="rId52" w:history="1">
        <w:r w:rsidRPr="0049594B">
          <w:rPr>
            <w:rStyle w:val="Hyperlink"/>
            <w:rFonts w:ascii="Georgia" w:eastAsia="Times New Roman" w:hAnsi="Georgia" w:cs="Times New Roman"/>
            <w:i/>
            <w:iCs/>
            <w:lang w:eastAsia="es-419"/>
          </w:rPr>
          <w:t>World Social Protection Report 2017-19. Universal Social Protection to Achieve the Sustainable Development Goals</w:t>
        </w:r>
      </w:hyperlink>
      <w:r w:rsidRPr="0049594B">
        <w:rPr>
          <w:rFonts w:ascii="Georgia" w:eastAsia="Times New Roman" w:hAnsi="Georgia" w:cs="Times New Roman"/>
          <w:i/>
          <w:iCs/>
          <w:lang w:eastAsia="es-419"/>
        </w:rPr>
        <w:t>.</w:t>
      </w:r>
      <w:r w:rsidRPr="0049594B">
        <w:rPr>
          <w:rFonts w:ascii="Georgia" w:eastAsia="Times New Roman" w:hAnsi="Georgia" w:cs="Times New Roman"/>
          <w:lang w:eastAsia="es-419"/>
        </w:rPr>
        <w:t xml:space="preserve"> Geneva: International Labour Organization.</w:t>
      </w:r>
    </w:p>
    <w:p w14:paraId="5E02AB0B" w14:textId="438DD295" w:rsidR="001D3D46" w:rsidRPr="0049594B" w:rsidRDefault="00F977B5" w:rsidP="0055258B">
      <w:pPr>
        <w:spacing w:after="120" w:line="240" w:lineRule="auto"/>
        <w:ind w:left="284" w:hanging="284"/>
        <w:jc w:val="both"/>
        <w:rPr>
          <w:rFonts w:ascii="Georgia" w:hAnsi="Georgia" w:cs="Times New Roman"/>
        </w:rPr>
      </w:pPr>
      <w:r w:rsidRPr="0049594B">
        <w:rPr>
          <w:rFonts w:ascii="Georgia" w:hAnsi="Georgia" w:cs="Times New Roman"/>
        </w:rPr>
        <w:t>Kazungu, J.</w:t>
      </w:r>
      <w:r w:rsidR="00FE0243" w:rsidRPr="0049594B">
        <w:rPr>
          <w:rFonts w:ascii="Georgia" w:hAnsi="Georgia" w:cs="Times New Roman"/>
        </w:rPr>
        <w:t>,</w:t>
      </w:r>
      <w:r w:rsidRPr="0049594B">
        <w:rPr>
          <w:rFonts w:ascii="Georgia" w:hAnsi="Georgia" w:cs="Times New Roman"/>
        </w:rPr>
        <w:t xml:space="preserve"> &amp; Barasa</w:t>
      </w:r>
      <w:r w:rsidR="00FE0243" w:rsidRPr="0049594B">
        <w:rPr>
          <w:rFonts w:ascii="Georgia" w:hAnsi="Georgia" w:cs="Times New Roman"/>
        </w:rPr>
        <w:t>, E.</w:t>
      </w:r>
      <w:r w:rsidRPr="0049594B">
        <w:rPr>
          <w:rFonts w:ascii="Georgia" w:hAnsi="Georgia" w:cs="Times New Roman"/>
        </w:rPr>
        <w:t xml:space="preserve"> (2017).</w:t>
      </w:r>
      <w:r w:rsidR="00B400B3" w:rsidRPr="0049594B">
        <w:rPr>
          <w:rFonts w:ascii="Georgia" w:hAnsi="Georgia" w:cs="Times New Roman"/>
        </w:rPr>
        <w:t xml:space="preserve"> Examining levels, distribution and correlates of health insurance coverage in Kenya. </w:t>
      </w:r>
      <w:r w:rsidR="003E6079" w:rsidRPr="0049594B">
        <w:rPr>
          <w:rFonts w:ascii="Georgia" w:hAnsi="Georgia" w:cs="Times New Roman"/>
          <w:i/>
          <w:iCs/>
        </w:rPr>
        <w:t>Trop Med Int Health</w:t>
      </w:r>
      <w:r w:rsidR="003E6079" w:rsidRPr="0049594B">
        <w:rPr>
          <w:rFonts w:ascii="Georgia" w:hAnsi="Georgia" w:cs="Times New Roman"/>
        </w:rPr>
        <w:t>, 22(9):1175-1185.</w:t>
      </w:r>
      <w:r w:rsidR="009E0586" w:rsidRPr="0049594B">
        <w:rPr>
          <w:rFonts w:ascii="Georgia" w:hAnsi="Georgia" w:cs="Times New Roman"/>
        </w:rPr>
        <w:t xml:space="preserve">Kimenyi, </w:t>
      </w:r>
      <w:r w:rsidR="00F270E2" w:rsidRPr="0049594B">
        <w:rPr>
          <w:rFonts w:ascii="Georgia" w:hAnsi="Georgia" w:cs="Times New Roman"/>
        </w:rPr>
        <w:t>M.S., Mwabu</w:t>
      </w:r>
      <w:r w:rsidR="0042799B" w:rsidRPr="0049594B">
        <w:rPr>
          <w:rFonts w:ascii="Georgia" w:hAnsi="Georgia" w:cs="Times New Roman"/>
        </w:rPr>
        <w:t>, G.,</w:t>
      </w:r>
      <w:r w:rsidR="00F270E2" w:rsidRPr="0049594B">
        <w:rPr>
          <w:rFonts w:ascii="Georgia" w:hAnsi="Georgia" w:cs="Times New Roman"/>
        </w:rPr>
        <w:t xml:space="preserve"> &amp; Manda</w:t>
      </w:r>
      <w:r w:rsidR="0042799B" w:rsidRPr="0049594B">
        <w:rPr>
          <w:rFonts w:ascii="Georgia" w:hAnsi="Georgia" w:cs="Times New Roman"/>
        </w:rPr>
        <w:t>, D.K.</w:t>
      </w:r>
      <w:r w:rsidR="00F270E2" w:rsidRPr="0049594B">
        <w:rPr>
          <w:rFonts w:ascii="Georgia" w:hAnsi="Georgia" w:cs="Times New Roman"/>
        </w:rPr>
        <w:t xml:space="preserve"> (2006). </w:t>
      </w:r>
      <w:r w:rsidR="007E1D40" w:rsidRPr="0049594B">
        <w:rPr>
          <w:rFonts w:ascii="Georgia" w:hAnsi="Georgia" w:cs="Times New Roman"/>
        </w:rPr>
        <w:t xml:space="preserve">Human Capital Externalities and Private Returns to Education in Kenya. </w:t>
      </w:r>
      <w:r w:rsidR="007E1D40" w:rsidRPr="0049594B">
        <w:rPr>
          <w:rFonts w:ascii="Georgia" w:hAnsi="Georgia" w:cs="Times New Roman"/>
          <w:i/>
          <w:iCs/>
        </w:rPr>
        <w:t>Eastern Economic Journal</w:t>
      </w:r>
      <w:r w:rsidR="00283DDA" w:rsidRPr="0049594B">
        <w:rPr>
          <w:rFonts w:ascii="Georgia" w:hAnsi="Georgia" w:cs="Times New Roman"/>
        </w:rPr>
        <w:t>.</w:t>
      </w:r>
      <w:r w:rsidR="007E1D40" w:rsidRPr="0049594B">
        <w:rPr>
          <w:rFonts w:ascii="Georgia" w:hAnsi="Georgia" w:cs="Times New Roman"/>
        </w:rPr>
        <w:t xml:space="preserve"> Vol. 32, No. 3</w:t>
      </w:r>
      <w:r w:rsidR="00A512BD" w:rsidRPr="0049594B">
        <w:rPr>
          <w:rFonts w:ascii="Georgia" w:hAnsi="Georgia" w:cs="Times New Roman"/>
        </w:rPr>
        <w:t xml:space="preserve">, </w:t>
      </w:r>
      <w:r w:rsidR="007E1D40" w:rsidRPr="0049594B">
        <w:rPr>
          <w:rFonts w:ascii="Georgia" w:hAnsi="Georgia" w:cs="Times New Roman"/>
        </w:rPr>
        <w:t>493-513.</w:t>
      </w:r>
      <w:r w:rsidR="001D3D46" w:rsidRPr="0049594B">
        <w:rPr>
          <w:rFonts w:ascii="Georgia" w:hAnsi="Georgia" w:cs="Times New Roman"/>
        </w:rPr>
        <w:t>Kimenyi, M.S., Mwega, F.M., &amp; Ndung’u, N.S. (2006).</w:t>
      </w:r>
      <w:r w:rsidR="001D5840" w:rsidRPr="0049594B">
        <w:rPr>
          <w:rFonts w:ascii="Georgia" w:hAnsi="Georgia" w:cs="Times New Roman"/>
        </w:rPr>
        <w:t xml:space="preserve"> The African Lions: Kenya country ca</w:t>
      </w:r>
      <w:r w:rsidR="00987105" w:rsidRPr="0049594B">
        <w:rPr>
          <w:rFonts w:ascii="Georgia" w:hAnsi="Georgia" w:cs="Times New Roman"/>
        </w:rPr>
        <w:t xml:space="preserve">se study. </w:t>
      </w:r>
      <w:r w:rsidR="003449EF" w:rsidRPr="0049594B">
        <w:rPr>
          <w:rFonts w:ascii="Georgia" w:hAnsi="Georgia" w:cs="Times New Roman"/>
        </w:rPr>
        <w:t>Brookings, May 2016</w:t>
      </w:r>
      <w:r w:rsidR="0055258B" w:rsidRPr="0049594B">
        <w:rPr>
          <w:rFonts w:ascii="Georgia" w:hAnsi="Georgia" w:cs="Times New Roman"/>
        </w:rPr>
        <w:t xml:space="preserve"> (</w:t>
      </w:r>
      <w:hyperlink r:id="rId53" w:history="1">
        <w:r w:rsidR="0055258B" w:rsidRPr="0049594B">
          <w:rPr>
            <w:rStyle w:val="Hyperlink"/>
            <w:rFonts w:ascii="Georgia" w:eastAsia="Times New Roman" w:hAnsi="Georgia"/>
          </w:rPr>
          <w:t>https://www.brookings.edu/wp-content/uploads/2016/07/kenya-country-case.pdf</w:t>
        </w:r>
      </w:hyperlink>
      <w:r w:rsidR="0055258B" w:rsidRPr="0049594B">
        <w:rPr>
          <w:rFonts w:ascii="Georgia" w:eastAsia="Times New Roman" w:hAnsi="Georgia"/>
        </w:rPr>
        <w:t>)</w:t>
      </w:r>
      <w:r w:rsidR="003449EF" w:rsidRPr="0049594B">
        <w:rPr>
          <w:rFonts w:ascii="Georgia" w:hAnsi="Georgia" w:cs="Times New Roman"/>
        </w:rPr>
        <w:t>.</w:t>
      </w:r>
    </w:p>
    <w:p w14:paraId="3048F33C" w14:textId="75AC5E29" w:rsidR="00937455" w:rsidRPr="0049594B" w:rsidRDefault="00937455" w:rsidP="005A2422">
      <w:pPr>
        <w:spacing w:after="120" w:line="240" w:lineRule="auto"/>
        <w:ind w:left="284" w:hanging="284"/>
        <w:jc w:val="both"/>
        <w:rPr>
          <w:rFonts w:ascii="Georgia" w:hAnsi="Georgia" w:cs="Times New Roman"/>
        </w:rPr>
      </w:pPr>
      <w:r w:rsidRPr="0049594B">
        <w:rPr>
          <w:rFonts w:ascii="Georgia" w:hAnsi="Georgia" w:cs="Times New Roman"/>
        </w:rPr>
        <w:t xml:space="preserve">KIPPRA (2020). </w:t>
      </w:r>
      <w:r w:rsidRPr="0049594B">
        <w:rPr>
          <w:rFonts w:ascii="Georgia" w:hAnsi="Georgia" w:cs="Times New Roman"/>
          <w:i/>
          <w:iCs/>
        </w:rPr>
        <w:t>Kenya Economic Report 2020</w:t>
      </w:r>
      <w:r w:rsidR="001B65E8" w:rsidRPr="0049594B">
        <w:rPr>
          <w:rFonts w:ascii="Georgia" w:hAnsi="Georgia" w:cs="Times New Roman"/>
          <w:i/>
          <w:iCs/>
        </w:rPr>
        <w:t>. Cre</w:t>
      </w:r>
      <w:r w:rsidR="00D2579B" w:rsidRPr="0049594B">
        <w:rPr>
          <w:rFonts w:ascii="Georgia" w:hAnsi="Georgia" w:cs="Times New Roman"/>
          <w:i/>
          <w:iCs/>
        </w:rPr>
        <w:t>a</w:t>
      </w:r>
      <w:r w:rsidR="001B65E8" w:rsidRPr="0049594B">
        <w:rPr>
          <w:rFonts w:ascii="Georgia" w:hAnsi="Georgia" w:cs="Times New Roman"/>
          <w:i/>
          <w:iCs/>
        </w:rPr>
        <w:t>ting an Enabling Environment for Inclusive Growth in Kenya</w:t>
      </w:r>
      <w:r w:rsidR="000231B3" w:rsidRPr="0049594B">
        <w:rPr>
          <w:rFonts w:ascii="Georgia" w:hAnsi="Georgia" w:cs="Times New Roman"/>
          <w:i/>
          <w:iCs/>
        </w:rPr>
        <w:t>.</w:t>
      </w:r>
      <w:r w:rsidR="000231B3" w:rsidRPr="0049594B">
        <w:rPr>
          <w:rFonts w:ascii="Georgia" w:hAnsi="Georgia" w:cs="Times New Roman"/>
        </w:rPr>
        <w:t xml:space="preserve"> Nairobi: The </w:t>
      </w:r>
      <w:r w:rsidR="00613183" w:rsidRPr="0049594B">
        <w:rPr>
          <w:rFonts w:ascii="Georgia" w:hAnsi="Georgia" w:cs="Times New Roman"/>
        </w:rPr>
        <w:t>K</w:t>
      </w:r>
      <w:r w:rsidR="000231B3" w:rsidRPr="0049594B">
        <w:rPr>
          <w:rFonts w:ascii="Georgia" w:hAnsi="Georgia" w:cs="Times New Roman"/>
        </w:rPr>
        <w:t>e</w:t>
      </w:r>
      <w:r w:rsidR="00613183" w:rsidRPr="0049594B">
        <w:rPr>
          <w:rFonts w:ascii="Georgia" w:hAnsi="Georgia" w:cs="Times New Roman"/>
        </w:rPr>
        <w:t>n</w:t>
      </w:r>
      <w:r w:rsidR="000231B3" w:rsidRPr="0049594B">
        <w:rPr>
          <w:rFonts w:ascii="Georgia" w:hAnsi="Georgia" w:cs="Times New Roman"/>
        </w:rPr>
        <w:t>ya Instit</w:t>
      </w:r>
      <w:r w:rsidR="00613183" w:rsidRPr="0049594B">
        <w:rPr>
          <w:rFonts w:ascii="Georgia" w:hAnsi="Georgia" w:cs="Times New Roman"/>
        </w:rPr>
        <w:t xml:space="preserve">ute for Public Policy </w:t>
      </w:r>
      <w:r w:rsidR="001B56E7" w:rsidRPr="0049594B">
        <w:rPr>
          <w:rFonts w:ascii="Georgia" w:hAnsi="Georgia" w:cs="Times New Roman"/>
        </w:rPr>
        <w:t xml:space="preserve">Research </w:t>
      </w:r>
      <w:r w:rsidR="00A04AD8" w:rsidRPr="0049594B">
        <w:rPr>
          <w:rFonts w:ascii="Georgia" w:hAnsi="Georgia" w:cs="Times New Roman"/>
        </w:rPr>
        <w:t xml:space="preserve">and </w:t>
      </w:r>
      <w:r w:rsidR="00613183" w:rsidRPr="0049594B">
        <w:rPr>
          <w:rFonts w:ascii="Georgia" w:hAnsi="Georgia" w:cs="Times New Roman"/>
        </w:rPr>
        <w:t>Analysis</w:t>
      </w:r>
      <w:r w:rsidR="00F9117B" w:rsidRPr="0049594B">
        <w:rPr>
          <w:rFonts w:ascii="Georgia" w:hAnsi="Georgia" w:cs="Times New Roman"/>
        </w:rPr>
        <w:t>.</w:t>
      </w:r>
    </w:p>
    <w:p w14:paraId="15DC65C7" w14:textId="77777777" w:rsidR="00675440" w:rsidRPr="0049594B" w:rsidRDefault="00306E4B" w:rsidP="00675440">
      <w:pPr>
        <w:spacing w:after="120" w:line="240" w:lineRule="auto"/>
        <w:ind w:left="284" w:hanging="284"/>
        <w:jc w:val="both"/>
        <w:rPr>
          <w:rFonts w:ascii="Georgia" w:hAnsi="Georgia" w:cs="Times New Roman"/>
        </w:rPr>
      </w:pPr>
      <w:r w:rsidRPr="0049594B">
        <w:rPr>
          <w:rFonts w:ascii="Georgia" w:hAnsi="Georgia" w:cs="Times New Roman"/>
        </w:rPr>
        <w:t xml:space="preserve">KIPPRA (2022). </w:t>
      </w:r>
      <w:r w:rsidRPr="0049594B">
        <w:rPr>
          <w:rFonts w:ascii="Georgia" w:hAnsi="Georgia" w:cs="Times New Roman"/>
          <w:i/>
          <w:iCs/>
        </w:rPr>
        <w:t>Kenya Economic Report 202</w:t>
      </w:r>
      <w:r w:rsidR="00B95ECF" w:rsidRPr="0049594B">
        <w:rPr>
          <w:rFonts w:ascii="Georgia" w:hAnsi="Georgia" w:cs="Times New Roman"/>
          <w:i/>
          <w:iCs/>
        </w:rPr>
        <w:t>2</w:t>
      </w:r>
      <w:r w:rsidRPr="0049594B">
        <w:rPr>
          <w:rFonts w:ascii="Georgia" w:hAnsi="Georgia" w:cs="Times New Roman"/>
          <w:i/>
          <w:iCs/>
        </w:rPr>
        <w:t xml:space="preserve">. </w:t>
      </w:r>
      <w:r w:rsidR="00B95ECF" w:rsidRPr="0049594B">
        <w:rPr>
          <w:rFonts w:ascii="Georgia" w:hAnsi="Georgia" w:cs="Times New Roman"/>
          <w:i/>
          <w:iCs/>
        </w:rPr>
        <w:t>Building Resilience and Sustainable Economic Development In Kenya.</w:t>
      </w:r>
      <w:r w:rsidRPr="0049594B">
        <w:rPr>
          <w:rFonts w:ascii="Georgia" w:hAnsi="Georgia" w:cs="Times New Roman"/>
        </w:rPr>
        <w:t xml:space="preserve"> Nairobi: The Kenya Institute for Public Policy Research and Analysis.</w:t>
      </w:r>
    </w:p>
    <w:p w14:paraId="543A218C" w14:textId="1B3C4014" w:rsidR="00E13C3D" w:rsidRPr="0049594B" w:rsidRDefault="00E13C3D" w:rsidP="00E13C3D">
      <w:pPr>
        <w:spacing w:after="120" w:line="240" w:lineRule="auto"/>
        <w:ind w:left="480" w:hanging="480"/>
        <w:jc w:val="both"/>
        <w:rPr>
          <w:rFonts w:ascii="Georgia" w:hAnsi="Georgia" w:cs="Times New Roman"/>
        </w:rPr>
      </w:pPr>
      <w:r w:rsidRPr="0049594B">
        <w:rPr>
          <w:rFonts w:ascii="Georgia" w:hAnsi="Georgia" w:cs="Times New Roman"/>
        </w:rPr>
        <w:t>Klasen, S., Scholl, N., Lahoti, R., Ochmann, S.</w:t>
      </w:r>
      <w:r w:rsidR="0042799B" w:rsidRPr="0049594B">
        <w:rPr>
          <w:rFonts w:ascii="Georgia" w:hAnsi="Georgia" w:cs="Times New Roman"/>
        </w:rPr>
        <w:t>,</w:t>
      </w:r>
      <w:r w:rsidRPr="0049594B">
        <w:rPr>
          <w:rFonts w:ascii="Georgia" w:hAnsi="Georgia" w:cs="Times New Roman"/>
        </w:rPr>
        <w:t xml:space="preserve"> &amp; Vollmer, S. (2016). </w:t>
      </w:r>
      <w:hyperlink r:id="rId54" w:history="1">
        <w:r w:rsidRPr="0049594B">
          <w:rPr>
            <w:rStyle w:val="Hyperlink"/>
            <w:rFonts w:ascii="Georgia" w:hAnsi="Georgia" w:cs="Times New Roman"/>
            <w:i/>
            <w:iCs/>
          </w:rPr>
          <w:t>Inequality – worldwide trends and current debates</w:t>
        </w:r>
      </w:hyperlink>
      <w:r w:rsidRPr="0049594B">
        <w:rPr>
          <w:rFonts w:ascii="Georgia" w:hAnsi="Georgia" w:cs="Times New Roman"/>
        </w:rPr>
        <w:t>. Courant Research Centre: Poverty, Equity and Growth. Discussion Papers No. 209.</w:t>
      </w:r>
    </w:p>
    <w:p w14:paraId="0995F879" w14:textId="6785D89C" w:rsidR="00413C57" w:rsidRPr="0049594B" w:rsidRDefault="000A2511" w:rsidP="00E13C3D">
      <w:pPr>
        <w:spacing w:after="120" w:line="240" w:lineRule="auto"/>
        <w:ind w:left="480" w:hanging="480"/>
        <w:jc w:val="both"/>
        <w:rPr>
          <w:rFonts w:ascii="Georgia" w:hAnsi="Georgia" w:cs="Times New Roman"/>
        </w:rPr>
      </w:pPr>
      <w:r w:rsidRPr="0049594B">
        <w:rPr>
          <w:rFonts w:ascii="Georgia" w:hAnsi="Georgia" w:cs="Times New Roman"/>
        </w:rPr>
        <w:t xml:space="preserve">KNBS (2020a). </w:t>
      </w:r>
      <w:r w:rsidR="00413C57" w:rsidRPr="0049594B">
        <w:rPr>
          <w:rFonts w:ascii="Georgia" w:hAnsi="Georgia" w:cs="Times New Roman"/>
          <w:i/>
          <w:iCs/>
        </w:rPr>
        <w:t>Kenya Comprehensive Poverty Analysis. Children, Youths and Women in Focus</w:t>
      </w:r>
      <w:r w:rsidR="00413C57" w:rsidRPr="0049594B">
        <w:rPr>
          <w:rFonts w:ascii="Georgia" w:hAnsi="Georgia" w:cs="Times New Roman"/>
        </w:rPr>
        <w:t>.</w:t>
      </w:r>
      <w:r w:rsidRPr="0049594B">
        <w:rPr>
          <w:rFonts w:ascii="Georgia" w:hAnsi="Georgia" w:cs="Times New Roman"/>
        </w:rPr>
        <w:t xml:space="preserve"> Kenya National Bureau Of Statistics.</w:t>
      </w:r>
    </w:p>
    <w:p w14:paraId="0EF8031D" w14:textId="4388DCD8" w:rsidR="009F7DD3" w:rsidRPr="0049594B" w:rsidRDefault="00703C5C" w:rsidP="00ED3A6C">
      <w:pPr>
        <w:spacing w:after="120" w:line="240" w:lineRule="auto"/>
        <w:ind w:left="284" w:hanging="284"/>
        <w:jc w:val="both"/>
        <w:rPr>
          <w:rFonts w:ascii="Georgia" w:hAnsi="Georgia" w:cs="Times New Roman"/>
        </w:rPr>
      </w:pPr>
      <w:r w:rsidRPr="0049594B">
        <w:rPr>
          <w:rFonts w:ascii="Georgia" w:hAnsi="Georgia" w:cs="Times New Roman"/>
        </w:rPr>
        <w:t>KNBS (202</w:t>
      </w:r>
      <w:r w:rsidR="00335059" w:rsidRPr="0049594B">
        <w:rPr>
          <w:rFonts w:ascii="Georgia" w:hAnsi="Georgia" w:cs="Times New Roman"/>
        </w:rPr>
        <w:t>0</w:t>
      </w:r>
      <w:r w:rsidR="00413C57" w:rsidRPr="0049594B">
        <w:rPr>
          <w:rFonts w:ascii="Georgia" w:hAnsi="Georgia" w:cs="Times New Roman"/>
        </w:rPr>
        <w:t>b</w:t>
      </w:r>
      <w:r w:rsidRPr="0049594B">
        <w:rPr>
          <w:rFonts w:ascii="Georgia" w:hAnsi="Georgia" w:cs="Times New Roman"/>
        </w:rPr>
        <w:t>)</w:t>
      </w:r>
      <w:r w:rsidR="00335059" w:rsidRPr="0049594B">
        <w:rPr>
          <w:rFonts w:ascii="Georgia" w:hAnsi="Georgia" w:cs="Times New Roman"/>
        </w:rPr>
        <w:t xml:space="preserve">. </w:t>
      </w:r>
      <w:r w:rsidR="008B4DFB" w:rsidRPr="0049594B">
        <w:rPr>
          <w:rFonts w:ascii="Georgia" w:hAnsi="Georgia" w:cs="Times New Roman"/>
          <w:i/>
          <w:iCs/>
        </w:rPr>
        <w:t xml:space="preserve">Inequality Trends and </w:t>
      </w:r>
      <w:r w:rsidR="00922038" w:rsidRPr="0049594B">
        <w:rPr>
          <w:rFonts w:ascii="Georgia" w:hAnsi="Georgia" w:cs="Times New Roman"/>
          <w:i/>
          <w:iCs/>
        </w:rPr>
        <w:t xml:space="preserve">Diagnostics in </w:t>
      </w:r>
      <w:r w:rsidR="00335059" w:rsidRPr="0049594B">
        <w:rPr>
          <w:rFonts w:ascii="Georgia" w:hAnsi="Georgia" w:cs="Times New Roman"/>
          <w:i/>
          <w:iCs/>
        </w:rPr>
        <w:t>Kenya</w:t>
      </w:r>
      <w:r w:rsidR="00922038" w:rsidRPr="0049594B">
        <w:rPr>
          <w:rFonts w:ascii="Georgia" w:hAnsi="Georgia" w:cs="Times New Roman"/>
        </w:rPr>
        <w:t xml:space="preserve">. </w:t>
      </w:r>
      <w:r w:rsidR="00D24EA7" w:rsidRPr="0049594B">
        <w:rPr>
          <w:rFonts w:ascii="Georgia" w:hAnsi="Georgia" w:cs="Times New Roman"/>
        </w:rPr>
        <w:t xml:space="preserve">Kenya National Bureau </w:t>
      </w:r>
      <w:r w:rsidR="00B4656A" w:rsidRPr="0049594B">
        <w:rPr>
          <w:rFonts w:ascii="Georgia" w:hAnsi="Georgia" w:cs="Times New Roman"/>
        </w:rPr>
        <w:t>o</w:t>
      </w:r>
      <w:r w:rsidR="00D24EA7" w:rsidRPr="0049594B">
        <w:rPr>
          <w:rFonts w:ascii="Georgia" w:hAnsi="Georgia" w:cs="Times New Roman"/>
        </w:rPr>
        <w:t>f Statistics</w:t>
      </w:r>
      <w:r w:rsidR="0015330B" w:rsidRPr="0049594B">
        <w:rPr>
          <w:rFonts w:ascii="Georgia" w:hAnsi="Georgia" w:cs="Times New Roman"/>
        </w:rPr>
        <w:t>,</w:t>
      </w:r>
      <w:r w:rsidR="00D24EA7" w:rsidRPr="0049594B">
        <w:rPr>
          <w:rFonts w:ascii="Georgia" w:hAnsi="Georgia" w:cs="Times New Roman"/>
        </w:rPr>
        <w:t xml:space="preserve"> African Centre of Excellence for Inequality Research (ACEIR), University of Nairobi, Kenya, Agence Française de Développement (AFD), European Union</w:t>
      </w:r>
      <w:r w:rsidR="00E74EEC" w:rsidRPr="0049594B">
        <w:rPr>
          <w:rFonts w:ascii="Georgia" w:hAnsi="Georgia" w:cs="Times New Roman"/>
        </w:rPr>
        <w:t>.</w:t>
      </w:r>
      <w:r w:rsidR="00335059" w:rsidRPr="0049594B">
        <w:rPr>
          <w:rFonts w:ascii="Georgia" w:hAnsi="Georgia" w:cs="Times New Roman"/>
        </w:rPr>
        <w:t xml:space="preserve"> </w:t>
      </w:r>
    </w:p>
    <w:p w14:paraId="2A80CB23" w14:textId="65FEC4D8" w:rsidR="00E159FC" w:rsidRPr="0049594B" w:rsidRDefault="0061068A" w:rsidP="0061068A">
      <w:pPr>
        <w:spacing w:after="120" w:line="240" w:lineRule="auto"/>
        <w:ind w:left="284" w:hanging="284"/>
        <w:jc w:val="both"/>
        <w:rPr>
          <w:rFonts w:ascii="Georgia" w:hAnsi="Georgia" w:cs="Times New Roman"/>
        </w:rPr>
      </w:pPr>
      <w:r w:rsidRPr="0049594B">
        <w:rPr>
          <w:rFonts w:ascii="Georgia" w:hAnsi="Georgia" w:cs="Times New Roman"/>
        </w:rPr>
        <w:t xml:space="preserve">KNBS (2023a). </w:t>
      </w:r>
      <w:r w:rsidR="00B30BFF" w:rsidRPr="0049594B">
        <w:rPr>
          <w:rFonts w:ascii="Georgia" w:hAnsi="Georgia" w:cs="Times New Roman"/>
          <w:i/>
          <w:iCs/>
        </w:rPr>
        <w:t>Economic Survey 2023</w:t>
      </w:r>
      <w:r w:rsidRPr="0049594B">
        <w:rPr>
          <w:rFonts w:ascii="Georgia" w:hAnsi="Georgia" w:cs="Times New Roman"/>
        </w:rPr>
        <w:t>. Kenya National Bureau of Statistics</w:t>
      </w:r>
      <w:r w:rsidR="00E159FC" w:rsidRPr="0049594B">
        <w:rPr>
          <w:rFonts w:ascii="Georgia" w:hAnsi="Georgia" w:cs="Times New Roman"/>
        </w:rPr>
        <w:t xml:space="preserve"> (</w:t>
      </w:r>
      <w:hyperlink r:id="rId55" w:history="1">
        <w:r w:rsidR="00E159FC" w:rsidRPr="0049594B">
          <w:rPr>
            <w:rStyle w:val="Hyperlink"/>
            <w:rFonts w:ascii="Georgia" w:hAnsi="Georgia" w:cs="Times New Roman"/>
          </w:rPr>
          <w:t>https://www.knbs.or.ke/download/economic-survey-2023/</w:t>
        </w:r>
      </w:hyperlink>
      <w:r w:rsidR="00E159FC" w:rsidRPr="0049594B">
        <w:rPr>
          <w:rFonts w:ascii="Georgia" w:hAnsi="Georgia" w:cs="Times New Roman"/>
        </w:rPr>
        <w:t>).</w:t>
      </w:r>
    </w:p>
    <w:p w14:paraId="5F15B5D9" w14:textId="7DFACD8D" w:rsidR="000D22BD" w:rsidRPr="0049594B" w:rsidRDefault="000D22BD" w:rsidP="00ED3A6C">
      <w:pPr>
        <w:spacing w:after="120" w:line="240" w:lineRule="auto"/>
        <w:ind w:left="284" w:hanging="284"/>
        <w:jc w:val="both"/>
        <w:rPr>
          <w:rFonts w:ascii="Georgia" w:hAnsi="Georgia" w:cs="Times New Roman"/>
        </w:rPr>
      </w:pPr>
      <w:r w:rsidRPr="0049594B">
        <w:rPr>
          <w:rFonts w:ascii="Georgia" w:hAnsi="Georgia" w:cs="Times New Roman"/>
        </w:rPr>
        <w:t>KNBS (2023</w:t>
      </w:r>
      <w:r w:rsidR="0061068A" w:rsidRPr="0049594B">
        <w:rPr>
          <w:rFonts w:ascii="Georgia" w:hAnsi="Georgia" w:cs="Times New Roman"/>
        </w:rPr>
        <w:t>b</w:t>
      </w:r>
      <w:r w:rsidRPr="0049594B">
        <w:rPr>
          <w:rFonts w:ascii="Georgia" w:hAnsi="Georgia" w:cs="Times New Roman"/>
        </w:rPr>
        <w:t xml:space="preserve">). </w:t>
      </w:r>
      <w:r w:rsidRPr="0049594B">
        <w:rPr>
          <w:rFonts w:ascii="Georgia" w:hAnsi="Georgia" w:cs="Times New Roman"/>
          <w:i/>
          <w:iCs/>
        </w:rPr>
        <w:t>T</w:t>
      </w:r>
      <w:r w:rsidR="00A3285C" w:rsidRPr="0049594B">
        <w:rPr>
          <w:rFonts w:ascii="Georgia" w:hAnsi="Georgia" w:cs="Times New Roman"/>
          <w:i/>
          <w:iCs/>
        </w:rPr>
        <w:t xml:space="preserve">he </w:t>
      </w:r>
      <w:r w:rsidRPr="0049594B">
        <w:rPr>
          <w:rFonts w:ascii="Georgia" w:hAnsi="Georgia" w:cs="Times New Roman"/>
          <w:i/>
          <w:iCs/>
        </w:rPr>
        <w:t>Kenya</w:t>
      </w:r>
      <w:r w:rsidR="00A3285C" w:rsidRPr="0049594B">
        <w:rPr>
          <w:rFonts w:ascii="Georgia" w:hAnsi="Georgia" w:cs="Times New Roman"/>
          <w:i/>
          <w:iCs/>
        </w:rPr>
        <w:t xml:space="preserve"> Poverty Report</w:t>
      </w:r>
      <w:r w:rsidR="00977FD8" w:rsidRPr="0049594B">
        <w:rPr>
          <w:rFonts w:ascii="Georgia" w:hAnsi="Georgia" w:cs="Times New Roman"/>
          <w:i/>
          <w:iCs/>
        </w:rPr>
        <w:t>. Based on the 2021 Kenya Continuous Household Survey</w:t>
      </w:r>
      <w:r w:rsidRPr="0049594B">
        <w:rPr>
          <w:rFonts w:ascii="Georgia" w:hAnsi="Georgia" w:cs="Times New Roman"/>
        </w:rPr>
        <w:t xml:space="preserve">. Kenya National Bureau </w:t>
      </w:r>
      <w:r w:rsidR="0061068A" w:rsidRPr="0049594B">
        <w:rPr>
          <w:rFonts w:ascii="Georgia" w:hAnsi="Georgia" w:cs="Times New Roman"/>
        </w:rPr>
        <w:t>o</w:t>
      </w:r>
      <w:r w:rsidRPr="0049594B">
        <w:rPr>
          <w:rFonts w:ascii="Georgia" w:hAnsi="Georgia" w:cs="Times New Roman"/>
        </w:rPr>
        <w:t>f Statistics</w:t>
      </w:r>
      <w:r w:rsidR="00977FD8" w:rsidRPr="0049594B">
        <w:rPr>
          <w:rFonts w:ascii="Georgia" w:hAnsi="Georgia" w:cs="Times New Roman"/>
        </w:rPr>
        <w:t>.</w:t>
      </w:r>
    </w:p>
    <w:p w14:paraId="245AAB47" w14:textId="417E59AE" w:rsidR="00946EE9" w:rsidRPr="0049594B" w:rsidRDefault="00946EE9" w:rsidP="00946EE9">
      <w:pPr>
        <w:spacing w:after="120" w:line="240" w:lineRule="auto"/>
        <w:ind w:left="284" w:hanging="284"/>
        <w:jc w:val="both"/>
        <w:rPr>
          <w:rFonts w:ascii="Georgia" w:hAnsi="Georgia" w:cs="Times New Roman"/>
        </w:rPr>
      </w:pPr>
      <w:r w:rsidRPr="0049594B">
        <w:rPr>
          <w:rFonts w:ascii="Georgia" w:hAnsi="Georgia" w:cs="Times New Roman"/>
        </w:rPr>
        <w:t xml:space="preserve">KNBS (2023c). </w:t>
      </w:r>
      <w:r w:rsidRPr="0049594B">
        <w:rPr>
          <w:rFonts w:ascii="Georgia" w:hAnsi="Georgia" w:cs="Times New Roman"/>
          <w:i/>
          <w:iCs/>
        </w:rPr>
        <w:t xml:space="preserve">Demographic and Health Survey 2022. </w:t>
      </w:r>
      <w:r w:rsidR="00E62DBC" w:rsidRPr="0049594B">
        <w:rPr>
          <w:rFonts w:ascii="Georgia" w:hAnsi="Georgia" w:cs="Times New Roman"/>
          <w:i/>
          <w:iCs/>
        </w:rPr>
        <w:t>Main Report – Volume 1.</w:t>
      </w:r>
      <w:r w:rsidRPr="0049594B">
        <w:rPr>
          <w:rFonts w:ascii="Georgia" w:hAnsi="Georgia" w:cs="Times New Roman"/>
        </w:rPr>
        <w:t xml:space="preserve"> Kenya National Bureau of Statistics.</w:t>
      </w:r>
    </w:p>
    <w:p w14:paraId="2D777A26" w14:textId="79D27598" w:rsidR="0071691B" w:rsidRPr="0049594B" w:rsidRDefault="0071691B" w:rsidP="0071691B">
      <w:pPr>
        <w:spacing w:after="120" w:line="240" w:lineRule="auto"/>
        <w:ind w:left="284" w:hanging="284"/>
        <w:jc w:val="both"/>
        <w:rPr>
          <w:rFonts w:ascii="Georgia" w:hAnsi="Georgia" w:cs="Times New Roman"/>
        </w:rPr>
      </w:pPr>
      <w:r w:rsidRPr="0049594B">
        <w:rPr>
          <w:rFonts w:ascii="Georgia" w:hAnsi="Georgia" w:cs="Times New Roman"/>
        </w:rPr>
        <w:t>KNBS-SID (2013). Exploring Kenya’s Inequality: Pulling Apart or Po</w:t>
      </w:r>
      <w:r w:rsidR="00C073A7" w:rsidRPr="0049594B">
        <w:rPr>
          <w:rFonts w:ascii="Georgia" w:hAnsi="Georgia" w:cs="Times New Roman"/>
        </w:rPr>
        <w:t>o</w:t>
      </w:r>
      <w:r w:rsidRPr="0049594B">
        <w:rPr>
          <w:rFonts w:ascii="Georgia" w:hAnsi="Georgia" w:cs="Times New Roman"/>
        </w:rPr>
        <w:t>ling Together. County and National Reports. Kenya National Bureau of Statistics and Society for International Development</w:t>
      </w:r>
      <w:r w:rsidR="00045DD3" w:rsidRPr="0049594B">
        <w:rPr>
          <w:rFonts w:ascii="Georgia" w:hAnsi="Georgia" w:cs="Times New Roman"/>
        </w:rPr>
        <w:t xml:space="preserve"> (</w:t>
      </w:r>
      <w:hyperlink r:id="rId56" w:history="1">
        <w:r w:rsidR="00311710" w:rsidRPr="0049594B">
          <w:rPr>
            <w:rStyle w:val="Hyperlink"/>
            <w:rFonts w:ascii="Georgia" w:hAnsi="Georgia" w:cs="Times New Roman"/>
          </w:rPr>
          <w:t>https://www.knbs.or.ke/exploring-kenya-s-inequality-pulling-apart-or-pooling-together/</w:t>
        </w:r>
      </w:hyperlink>
      <w:r w:rsidR="00045DD3" w:rsidRPr="0049594B">
        <w:rPr>
          <w:rFonts w:ascii="Georgia" w:hAnsi="Georgia" w:cs="Times New Roman"/>
        </w:rPr>
        <w:t>)</w:t>
      </w:r>
      <w:r w:rsidRPr="0049594B">
        <w:rPr>
          <w:rFonts w:ascii="Georgia" w:hAnsi="Georgia" w:cs="Times New Roman"/>
        </w:rPr>
        <w:t>.</w:t>
      </w:r>
    </w:p>
    <w:p w14:paraId="672B6BAA" w14:textId="243F869E" w:rsidR="00311710" w:rsidRPr="0049594B" w:rsidRDefault="00311710" w:rsidP="00311710">
      <w:pPr>
        <w:spacing w:after="120" w:line="240" w:lineRule="auto"/>
        <w:ind w:left="284" w:hanging="284"/>
        <w:jc w:val="both"/>
        <w:rPr>
          <w:rFonts w:ascii="Georgia" w:hAnsi="Georgia" w:cs="Times New Roman"/>
        </w:rPr>
      </w:pPr>
      <w:r w:rsidRPr="0049594B">
        <w:rPr>
          <w:rFonts w:ascii="Georgia" w:hAnsi="Georgia" w:cs="Times New Roman"/>
        </w:rPr>
        <w:t xml:space="preserve">Korir, J., E. Mely &amp; B. Ndegwa (2021). Effect of Climate Change on Acquisition of Quality Education: A Case Study of Maasai Pastoralists in Narok County, Kenya. </w:t>
      </w:r>
      <w:r w:rsidRPr="0049594B">
        <w:rPr>
          <w:rFonts w:ascii="Georgia" w:hAnsi="Georgia" w:cs="Times New Roman"/>
          <w:i/>
          <w:iCs/>
        </w:rPr>
        <w:t>Advances in Social Sciences Research</w:t>
      </w:r>
      <w:r w:rsidRPr="0049594B">
        <w:rPr>
          <w:rFonts w:ascii="Georgia" w:hAnsi="Georgia" w:cs="Times New Roman"/>
        </w:rPr>
        <w:t xml:space="preserve"> 8(12): 81-92. </w:t>
      </w:r>
      <w:hyperlink r:id="rId57" w:history="1">
        <w:r w:rsidRPr="0049594B">
          <w:rPr>
            <w:rStyle w:val="Hyperlink"/>
            <w:rFonts w:ascii="Georgia" w:hAnsi="Georgia" w:cs="Times New Roman"/>
          </w:rPr>
          <w:t>https://doi.org/10.14738/assrj.812.11314</w:t>
        </w:r>
      </w:hyperlink>
      <w:r w:rsidRPr="0049594B">
        <w:rPr>
          <w:rFonts w:ascii="Georgia" w:hAnsi="Georgia" w:cs="Times New Roman"/>
        </w:rPr>
        <w:t>.</w:t>
      </w:r>
    </w:p>
    <w:p w14:paraId="3A025A8B" w14:textId="36C652C4" w:rsidR="00A17ADD" w:rsidRPr="0049594B" w:rsidRDefault="001A737C" w:rsidP="00ED3A6C">
      <w:pPr>
        <w:spacing w:after="120" w:line="240" w:lineRule="auto"/>
        <w:ind w:left="284" w:hanging="284"/>
        <w:jc w:val="both"/>
        <w:rPr>
          <w:rFonts w:ascii="Georgia" w:hAnsi="Georgia" w:cs="Times New Roman"/>
        </w:rPr>
      </w:pPr>
      <w:r w:rsidRPr="0049594B">
        <w:rPr>
          <w:rFonts w:ascii="Georgia" w:hAnsi="Georgia" w:cs="Times New Roman"/>
        </w:rPr>
        <w:t xml:space="preserve">Manda, D.K., </w:t>
      </w:r>
      <w:r w:rsidR="004626A9" w:rsidRPr="0049594B">
        <w:rPr>
          <w:rFonts w:ascii="Georgia" w:hAnsi="Georgia" w:cs="Times New Roman"/>
        </w:rPr>
        <w:t>Mutegi</w:t>
      </w:r>
      <w:r w:rsidR="00EB7F17" w:rsidRPr="0049594B">
        <w:rPr>
          <w:rFonts w:ascii="Georgia" w:hAnsi="Georgia" w:cs="Times New Roman"/>
        </w:rPr>
        <w:t>, R.</w:t>
      </w:r>
      <w:r w:rsidR="004626A9" w:rsidRPr="0049594B">
        <w:rPr>
          <w:rFonts w:ascii="Georgia" w:hAnsi="Georgia" w:cs="Times New Roman"/>
        </w:rPr>
        <w:t>, Kiputro</w:t>
      </w:r>
      <w:r w:rsidR="00EB7F17" w:rsidRPr="0049594B">
        <w:rPr>
          <w:rFonts w:ascii="Georgia" w:hAnsi="Georgia" w:cs="Times New Roman"/>
        </w:rPr>
        <w:t>, S.</w:t>
      </w:r>
      <w:r w:rsidR="004626A9" w:rsidRPr="0049594B">
        <w:rPr>
          <w:rFonts w:ascii="Georgia" w:hAnsi="Georgia" w:cs="Times New Roman"/>
        </w:rPr>
        <w:t xml:space="preserve">, </w:t>
      </w:r>
      <w:r w:rsidR="00033B15" w:rsidRPr="0049594B">
        <w:rPr>
          <w:rFonts w:ascii="Georgia" w:hAnsi="Georgia" w:cs="Times New Roman"/>
        </w:rPr>
        <w:t>Muriithi,</w:t>
      </w:r>
      <w:r w:rsidR="00EB7F17" w:rsidRPr="0049594B">
        <w:rPr>
          <w:rFonts w:ascii="Georgia" w:hAnsi="Georgia" w:cs="Times New Roman"/>
        </w:rPr>
        <w:t xml:space="preserve"> M.,</w:t>
      </w:r>
      <w:r w:rsidR="00033B15" w:rsidRPr="0049594B">
        <w:rPr>
          <w:rFonts w:ascii="Georgia" w:hAnsi="Georgia" w:cs="Times New Roman"/>
        </w:rPr>
        <w:t xml:space="preserve"> Samoei,</w:t>
      </w:r>
      <w:r w:rsidR="003328D7" w:rsidRPr="0049594B">
        <w:rPr>
          <w:rFonts w:ascii="Georgia" w:hAnsi="Georgia" w:cs="Times New Roman"/>
        </w:rPr>
        <w:t xml:space="preserve"> P.,</w:t>
      </w:r>
      <w:r w:rsidR="00033B15" w:rsidRPr="0049594B">
        <w:rPr>
          <w:rFonts w:ascii="Georgia" w:hAnsi="Georgia" w:cs="Times New Roman"/>
        </w:rPr>
        <w:t xml:space="preserve"> Oleche,</w:t>
      </w:r>
      <w:r w:rsidR="00EB4371" w:rsidRPr="0049594B">
        <w:rPr>
          <w:rFonts w:ascii="Georgia" w:hAnsi="Georgia" w:cs="Times New Roman"/>
        </w:rPr>
        <w:t xml:space="preserve"> M.,</w:t>
      </w:r>
      <w:r w:rsidR="00033B15" w:rsidRPr="0049594B">
        <w:rPr>
          <w:rFonts w:ascii="Georgia" w:hAnsi="Georgia" w:cs="Times New Roman"/>
        </w:rPr>
        <w:t xml:space="preserve"> Mwabu,</w:t>
      </w:r>
      <w:r w:rsidR="00EB4371" w:rsidRPr="0049594B">
        <w:rPr>
          <w:rFonts w:ascii="Georgia" w:hAnsi="Georgia" w:cs="Times New Roman"/>
        </w:rPr>
        <w:t xml:space="preserve"> G.,</w:t>
      </w:r>
      <w:r w:rsidR="00033B15" w:rsidRPr="0049594B">
        <w:rPr>
          <w:rFonts w:ascii="Georgia" w:hAnsi="Georgia" w:cs="Times New Roman"/>
        </w:rPr>
        <w:t xml:space="preserve"> </w:t>
      </w:r>
      <w:r w:rsidR="000E3ABA" w:rsidRPr="0049594B">
        <w:rPr>
          <w:rFonts w:ascii="Georgia" w:hAnsi="Georgia" w:cs="Times New Roman"/>
        </w:rPr>
        <w:t xml:space="preserve">&amp; </w:t>
      </w:r>
      <w:r w:rsidR="00EE3ED1" w:rsidRPr="0049594B">
        <w:rPr>
          <w:rFonts w:ascii="Georgia" w:hAnsi="Georgia" w:cs="Times New Roman"/>
        </w:rPr>
        <w:t>Younger</w:t>
      </w:r>
      <w:r w:rsidR="00EB4371" w:rsidRPr="0049594B">
        <w:rPr>
          <w:rFonts w:ascii="Georgia" w:hAnsi="Georgia" w:cs="Times New Roman"/>
        </w:rPr>
        <w:t>, S.D.</w:t>
      </w:r>
      <w:r w:rsidR="00EE3ED1" w:rsidRPr="0049594B">
        <w:rPr>
          <w:rFonts w:ascii="Georgia" w:hAnsi="Georgia" w:cs="Times New Roman"/>
        </w:rPr>
        <w:t xml:space="preserve"> (2020). </w:t>
      </w:r>
      <w:r w:rsidR="00EE3ED1" w:rsidRPr="0049594B">
        <w:rPr>
          <w:rFonts w:ascii="Georgia" w:hAnsi="Georgia" w:cs="Times New Roman"/>
          <w:i/>
          <w:iCs/>
        </w:rPr>
        <w:t>Fiscal incidence, inequality and poverty in Kenya: A CEQ assessment</w:t>
      </w:r>
      <w:r w:rsidR="00EE3ED1" w:rsidRPr="0049594B">
        <w:rPr>
          <w:rFonts w:ascii="Georgia" w:hAnsi="Georgia" w:cs="Times New Roman"/>
        </w:rPr>
        <w:t xml:space="preserve">. </w:t>
      </w:r>
      <w:hyperlink r:id="rId58" w:history="1">
        <w:r w:rsidR="007D6A28" w:rsidRPr="0049594B">
          <w:rPr>
            <w:rStyle w:val="Hyperlink"/>
            <w:rFonts w:ascii="Georgia" w:hAnsi="Georgia" w:cs="Times New Roman"/>
          </w:rPr>
          <w:t>AFD Research Papers</w:t>
        </w:r>
        <w:r w:rsidR="00ED3A6C" w:rsidRPr="0049594B">
          <w:rPr>
            <w:rStyle w:val="Hyperlink"/>
            <w:rFonts w:ascii="Georgia" w:hAnsi="Georgia" w:cs="Times New Roman"/>
          </w:rPr>
          <w:t xml:space="preserve"> No. 195</w:t>
        </w:r>
      </w:hyperlink>
      <w:r w:rsidR="00ED3A6C" w:rsidRPr="0049594B">
        <w:rPr>
          <w:rFonts w:ascii="Georgia" w:hAnsi="Georgia" w:cs="Times New Roman"/>
        </w:rPr>
        <w:t>.</w:t>
      </w:r>
    </w:p>
    <w:p w14:paraId="2B9326B5" w14:textId="593541FE" w:rsidR="008C5AE8" w:rsidRPr="0049594B" w:rsidRDefault="00E37D00" w:rsidP="008C5AE8">
      <w:pPr>
        <w:spacing w:after="120" w:line="240" w:lineRule="auto"/>
        <w:ind w:left="284" w:hanging="284"/>
        <w:jc w:val="both"/>
        <w:rPr>
          <w:rFonts w:ascii="Georgia" w:hAnsi="Georgia" w:cs="Times New Roman"/>
        </w:rPr>
      </w:pPr>
      <w:r w:rsidRPr="0049594B">
        <w:rPr>
          <w:rFonts w:ascii="Georgia" w:hAnsi="Georgia" w:cs="Times New Roman"/>
        </w:rPr>
        <w:t>Manda, D.K., Kiputro,</w:t>
      </w:r>
      <w:r w:rsidR="00EB4371" w:rsidRPr="0049594B">
        <w:rPr>
          <w:rFonts w:ascii="Georgia" w:hAnsi="Georgia" w:cs="Times New Roman"/>
        </w:rPr>
        <w:t xml:space="preserve"> S.,</w:t>
      </w:r>
      <w:r w:rsidRPr="0049594B">
        <w:rPr>
          <w:rFonts w:ascii="Georgia" w:hAnsi="Georgia" w:cs="Times New Roman"/>
        </w:rPr>
        <w:t xml:space="preserve"> Muriithi,</w:t>
      </w:r>
      <w:r w:rsidR="00EB4371" w:rsidRPr="0049594B">
        <w:rPr>
          <w:rFonts w:ascii="Georgia" w:hAnsi="Georgia" w:cs="Times New Roman"/>
        </w:rPr>
        <w:t xml:space="preserve"> M.,</w:t>
      </w:r>
      <w:r w:rsidRPr="0049594B">
        <w:rPr>
          <w:rFonts w:ascii="Georgia" w:hAnsi="Georgia" w:cs="Times New Roman"/>
        </w:rPr>
        <w:t xml:space="preserve"> Mutegi,</w:t>
      </w:r>
      <w:r w:rsidR="00EB4371" w:rsidRPr="0049594B">
        <w:rPr>
          <w:rFonts w:ascii="Georgia" w:hAnsi="Georgia" w:cs="Times New Roman"/>
        </w:rPr>
        <w:t xml:space="preserve"> R.,</w:t>
      </w:r>
      <w:r w:rsidRPr="0049594B">
        <w:rPr>
          <w:rFonts w:ascii="Georgia" w:hAnsi="Georgia" w:cs="Times New Roman"/>
        </w:rPr>
        <w:t xml:space="preserve"> Samoei,</w:t>
      </w:r>
      <w:r w:rsidR="00EB4371" w:rsidRPr="0049594B">
        <w:rPr>
          <w:rFonts w:ascii="Georgia" w:hAnsi="Georgia" w:cs="Times New Roman"/>
        </w:rPr>
        <w:t xml:space="preserve"> P.,</w:t>
      </w:r>
      <w:r w:rsidRPr="0049594B">
        <w:rPr>
          <w:rFonts w:ascii="Georgia" w:hAnsi="Georgia" w:cs="Times New Roman"/>
        </w:rPr>
        <w:t xml:space="preserve"> Mbuthia,</w:t>
      </w:r>
      <w:r w:rsidR="00EB4371" w:rsidRPr="0049594B">
        <w:rPr>
          <w:rFonts w:ascii="Georgia" w:hAnsi="Georgia" w:cs="Times New Roman"/>
        </w:rPr>
        <w:t xml:space="preserve"> A.,</w:t>
      </w:r>
      <w:r w:rsidRPr="0049594B">
        <w:rPr>
          <w:rFonts w:ascii="Georgia" w:hAnsi="Georgia" w:cs="Times New Roman"/>
        </w:rPr>
        <w:t xml:space="preserve"> Oleche,</w:t>
      </w:r>
      <w:r w:rsidR="00EB4371" w:rsidRPr="0049594B">
        <w:rPr>
          <w:rFonts w:ascii="Georgia" w:hAnsi="Georgia" w:cs="Times New Roman"/>
        </w:rPr>
        <w:t xml:space="preserve"> M.,</w:t>
      </w:r>
      <w:r w:rsidRPr="0049594B">
        <w:rPr>
          <w:rFonts w:ascii="Georgia" w:hAnsi="Georgia" w:cs="Times New Roman"/>
        </w:rPr>
        <w:t xml:space="preserve"> Wambugu,</w:t>
      </w:r>
      <w:r w:rsidR="00EB4371" w:rsidRPr="0049594B">
        <w:rPr>
          <w:rFonts w:ascii="Georgia" w:hAnsi="Georgia" w:cs="Times New Roman"/>
        </w:rPr>
        <w:t xml:space="preserve"> A.,</w:t>
      </w:r>
      <w:r w:rsidR="00A32532" w:rsidRPr="0049594B">
        <w:rPr>
          <w:rFonts w:ascii="Georgia" w:hAnsi="Georgia" w:cs="Times New Roman"/>
        </w:rPr>
        <w:t xml:space="preserve"> &amp;</w:t>
      </w:r>
      <w:r w:rsidRPr="0049594B">
        <w:rPr>
          <w:rFonts w:ascii="Georgia" w:hAnsi="Georgia" w:cs="Times New Roman"/>
        </w:rPr>
        <w:t xml:space="preserve"> Mwabu</w:t>
      </w:r>
      <w:r w:rsidR="00EB4371" w:rsidRPr="0049594B">
        <w:rPr>
          <w:rFonts w:ascii="Georgia" w:hAnsi="Georgia" w:cs="Times New Roman"/>
        </w:rPr>
        <w:t>, G.</w:t>
      </w:r>
      <w:r w:rsidRPr="0049594B">
        <w:rPr>
          <w:rFonts w:ascii="Georgia" w:hAnsi="Georgia" w:cs="Times New Roman"/>
        </w:rPr>
        <w:t xml:space="preserve"> (202</w:t>
      </w:r>
      <w:r w:rsidR="00A32532" w:rsidRPr="0049594B">
        <w:rPr>
          <w:rFonts w:ascii="Georgia" w:hAnsi="Georgia" w:cs="Times New Roman"/>
        </w:rPr>
        <w:t>1</w:t>
      </w:r>
      <w:r w:rsidRPr="0049594B">
        <w:rPr>
          <w:rFonts w:ascii="Georgia" w:hAnsi="Georgia" w:cs="Times New Roman"/>
        </w:rPr>
        <w:t xml:space="preserve">). </w:t>
      </w:r>
      <w:r w:rsidR="00A32532" w:rsidRPr="0049594B">
        <w:rPr>
          <w:rFonts w:ascii="Georgia" w:hAnsi="Georgia" w:cs="Times New Roman"/>
          <w:i/>
          <w:iCs/>
        </w:rPr>
        <w:t>Inequality</w:t>
      </w:r>
      <w:r w:rsidR="00A57A9A" w:rsidRPr="0049594B">
        <w:rPr>
          <w:rFonts w:ascii="Georgia" w:hAnsi="Georgia" w:cs="Times New Roman"/>
          <w:i/>
          <w:iCs/>
        </w:rPr>
        <w:t xml:space="preserve"> </w:t>
      </w:r>
      <w:r w:rsidRPr="0049594B">
        <w:rPr>
          <w:rFonts w:ascii="Georgia" w:hAnsi="Georgia" w:cs="Times New Roman"/>
          <w:i/>
          <w:iCs/>
        </w:rPr>
        <w:t xml:space="preserve">in Kenya: </w:t>
      </w:r>
      <w:r w:rsidR="00A32532" w:rsidRPr="0049594B">
        <w:rPr>
          <w:rFonts w:ascii="Georgia" w:hAnsi="Georgia" w:cs="Times New Roman"/>
          <w:i/>
          <w:iCs/>
        </w:rPr>
        <w:t>Trends and Policy Responses</w:t>
      </w:r>
      <w:r w:rsidRPr="0049594B">
        <w:rPr>
          <w:rFonts w:ascii="Georgia" w:hAnsi="Georgia" w:cs="Times New Roman"/>
        </w:rPr>
        <w:t xml:space="preserve">. </w:t>
      </w:r>
      <w:hyperlink r:id="rId59" w:history="1">
        <w:r w:rsidRPr="0049594B">
          <w:rPr>
            <w:rStyle w:val="Hyperlink"/>
            <w:rFonts w:ascii="Georgia" w:hAnsi="Georgia" w:cs="Times New Roman"/>
          </w:rPr>
          <w:t xml:space="preserve">AFD </w:t>
        </w:r>
        <w:r w:rsidR="00A32532" w:rsidRPr="0049594B">
          <w:rPr>
            <w:rStyle w:val="Hyperlink"/>
            <w:rFonts w:ascii="Georgia" w:hAnsi="Georgia" w:cs="Times New Roman"/>
          </w:rPr>
          <w:t>Policy Dialogues 18</w:t>
        </w:r>
      </w:hyperlink>
      <w:r w:rsidRPr="0049594B">
        <w:rPr>
          <w:rFonts w:ascii="Georgia" w:hAnsi="Georgia" w:cs="Times New Roman"/>
        </w:rPr>
        <w:t>.</w:t>
      </w:r>
    </w:p>
    <w:p w14:paraId="4C9C04E6" w14:textId="68BF96AF" w:rsidR="001604FC" w:rsidRPr="0049594B" w:rsidRDefault="001604FC" w:rsidP="001604FC">
      <w:pPr>
        <w:spacing w:after="120" w:line="240" w:lineRule="auto"/>
        <w:ind w:left="284" w:hanging="284"/>
        <w:jc w:val="both"/>
        <w:rPr>
          <w:rFonts w:ascii="Georgia" w:hAnsi="Georgia" w:cs="Times New Roman"/>
        </w:rPr>
      </w:pPr>
      <w:r w:rsidRPr="0049594B">
        <w:rPr>
          <w:rFonts w:ascii="Georgia" w:hAnsi="Georgia" w:cs="Times New Roman"/>
        </w:rPr>
        <w:t xml:space="preserve">Makate, M., &amp; Makate, C. (2022). COVID-19, Livelihoods and Inequality: Poor Female-Headed Families Fare Worse in Kenya and Ethiopia. Nairobi: African Economic Research Consortium </w:t>
      </w:r>
      <w:r w:rsidR="00201911" w:rsidRPr="0049594B">
        <w:rPr>
          <w:rFonts w:ascii="Georgia" w:hAnsi="Georgia" w:cs="Times New Roman"/>
        </w:rPr>
        <w:t>(</w:t>
      </w:r>
      <w:hyperlink r:id="rId60" w:history="1">
        <w:r w:rsidR="00201911" w:rsidRPr="0049594B">
          <w:rPr>
            <w:rStyle w:val="Hyperlink"/>
            <w:rFonts w:ascii="Georgia" w:hAnsi="Georgia" w:cs="Times New Roman"/>
          </w:rPr>
          <w:t>http://publication.aercafricalibrary.org/handle/123456789/3381</w:t>
        </w:r>
      </w:hyperlink>
      <w:r w:rsidR="00201911" w:rsidRPr="0049594B">
        <w:rPr>
          <w:rFonts w:ascii="Georgia" w:hAnsi="Georgia" w:cs="Times New Roman"/>
        </w:rPr>
        <w:t>)</w:t>
      </w:r>
      <w:r w:rsidRPr="0049594B">
        <w:rPr>
          <w:rFonts w:ascii="Georgia" w:hAnsi="Georgia" w:cs="Times New Roman"/>
        </w:rPr>
        <w:t>.</w:t>
      </w:r>
    </w:p>
    <w:p w14:paraId="39CC7487" w14:textId="6AEFDFB1" w:rsidR="008C5AE8" w:rsidRPr="0049594B" w:rsidRDefault="00133FF1" w:rsidP="008C5AE8">
      <w:pPr>
        <w:spacing w:after="120" w:line="240" w:lineRule="auto"/>
        <w:ind w:left="284" w:hanging="284"/>
        <w:jc w:val="both"/>
        <w:rPr>
          <w:rFonts w:ascii="Georgia" w:hAnsi="Georgia" w:cs="Times New Roman"/>
        </w:rPr>
      </w:pPr>
      <w:r w:rsidRPr="0049594B">
        <w:rPr>
          <w:rFonts w:ascii="Georgia" w:hAnsi="Georgia" w:cs="Times New Roman"/>
        </w:rPr>
        <w:t xml:space="preserve">MoE (2012). </w:t>
      </w:r>
      <w:r w:rsidRPr="0049594B">
        <w:rPr>
          <w:rFonts w:ascii="Georgia" w:hAnsi="Georgia" w:cs="Times New Roman"/>
          <w:i/>
          <w:iCs/>
        </w:rPr>
        <w:t>Policy Framework for Education</w:t>
      </w:r>
      <w:r w:rsidRPr="0049594B">
        <w:rPr>
          <w:rFonts w:ascii="Georgia" w:hAnsi="Georgia" w:cs="Times New Roman"/>
        </w:rPr>
        <w:t xml:space="preserve">. </w:t>
      </w:r>
      <w:r w:rsidR="002E26F4" w:rsidRPr="0049594B">
        <w:rPr>
          <w:rFonts w:ascii="Georgia" w:hAnsi="Georgia" w:cs="Times New Roman"/>
        </w:rPr>
        <w:t>Nairobi: Ministry of Education</w:t>
      </w:r>
      <w:r w:rsidR="000263EF" w:rsidRPr="0049594B">
        <w:rPr>
          <w:rFonts w:ascii="Georgia" w:hAnsi="Georgia" w:cs="Times New Roman"/>
        </w:rPr>
        <w:t>.</w:t>
      </w:r>
    </w:p>
    <w:p w14:paraId="09BCFCB8" w14:textId="77777777" w:rsidR="00875C83" w:rsidRPr="0049594B" w:rsidRDefault="00133FF1" w:rsidP="008C5AE8">
      <w:pPr>
        <w:spacing w:after="120" w:line="240" w:lineRule="auto"/>
        <w:ind w:left="284" w:hanging="284"/>
        <w:jc w:val="both"/>
        <w:rPr>
          <w:rFonts w:ascii="Georgia" w:hAnsi="Georgia" w:cs="Times New Roman"/>
        </w:rPr>
      </w:pPr>
      <w:r w:rsidRPr="0049594B">
        <w:rPr>
          <w:rFonts w:ascii="Georgia" w:hAnsi="Georgia" w:cs="Times New Roman"/>
        </w:rPr>
        <w:t>MoE</w:t>
      </w:r>
      <w:r w:rsidR="000263EF" w:rsidRPr="0049594B">
        <w:rPr>
          <w:rFonts w:ascii="Georgia" w:hAnsi="Georgia" w:cs="Times New Roman"/>
        </w:rPr>
        <w:t xml:space="preserve"> (</w:t>
      </w:r>
      <w:r w:rsidRPr="0049594B">
        <w:rPr>
          <w:rFonts w:ascii="Georgia" w:hAnsi="Georgia" w:cs="Times New Roman"/>
        </w:rPr>
        <w:t>201</w:t>
      </w:r>
      <w:r w:rsidR="008C5AE8" w:rsidRPr="0049594B">
        <w:rPr>
          <w:rFonts w:ascii="Georgia" w:hAnsi="Georgia" w:cs="Times New Roman"/>
        </w:rPr>
        <w:t>7</w:t>
      </w:r>
      <w:r w:rsidRPr="0049594B">
        <w:rPr>
          <w:rFonts w:ascii="Georgia" w:hAnsi="Georgia" w:cs="Times New Roman"/>
        </w:rPr>
        <w:t>)</w:t>
      </w:r>
      <w:r w:rsidR="008C5AE8" w:rsidRPr="0049594B">
        <w:rPr>
          <w:rFonts w:ascii="Georgia" w:hAnsi="Georgia" w:cs="Times New Roman"/>
        </w:rPr>
        <w:t xml:space="preserve">. </w:t>
      </w:r>
      <w:r w:rsidRPr="0049594B">
        <w:rPr>
          <w:rFonts w:ascii="Georgia" w:hAnsi="Georgia" w:cs="Times New Roman"/>
          <w:i/>
          <w:iCs/>
        </w:rPr>
        <w:t>Education for Sustainable Development Policy for the Education Sector</w:t>
      </w:r>
      <w:r w:rsidR="008C5AE8" w:rsidRPr="0049594B">
        <w:rPr>
          <w:rFonts w:ascii="Georgia" w:hAnsi="Georgia" w:cs="Times New Roman"/>
        </w:rPr>
        <w:t>. Nairobi: Ministry of Education.</w:t>
      </w:r>
      <w:r w:rsidRPr="0049594B">
        <w:rPr>
          <w:rFonts w:ascii="Georgia" w:hAnsi="Georgia" w:cs="Times New Roman"/>
        </w:rPr>
        <w:t xml:space="preserve"> </w:t>
      </w:r>
    </w:p>
    <w:p w14:paraId="37323982" w14:textId="77777777" w:rsidR="009D6E87" w:rsidRPr="0049594B" w:rsidRDefault="009D6E87" w:rsidP="009D6E87">
      <w:pPr>
        <w:spacing w:after="120" w:line="240" w:lineRule="auto"/>
        <w:ind w:left="284" w:hanging="284"/>
        <w:jc w:val="both"/>
        <w:rPr>
          <w:rFonts w:ascii="Georgia" w:hAnsi="Georgia" w:cs="Times New Roman"/>
        </w:rPr>
      </w:pPr>
      <w:r w:rsidRPr="0049594B">
        <w:rPr>
          <w:rFonts w:ascii="Georgia" w:hAnsi="Georgia" w:cs="Times New Roman"/>
        </w:rPr>
        <w:t xml:space="preserve">MoH (2020). </w:t>
      </w:r>
      <w:r w:rsidRPr="0049594B">
        <w:rPr>
          <w:rFonts w:ascii="Georgia" w:hAnsi="Georgia" w:cs="Times New Roman"/>
          <w:i/>
          <w:iCs/>
        </w:rPr>
        <w:t>Kenya Health Financing Strategy 2020-2030</w:t>
      </w:r>
      <w:r w:rsidRPr="0049594B">
        <w:rPr>
          <w:rFonts w:ascii="Georgia" w:hAnsi="Georgia" w:cs="Times New Roman"/>
        </w:rPr>
        <w:t>. Republic of Kenya, Ministry of Health.</w:t>
      </w:r>
    </w:p>
    <w:p w14:paraId="717F20B1" w14:textId="407B1968" w:rsidR="005B748E" w:rsidRPr="0049594B" w:rsidRDefault="00544050" w:rsidP="00ED3A6C">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M</w:t>
      </w:r>
      <w:r w:rsidR="00077D20" w:rsidRPr="0049594B">
        <w:rPr>
          <w:rFonts w:ascii="Georgia" w:hAnsi="Georgia" w:cs="Times New Roman"/>
          <w:color w:val="000000"/>
          <w:shd w:val="clear" w:color="auto" w:fill="FFFFFF"/>
        </w:rPr>
        <w:t>o</w:t>
      </w:r>
      <w:r w:rsidRPr="0049594B">
        <w:rPr>
          <w:rFonts w:ascii="Georgia" w:hAnsi="Georgia" w:cs="Times New Roman"/>
          <w:color w:val="000000"/>
          <w:shd w:val="clear" w:color="auto" w:fill="FFFFFF"/>
        </w:rPr>
        <w:t>L&amp;SP</w:t>
      </w:r>
      <w:r w:rsidR="005B748E" w:rsidRPr="0049594B">
        <w:rPr>
          <w:rFonts w:ascii="Georgia" w:hAnsi="Georgia" w:cs="Times New Roman"/>
          <w:color w:val="000000"/>
          <w:shd w:val="clear" w:color="auto" w:fill="FFFFFF"/>
        </w:rPr>
        <w:t xml:space="preserve"> (</w:t>
      </w:r>
      <w:r w:rsidR="004F1F89" w:rsidRPr="0049594B">
        <w:rPr>
          <w:rFonts w:ascii="Georgia" w:hAnsi="Georgia" w:cs="Times New Roman"/>
          <w:color w:val="000000"/>
          <w:shd w:val="clear" w:color="auto" w:fill="FFFFFF"/>
        </w:rPr>
        <w:t>201</w:t>
      </w:r>
      <w:r w:rsidR="00E13D98" w:rsidRPr="0049594B">
        <w:rPr>
          <w:rFonts w:ascii="Georgia" w:hAnsi="Georgia" w:cs="Times New Roman"/>
          <w:color w:val="000000"/>
          <w:shd w:val="clear" w:color="auto" w:fill="FFFFFF"/>
        </w:rPr>
        <w:t>7</w:t>
      </w:r>
      <w:r w:rsidR="004F1F89" w:rsidRPr="0049594B">
        <w:rPr>
          <w:rFonts w:ascii="Georgia" w:hAnsi="Georgia" w:cs="Times New Roman"/>
          <w:color w:val="000000"/>
          <w:shd w:val="clear" w:color="auto" w:fill="FFFFFF"/>
        </w:rPr>
        <w:t xml:space="preserve">). </w:t>
      </w:r>
      <w:r w:rsidR="004F1F89" w:rsidRPr="0049594B">
        <w:rPr>
          <w:rFonts w:ascii="Georgia" w:hAnsi="Georgia" w:cs="Times New Roman"/>
          <w:i/>
          <w:iCs/>
          <w:color w:val="000000"/>
          <w:shd w:val="clear" w:color="auto" w:fill="FFFFFF"/>
        </w:rPr>
        <w:t>Kenya Social Protection Sector Review Report, 2017</w:t>
      </w:r>
      <w:r w:rsidR="004F1F89" w:rsidRPr="0049594B">
        <w:rPr>
          <w:rFonts w:ascii="Georgia" w:hAnsi="Georgia" w:cs="Times New Roman"/>
          <w:color w:val="000000"/>
          <w:shd w:val="clear" w:color="auto" w:fill="FFFFFF"/>
        </w:rPr>
        <w:t>. Nairobi: Ministry of Labour and Social Protection.</w:t>
      </w:r>
    </w:p>
    <w:p w14:paraId="538216CA" w14:textId="74604B27" w:rsidR="00077D20" w:rsidRPr="0049594B" w:rsidRDefault="00077D20" w:rsidP="00077D20">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 xml:space="preserve">MoL&amp;SP (2020). </w:t>
      </w:r>
      <w:r w:rsidRPr="0049594B">
        <w:rPr>
          <w:rFonts w:ascii="Georgia" w:hAnsi="Georgia" w:cs="Times New Roman"/>
          <w:i/>
          <w:iCs/>
          <w:color w:val="000000"/>
          <w:shd w:val="clear" w:color="auto" w:fill="FFFFFF"/>
        </w:rPr>
        <w:t>Kenya Social Protection Sector Annual Report, 2019/19</w:t>
      </w:r>
      <w:r w:rsidRPr="0049594B">
        <w:rPr>
          <w:rFonts w:ascii="Georgia" w:hAnsi="Georgia" w:cs="Times New Roman"/>
          <w:color w:val="000000"/>
          <w:shd w:val="clear" w:color="auto" w:fill="FFFFFF"/>
        </w:rPr>
        <w:t>. Nairobi: Ministry of Labour and Social Protection.</w:t>
      </w:r>
    </w:p>
    <w:p w14:paraId="6DA8B07E" w14:textId="3B65A4AF" w:rsidR="00DC06C9" w:rsidRPr="0049594B" w:rsidRDefault="00DC06C9" w:rsidP="00ED3A6C">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 xml:space="preserve">MoL (2021). </w:t>
      </w:r>
      <w:r w:rsidR="0013648A" w:rsidRPr="0049594B">
        <w:rPr>
          <w:rFonts w:ascii="Georgia" w:hAnsi="Georgia" w:cs="Times New Roman"/>
          <w:i/>
          <w:iCs/>
          <w:color w:val="000000"/>
          <w:shd w:val="clear" w:color="auto" w:fill="FFFFFF"/>
        </w:rPr>
        <w:t>3</w:t>
      </w:r>
      <w:r w:rsidR="0013648A" w:rsidRPr="0049594B">
        <w:rPr>
          <w:rFonts w:ascii="Georgia" w:hAnsi="Georgia" w:cs="Times New Roman"/>
          <w:i/>
          <w:iCs/>
          <w:color w:val="000000"/>
          <w:shd w:val="clear" w:color="auto" w:fill="FFFFFF"/>
          <w:vertAlign w:val="superscript"/>
        </w:rPr>
        <w:t>rd</w:t>
      </w:r>
      <w:r w:rsidR="0013648A" w:rsidRPr="0049594B">
        <w:rPr>
          <w:rFonts w:ascii="Georgia" w:hAnsi="Georgia" w:cs="Times New Roman"/>
          <w:i/>
          <w:iCs/>
          <w:color w:val="000000"/>
          <w:shd w:val="clear" w:color="auto" w:fill="FFFFFF"/>
        </w:rPr>
        <w:t xml:space="preserve"> Generation Decent work country Programme 2021-2024</w:t>
      </w:r>
      <w:r w:rsidR="0013648A" w:rsidRPr="0049594B">
        <w:rPr>
          <w:rFonts w:ascii="Georgia" w:hAnsi="Georgia" w:cs="Times New Roman"/>
          <w:color w:val="000000"/>
          <w:shd w:val="clear" w:color="auto" w:fill="FFFFFF"/>
        </w:rPr>
        <w:t>.</w:t>
      </w:r>
      <w:r w:rsidR="00794A78" w:rsidRPr="0049594B">
        <w:rPr>
          <w:rFonts w:ascii="Georgia" w:hAnsi="Georgia" w:cs="Times New Roman"/>
          <w:color w:val="000000"/>
          <w:shd w:val="clear" w:color="auto" w:fill="FFFFFF"/>
        </w:rPr>
        <w:t xml:space="preserve"> </w:t>
      </w:r>
      <w:r w:rsidR="00F02B47" w:rsidRPr="0049594B">
        <w:rPr>
          <w:rFonts w:ascii="Georgia" w:hAnsi="Georgia" w:cs="Times New Roman"/>
          <w:color w:val="000000"/>
          <w:shd w:val="clear" w:color="auto" w:fill="FFFFFF"/>
        </w:rPr>
        <w:t xml:space="preserve">Nairobi: </w:t>
      </w:r>
      <w:r w:rsidR="00C95057" w:rsidRPr="0049594B">
        <w:rPr>
          <w:rFonts w:ascii="Georgia" w:hAnsi="Georgia" w:cs="Times New Roman"/>
          <w:color w:val="000000"/>
          <w:shd w:val="clear" w:color="auto" w:fill="FFFFFF"/>
        </w:rPr>
        <w:t xml:space="preserve">Ministry of Labour, </w:t>
      </w:r>
      <w:r w:rsidR="003536C3" w:rsidRPr="0049594B">
        <w:rPr>
          <w:rFonts w:ascii="Georgia" w:hAnsi="Georgia" w:cs="Times New Roman"/>
          <w:color w:val="000000"/>
          <w:shd w:val="clear" w:color="auto" w:fill="FFFFFF"/>
        </w:rPr>
        <w:t>Federation of Kenya Employers, Central Organization of Trade Unions</w:t>
      </w:r>
      <w:r w:rsidR="00AC0B69" w:rsidRPr="0049594B">
        <w:rPr>
          <w:rFonts w:ascii="Georgia" w:hAnsi="Georgia" w:cs="Times New Roman"/>
          <w:color w:val="000000"/>
          <w:shd w:val="clear" w:color="auto" w:fill="FFFFFF"/>
        </w:rPr>
        <w:t xml:space="preserve"> and International Labour Organization.</w:t>
      </w:r>
    </w:p>
    <w:p w14:paraId="4271B761" w14:textId="40798AA4" w:rsidR="008501E4" w:rsidRPr="0049594B" w:rsidRDefault="006316B3" w:rsidP="00ED3A6C">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 xml:space="preserve">Mwabu, G. (2023). Poverty Reduction through Growth, Redistribution and Social Inclusion in Times of COVID-19: Kenyan Evidence on the Underlying Mechanisms. </w:t>
      </w:r>
      <w:r w:rsidRPr="0049594B">
        <w:rPr>
          <w:rFonts w:ascii="Georgia" w:hAnsi="Georgia" w:cs="Times New Roman"/>
          <w:i/>
          <w:iCs/>
          <w:color w:val="000000"/>
          <w:shd w:val="clear" w:color="auto" w:fill="FFFFFF"/>
        </w:rPr>
        <w:t>Journal of African Economies</w:t>
      </w:r>
      <w:r w:rsidRPr="0049594B">
        <w:rPr>
          <w:rFonts w:ascii="Georgia" w:hAnsi="Georgia" w:cs="Times New Roman"/>
          <w:color w:val="000000"/>
          <w:shd w:val="clear" w:color="auto" w:fill="FFFFFF"/>
        </w:rPr>
        <w:t>, Volume 32, Issue Supplement_2, April 2023, Pages ii69–ii80 (https://doi.org/10.1093/jae/ejac042).</w:t>
      </w:r>
    </w:p>
    <w:p w14:paraId="51139FA5" w14:textId="62FA36C2" w:rsidR="00C476F7" w:rsidRPr="0049594B" w:rsidRDefault="00D46646" w:rsidP="00ED3A6C">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Nafula, N., Kyalo, D., Munga, B., &amp; Ngugi, R. (2020). Poverty and Distributional Effects of COVID-19 on Households in Kenya. Nairobi: Kenya Institute for Public Policy Research and Analysis (KIPPRA) and African Economic Research Consortium (AERC)</w:t>
      </w:r>
      <w:r w:rsidR="00C476F7" w:rsidRPr="0049594B">
        <w:rPr>
          <w:rFonts w:ascii="Georgia" w:hAnsi="Georgia" w:cs="Times New Roman"/>
          <w:color w:val="000000"/>
          <w:shd w:val="clear" w:color="auto" w:fill="FFFFFF"/>
        </w:rPr>
        <w:t xml:space="preserve"> (</w:t>
      </w:r>
      <w:hyperlink r:id="rId61" w:history="1">
        <w:r w:rsidR="004879EC" w:rsidRPr="0049594B">
          <w:rPr>
            <w:rStyle w:val="Hyperlink"/>
            <w:rFonts w:ascii="Georgia" w:hAnsi="Georgia" w:cs="Times New Roman"/>
            <w:shd w:val="clear" w:color="auto" w:fill="FFFFFF"/>
          </w:rPr>
          <w:t>https://repository.kippra.or.ke/handle/123456789/2400</w:t>
        </w:r>
      </w:hyperlink>
      <w:r w:rsidR="00C476F7" w:rsidRPr="0049594B">
        <w:rPr>
          <w:rFonts w:ascii="Georgia" w:hAnsi="Georgia" w:cs="Times New Roman"/>
          <w:color w:val="000000"/>
          <w:shd w:val="clear" w:color="auto" w:fill="FFFFFF"/>
        </w:rPr>
        <w:t>).</w:t>
      </w:r>
    </w:p>
    <w:p w14:paraId="01022E38" w14:textId="7103A52D" w:rsidR="00402DD8" w:rsidRPr="0049594B" w:rsidRDefault="001412D4" w:rsidP="001412D4">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 xml:space="preserve">NGEC (2014). </w:t>
      </w:r>
      <w:r w:rsidRPr="0049594B">
        <w:rPr>
          <w:rFonts w:ascii="Georgia" w:hAnsi="Georgia" w:cs="Times New Roman"/>
          <w:i/>
          <w:iCs/>
          <w:color w:val="000000"/>
          <w:shd w:val="clear" w:color="auto" w:fill="FFFFFF"/>
        </w:rPr>
        <w:t xml:space="preserve">Guidelines for </w:t>
      </w:r>
      <w:r w:rsidR="00CD6B56" w:rsidRPr="0049594B">
        <w:rPr>
          <w:rFonts w:ascii="Georgia" w:hAnsi="Georgia" w:cs="Times New Roman"/>
          <w:i/>
          <w:iCs/>
          <w:color w:val="000000"/>
          <w:shd w:val="clear" w:color="auto" w:fill="FFFFFF"/>
        </w:rPr>
        <w:t xml:space="preserve">Gender Responsive Budgeting (GRB). </w:t>
      </w:r>
      <w:r w:rsidRPr="0049594B">
        <w:rPr>
          <w:rFonts w:ascii="Georgia" w:hAnsi="Georgia" w:cs="Times New Roman"/>
          <w:color w:val="000000"/>
          <w:shd w:val="clear" w:color="auto" w:fill="FFFFFF"/>
        </w:rPr>
        <w:t>Nairobi: National Gender and Equality Commission</w:t>
      </w:r>
      <w:r w:rsidR="00402DD8" w:rsidRPr="0049594B">
        <w:rPr>
          <w:rFonts w:ascii="Georgia" w:hAnsi="Georgia" w:cs="Times New Roman"/>
          <w:color w:val="000000"/>
          <w:shd w:val="clear" w:color="auto" w:fill="FFFFFF"/>
        </w:rPr>
        <w:t xml:space="preserve"> (</w:t>
      </w:r>
      <w:hyperlink r:id="rId62" w:history="1">
        <w:r w:rsidR="00402DD8" w:rsidRPr="0049594B">
          <w:rPr>
            <w:rStyle w:val="Hyperlink"/>
            <w:rFonts w:ascii="Georgia" w:hAnsi="Georgia" w:cs="Times New Roman"/>
            <w:shd w:val="clear" w:color="auto" w:fill="FFFFFF"/>
          </w:rPr>
          <w:t>https://www.ngeckenya.org/Downloads/NGEC-GRB-Guidelines-for-National-Govt-in-Kenya.pdf</w:t>
        </w:r>
      </w:hyperlink>
      <w:r w:rsidR="00402DD8" w:rsidRPr="0049594B">
        <w:rPr>
          <w:rFonts w:ascii="Georgia" w:hAnsi="Georgia" w:cs="Times New Roman"/>
          <w:color w:val="000000"/>
          <w:shd w:val="clear" w:color="auto" w:fill="FFFFFF"/>
        </w:rPr>
        <w:t>).</w:t>
      </w:r>
    </w:p>
    <w:p w14:paraId="5E489278" w14:textId="255B9D28" w:rsidR="0045477B" w:rsidRPr="0049594B" w:rsidRDefault="00EB3A5A" w:rsidP="00ED3A6C">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 xml:space="preserve">NGEC (2019). </w:t>
      </w:r>
      <w:r w:rsidRPr="0049594B">
        <w:rPr>
          <w:rFonts w:ascii="Georgia" w:hAnsi="Georgia" w:cs="Times New Roman"/>
          <w:i/>
          <w:iCs/>
          <w:color w:val="000000"/>
          <w:shd w:val="clear" w:color="auto" w:fill="FFFFFF"/>
        </w:rPr>
        <w:t>Strategic Plan 2019-2024</w:t>
      </w:r>
      <w:r w:rsidRPr="0049594B">
        <w:rPr>
          <w:rFonts w:ascii="Georgia" w:hAnsi="Georgia" w:cs="Times New Roman"/>
          <w:color w:val="000000"/>
          <w:shd w:val="clear" w:color="auto" w:fill="FFFFFF"/>
        </w:rPr>
        <w:t xml:space="preserve">. </w:t>
      </w:r>
      <w:r w:rsidR="00270A56" w:rsidRPr="0049594B">
        <w:rPr>
          <w:rFonts w:ascii="Georgia" w:hAnsi="Georgia" w:cs="Times New Roman"/>
          <w:color w:val="000000"/>
          <w:shd w:val="clear" w:color="auto" w:fill="FFFFFF"/>
        </w:rPr>
        <w:t>Nairobi: National Gender and Equality Commission.</w:t>
      </w:r>
    </w:p>
    <w:p w14:paraId="6F084CD4" w14:textId="64722586" w:rsidR="0060715C" w:rsidRPr="0049594B" w:rsidRDefault="00861127" w:rsidP="00ED3A6C">
      <w:pPr>
        <w:spacing w:after="120" w:line="240" w:lineRule="auto"/>
        <w:ind w:left="284" w:hanging="284"/>
        <w:jc w:val="both"/>
        <w:rPr>
          <w:rFonts w:ascii="Georgia" w:hAnsi="Georgia" w:cs="Times New Roman"/>
        </w:rPr>
      </w:pPr>
      <w:r w:rsidRPr="0049594B">
        <w:rPr>
          <w:rFonts w:ascii="Georgia" w:hAnsi="Georgia" w:cs="Times New Roman"/>
        </w:rPr>
        <w:t xml:space="preserve">Ngugi, R.W., Mungab, B.O., Kiriib, P.P., &amp; Onsomu, E.N. (2023). Does the Poverty Level Minimum Basket Adequately Inform the Scope of Governments’ Poverty Reduction Strategies? Journal of African Economies, 2023 (32(: ii246–ii272. </w:t>
      </w:r>
      <w:hyperlink r:id="rId63" w:history="1">
        <w:r w:rsidRPr="0049594B">
          <w:rPr>
            <w:rStyle w:val="Hyperlink"/>
            <w:rFonts w:ascii="Georgia" w:hAnsi="Georgia" w:cs="Times New Roman"/>
          </w:rPr>
          <w:t>https://doi.org/10.1093/jae/ejac051</w:t>
        </w:r>
      </w:hyperlink>
      <w:r w:rsidRPr="0049594B">
        <w:rPr>
          <w:rFonts w:ascii="Georgia" w:hAnsi="Georgia" w:cs="Times New Roman"/>
        </w:rPr>
        <w:t>.</w:t>
      </w:r>
    </w:p>
    <w:p w14:paraId="6755DE85" w14:textId="77777777" w:rsidR="00B47EC8" w:rsidRPr="0049594B" w:rsidRDefault="00B47EC8" w:rsidP="00B47EC8">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Nunow, A., Muthama, N.J., &amp; Kinama, J. (2020). Analysis of gender parity in climate change adaptation actions within Kajiado and Kiambu counties, Kenya. East African Journal of Science Technology and Innovation 1(2): 1-17. DOI: 10.37425/eajsti.1.2.138.</w:t>
      </w:r>
    </w:p>
    <w:p w14:paraId="0EE37CEF" w14:textId="198BC9C6" w:rsidR="003452D4" w:rsidRPr="0049594B" w:rsidRDefault="003452D4" w:rsidP="00ED3A6C">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 xml:space="preserve">OECD (2002). </w:t>
      </w:r>
      <w:r w:rsidRPr="0049594B">
        <w:rPr>
          <w:rFonts w:ascii="Georgia" w:hAnsi="Georgia" w:cs="Times New Roman"/>
          <w:i/>
          <w:iCs/>
          <w:color w:val="000000"/>
          <w:shd w:val="clear" w:color="auto" w:fill="FFFFFF"/>
        </w:rPr>
        <w:t xml:space="preserve">Kenya </w:t>
      </w:r>
      <w:r w:rsidRPr="0049594B">
        <w:rPr>
          <w:rFonts w:ascii="Georgia" w:hAnsi="Georgia" w:cs="Times New Roman"/>
          <w:color w:val="000000"/>
          <w:shd w:val="clear" w:color="auto" w:fill="FFFFFF"/>
        </w:rPr>
        <w:t>(</w:t>
      </w:r>
      <w:hyperlink r:id="rId64" w:history="1">
        <w:r w:rsidRPr="0049594B">
          <w:rPr>
            <w:rStyle w:val="Hyperlink"/>
            <w:rFonts w:ascii="Georgia" w:hAnsi="Georgia" w:cs="Times New Roman"/>
            <w:shd w:val="clear" w:color="auto" w:fill="FFFFFF"/>
          </w:rPr>
          <w:t>https://www.oecd.org/countries/kenya/1825372.pdf</w:t>
        </w:r>
      </w:hyperlink>
      <w:r w:rsidRPr="0049594B">
        <w:rPr>
          <w:rFonts w:ascii="Georgia" w:hAnsi="Georgia" w:cs="Times New Roman"/>
          <w:color w:val="000000"/>
          <w:shd w:val="clear" w:color="auto" w:fill="FFFFFF"/>
        </w:rPr>
        <w:t>).</w:t>
      </w:r>
    </w:p>
    <w:p w14:paraId="338DEC86" w14:textId="0318D5A1" w:rsidR="006715BB" w:rsidRPr="0049594B" w:rsidRDefault="006715BB" w:rsidP="0020677A">
      <w:pPr>
        <w:spacing w:after="120" w:line="240" w:lineRule="auto"/>
        <w:ind w:left="284" w:hanging="284"/>
        <w:jc w:val="both"/>
        <w:rPr>
          <w:rFonts w:ascii="Georgia" w:hAnsi="Georgia" w:cs="Times New Roman"/>
          <w:color w:val="000000"/>
          <w:shd w:val="clear" w:color="auto" w:fill="FFFFFF"/>
        </w:rPr>
      </w:pPr>
      <w:r w:rsidRPr="0049594B">
        <w:rPr>
          <w:rFonts w:ascii="Georgia" w:hAnsi="Georgia" w:cs="Times New Roman"/>
          <w:color w:val="000000"/>
          <w:shd w:val="clear" w:color="auto" w:fill="FFFFFF"/>
        </w:rPr>
        <w:t xml:space="preserve">OHCHR (2021). </w:t>
      </w:r>
      <w:r w:rsidR="00781787" w:rsidRPr="0049594B">
        <w:rPr>
          <w:rFonts w:ascii="Georgia" w:hAnsi="Georgia" w:cs="Times New Roman"/>
          <w:i/>
          <w:iCs/>
          <w:color w:val="000000"/>
          <w:shd w:val="clear" w:color="auto" w:fill="FFFFFF"/>
        </w:rPr>
        <w:t>Human Right</w:t>
      </w:r>
      <w:r w:rsidR="00190C26" w:rsidRPr="0049594B">
        <w:rPr>
          <w:rFonts w:ascii="Georgia" w:hAnsi="Georgia" w:cs="Times New Roman"/>
          <w:i/>
          <w:iCs/>
          <w:color w:val="000000"/>
          <w:shd w:val="clear" w:color="auto" w:fill="FFFFFF"/>
        </w:rPr>
        <w:t xml:space="preserve">s-Based </w:t>
      </w:r>
      <w:r w:rsidR="00A156E6" w:rsidRPr="0049594B">
        <w:rPr>
          <w:rFonts w:ascii="Georgia" w:hAnsi="Georgia" w:cs="Times New Roman"/>
          <w:i/>
          <w:iCs/>
          <w:color w:val="000000"/>
          <w:shd w:val="clear" w:color="auto" w:fill="FFFFFF"/>
        </w:rPr>
        <w:t>Analysis of Kenya</w:t>
      </w:r>
      <w:r w:rsidR="009B25D8" w:rsidRPr="0049594B">
        <w:rPr>
          <w:rFonts w:ascii="Georgia" w:hAnsi="Georgia" w:cs="Times New Roman"/>
          <w:i/>
          <w:iCs/>
          <w:color w:val="000000"/>
          <w:shd w:val="clear" w:color="auto" w:fill="FFFFFF"/>
        </w:rPr>
        <w:t>’</w:t>
      </w:r>
      <w:r w:rsidR="00A156E6" w:rsidRPr="0049594B">
        <w:rPr>
          <w:rFonts w:ascii="Georgia" w:hAnsi="Georgia" w:cs="Times New Roman"/>
          <w:i/>
          <w:iCs/>
          <w:color w:val="000000"/>
          <w:shd w:val="clear" w:color="auto" w:fill="FFFFFF"/>
        </w:rPr>
        <w:t>s</w:t>
      </w:r>
      <w:r w:rsidR="009B25D8" w:rsidRPr="0049594B">
        <w:rPr>
          <w:rFonts w:ascii="Georgia" w:hAnsi="Georgia" w:cs="Times New Roman"/>
          <w:i/>
          <w:iCs/>
          <w:color w:val="000000"/>
          <w:shd w:val="clear" w:color="auto" w:fill="FFFFFF"/>
        </w:rPr>
        <w:t xml:space="preserve"> Budget 2021/2022. What do the </w:t>
      </w:r>
      <w:r w:rsidR="0020677A" w:rsidRPr="0049594B">
        <w:rPr>
          <w:rFonts w:ascii="Georgia" w:hAnsi="Georgia" w:cs="Times New Roman"/>
          <w:i/>
          <w:iCs/>
          <w:color w:val="000000"/>
          <w:shd w:val="clear" w:color="auto" w:fill="FFFFFF"/>
        </w:rPr>
        <w:t>n</w:t>
      </w:r>
      <w:r w:rsidR="009B25D8" w:rsidRPr="0049594B">
        <w:rPr>
          <w:rFonts w:ascii="Georgia" w:hAnsi="Georgia" w:cs="Times New Roman"/>
          <w:i/>
          <w:iCs/>
          <w:color w:val="000000"/>
          <w:shd w:val="clear" w:color="auto" w:fill="FFFFFF"/>
        </w:rPr>
        <w:t>umbers tell</w:t>
      </w:r>
      <w:r w:rsidR="00C359C9" w:rsidRPr="0049594B">
        <w:rPr>
          <w:rFonts w:ascii="Georgia" w:hAnsi="Georgia" w:cs="Times New Roman"/>
          <w:i/>
          <w:iCs/>
          <w:color w:val="000000"/>
          <w:shd w:val="clear" w:color="auto" w:fill="FFFFFF"/>
        </w:rPr>
        <w:t xml:space="preserve"> </w:t>
      </w:r>
      <w:r w:rsidR="009B25D8" w:rsidRPr="0049594B">
        <w:rPr>
          <w:rFonts w:ascii="Georgia" w:hAnsi="Georgia" w:cs="Times New Roman"/>
          <w:i/>
          <w:iCs/>
          <w:color w:val="000000"/>
          <w:shd w:val="clear" w:color="auto" w:fill="FFFFFF"/>
        </w:rPr>
        <w:t>us</w:t>
      </w:r>
      <w:r w:rsidR="0020677A" w:rsidRPr="0049594B">
        <w:rPr>
          <w:rFonts w:ascii="Georgia" w:hAnsi="Georgia" w:cs="Times New Roman"/>
          <w:i/>
          <w:iCs/>
          <w:color w:val="000000"/>
          <w:shd w:val="clear" w:color="auto" w:fill="FFFFFF"/>
        </w:rPr>
        <w:t>?</w:t>
      </w:r>
      <w:r w:rsidR="00A156E6" w:rsidRPr="0049594B">
        <w:rPr>
          <w:rFonts w:ascii="Georgia" w:hAnsi="Georgia" w:cs="Times New Roman"/>
          <w:color w:val="000000"/>
          <w:shd w:val="clear" w:color="auto" w:fill="FFFFFF"/>
        </w:rPr>
        <w:t xml:space="preserve"> </w:t>
      </w:r>
    </w:p>
    <w:p w14:paraId="41B1A7C6" w14:textId="6A729E64" w:rsidR="006145E0" w:rsidRPr="0049594B" w:rsidRDefault="006145E0" w:rsidP="006145E0">
      <w:pPr>
        <w:spacing w:after="120" w:line="240" w:lineRule="auto"/>
        <w:ind w:left="284" w:hanging="284"/>
        <w:jc w:val="both"/>
        <w:rPr>
          <w:rFonts w:ascii="Georgia" w:hAnsi="Georgia" w:cs="Times New Roman"/>
        </w:rPr>
      </w:pPr>
      <w:r w:rsidRPr="0049594B">
        <w:rPr>
          <w:rFonts w:ascii="Georgia" w:hAnsi="Georgia" w:cs="Times New Roman"/>
        </w:rPr>
        <w:t xml:space="preserve">Omanyo, D. (2021). </w:t>
      </w:r>
      <w:r w:rsidRPr="0049594B">
        <w:rPr>
          <w:rFonts w:ascii="Georgia" w:hAnsi="Georgia" w:cs="Times New Roman"/>
          <w:i/>
          <w:iCs/>
        </w:rPr>
        <w:t xml:space="preserve">Gender Wage </w:t>
      </w:r>
      <w:r w:rsidR="00F84F72" w:rsidRPr="0049594B">
        <w:rPr>
          <w:rFonts w:ascii="Georgia" w:hAnsi="Georgia" w:cs="Times New Roman"/>
          <w:i/>
          <w:iCs/>
        </w:rPr>
        <w:t>D</w:t>
      </w:r>
      <w:r w:rsidRPr="0049594B">
        <w:rPr>
          <w:rFonts w:ascii="Georgia" w:hAnsi="Georgia" w:cs="Times New Roman"/>
          <w:i/>
          <w:iCs/>
        </w:rPr>
        <w:t xml:space="preserve">ifferential between Public and Private Sectors in </w:t>
      </w:r>
      <w:r w:rsidR="00CE6DAE" w:rsidRPr="0049594B">
        <w:rPr>
          <w:rFonts w:ascii="Georgia" w:hAnsi="Georgia" w:cs="Times New Roman"/>
          <w:i/>
          <w:iCs/>
        </w:rPr>
        <w:t>K</w:t>
      </w:r>
      <w:r w:rsidRPr="0049594B">
        <w:rPr>
          <w:rFonts w:ascii="Georgia" w:hAnsi="Georgia" w:cs="Times New Roman"/>
          <w:i/>
          <w:iCs/>
        </w:rPr>
        <w:t>enya.</w:t>
      </w:r>
      <w:r w:rsidRPr="0049594B">
        <w:rPr>
          <w:rFonts w:ascii="Georgia" w:hAnsi="Georgia" w:cs="Times New Roman"/>
        </w:rPr>
        <w:t xml:space="preserve"> Nairobi: The Kenya Institute for Public Policy Research and Analysis.</w:t>
      </w:r>
      <w:r w:rsidR="00CE6DAE" w:rsidRPr="0049594B">
        <w:rPr>
          <w:rFonts w:ascii="Georgia" w:hAnsi="Georgia" w:cs="Times New Roman"/>
        </w:rPr>
        <w:t xml:space="preserve"> Discussion Paper Series, DP/</w:t>
      </w:r>
      <w:r w:rsidR="00F87F6C" w:rsidRPr="0049594B">
        <w:rPr>
          <w:rFonts w:ascii="Georgia" w:hAnsi="Georgia" w:cs="Times New Roman"/>
        </w:rPr>
        <w:t>255/2021.</w:t>
      </w:r>
    </w:p>
    <w:p w14:paraId="0D3E2869" w14:textId="48D6373F" w:rsidR="00D66C89" w:rsidRPr="0049594B" w:rsidRDefault="00D66C89" w:rsidP="006145E0">
      <w:pPr>
        <w:spacing w:after="120" w:line="240" w:lineRule="auto"/>
        <w:ind w:left="284" w:hanging="284"/>
        <w:jc w:val="both"/>
        <w:rPr>
          <w:rFonts w:ascii="Georgia" w:hAnsi="Georgia" w:cs="Times New Roman"/>
        </w:rPr>
      </w:pPr>
      <w:r w:rsidRPr="0049594B">
        <w:rPr>
          <w:rFonts w:ascii="Georgia" w:hAnsi="Georgia" w:cs="Times New Roman"/>
        </w:rPr>
        <w:t xml:space="preserve">Onsomu, E., Mose, V., &amp; Munene, P. (2022). </w:t>
      </w:r>
      <w:r w:rsidRPr="0049594B">
        <w:rPr>
          <w:rFonts w:ascii="Georgia" w:hAnsi="Georgia" w:cs="Times New Roman"/>
          <w:i/>
          <w:iCs/>
        </w:rPr>
        <w:t>Enhancing Inclusivity by Empowering Persons with Disabilities (PWDs)</w:t>
      </w:r>
      <w:r w:rsidRPr="0049594B">
        <w:rPr>
          <w:rFonts w:ascii="Georgia" w:hAnsi="Georgia" w:cs="Times New Roman"/>
        </w:rPr>
        <w:t>. Kenya Institute for Public Policy Research and Analysis, Special Paper No. 32.</w:t>
      </w:r>
    </w:p>
    <w:p w14:paraId="7FD247EE" w14:textId="7CFD18BC" w:rsidR="009F7DD3" w:rsidRPr="0049594B" w:rsidRDefault="009F48C4" w:rsidP="00ED3A6C">
      <w:pPr>
        <w:spacing w:after="120" w:line="240" w:lineRule="auto"/>
        <w:ind w:left="284" w:hanging="284"/>
        <w:jc w:val="both"/>
        <w:rPr>
          <w:rFonts w:ascii="Georgia" w:hAnsi="Georgia" w:cs="Times New Roman"/>
        </w:rPr>
      </w:pPr>
      <w:r w:rsidRPr="0049594B">
        <w:rPr>
          <w:rFonts w:ascii="Georgia" w:hAnsi="Georgia" w:cs="Times New Roman"/>
          <w:color w:val="000000"/>
          <w:shd w:val="clear" w:color="auto" w:fill="FFFFFF"/>
        </w:rPr>
        <w:t>Oxfam (</w:t>
      </w:r>
      <w:r w:rsidR="00E44098" w:rsidRPr="0049594B">
        <w:rPr>
          <w:rFonts w:ascii="Georgia" w:hAnsi="Georgia" w:cs="Times New Roman"/>
          <w:color w:val="000000"/>
          <w:shd w:val="clear" w:color="auto" w:fill="FFFFFF"/>
        </w:rPr>
        <w:t>n. d.</w:t>
      </w:r>
      <w:r w:rsidRPr="0049594B">
        <w:rPr>
          <w:rFonts w:ascii="Georgia" w:hAnsi="Georgia" w:cs="Times New Roman"/>
          <w:color w:val="000000"/>
          <w:shd w:val="clear" w:color="auto" w:fill="FFFFFF"/>
        </w:rPr>
        <w:t xml:space="preserve">). </w:t>
      </w:r>
      <w:hyperlink r:id="rId65" w:history="1">
        <w:r w:rsidR="009F7DD3" w:rsidRPr="0049594B">
          <w:rPr>
            <w:rStyle w:val="Hyperlink"/>
            <w:rFonts w:ascii="Georgia" w:hAnsi="Georgia" w:cs="Times New Roman"/>
          </w:rPr>
          <w:t>https://www.oxfam.org/en/kenya-extreme-inequality-numbers</w:t>
        </w:r>
      </w:hyperlink>
      <w:r w:rsidR="00401B51" w:rsidRPr="0049594B">
        <w:rPr>
          <w:rStyle w:val="Hyperlink"/>
          <w:rFonts w:ascii="Georgia" w:hAnsi="Georgia" w:cs="Times New Roman"/>
        </w:rPr>
        <w:t>.</w:t>
      </w:r>
    </w:p>
    <w:p w14:paraId="411E6840" w14:textId="5618265A" w:rsidR="009F7DD3" w:rsidRPr="0049594B" w:rsidRDefault="00680519" w:rsidP="00ED3A6C">
      <w:pPr>
        <w:spacing w:after="120" w:line="240" w:lineRule="auto"/>
        <w:ind w:left="284" w:hanging="284"/>
        <w:jc w:val="both"/>
        <w:rPr>
          <w:rFonts w:ascii="Georgia" w:hAnsi="Georgia" w:cs="Times New Roman"/>
        </w:rPr>
      </w:pPr>
      <w:r w:rsidRPr="0049594B">
        <w:rPr>
          <w:rFonts w:ascii="Georgia" w:hAnsi="Georgia" w:cs="Times New Roman"/>
        </w:rPr>
        <w:t>Pap</w:t>
      </w:r>
      <w:r w:rsidR="00FF3D4C" w:rsidRPr="0049594B">
        <w:rPr>
          <w:rFonts w:ascii="Georgia" w:hAnsi="Georgia" w:cs="Times New Roman"/>
        </w:rPr>
        <w:t>e</w:t>
      </w:r>
      <w:r w:rsidRPr="0049594B">
        <w:rPr>
          <w:rFonts w:ascii="Georgia" w:hAnsi="Georgia" w:cs="Times New Roman"/>
        </w:rPr>
        <w:t xml:space="preserve">, </w:t>
      </w:r>
      <w:r w:rsidR="00FF3D4C" w:rsidRPr="0049594B">
        <w:rPr>
          <w:rFonts w:ascii="Georgia" w:hAnsi="Georgia" w:cs="Times New Roman"/>
        </w:rPr>
        <w:t>U.</w:t>
      </w:r>
      <w:r w:rsidR="00C40C69" w:rsidRPr="0049594B">
        <w:rPr>
          <w:rFonts w:ascii="Georgia" w:hAnsi="Georgia" w:cs="Times New Roman"/>
        </w:rPr>
        <w:t>,</w:t>
      </w:r>
      <w:r w:rsidR="000E3ABA" w:rsidRPr="0049594B">
        <w:rPr>
          <w:rFonts w:ascii="Georgia" w:hAnsi="Georgia" w:cs="Times New Roman"/>
        </w:rPr>
        <w:t xml:space="preserve"> &amp; Lange</w:t>
      </w:r>
      <w:r w:rsidR="00347FBF" w:rsidRPr="0049594B">
        <w:rPr>
          <w:rFonts w:ascii="Georgia" w:hAnsi="Georgia" w:cs="Times New Roman"/>
        </w:rPr>
        <w:t>, S.</w:t>
      </w:r>
      <w:r w:rsidR="000E3ABA" w:rsidRPr="0049594B">
        <w:rPr>
          <w:rFonts w:ascii="Georgia" w:hAnsi="Georgia" w:cs="Times New Roman"/>
        </w:rPr>
        <w:t xml:space="preserve"> (2018).</w:t>
      </w:r>
      <w:r w:rsidR="00C40C69" w:rsidRPr="0049594B">
        <w:rPr>
          <w:rFonts w:ascii="Georgia" w:hAnsi="Georgia" w:cs="Times New Roman"/>
        </w:rPr>
        <w:t xml:space="preserve"> </w:t>
      </w:r>
      <w:r w:rsidR="00EE36C3" w:rsidRPr="0049594B">
        <w:rPr>
          <w:rFonts w:ascii="Georgia" w:hAnsi="Georgia" w:cs="Times New Roman"/>
          <w:i/>
          <w:iCs/>
        </w:rPr>
        <w:t xml:space="preserve">Fiscal Incidence </w:t>
      </w:r>
      <w:r w:rsidR="00BB48BE" w:rsidRPr="0049594B">
        <w:rPr>
          <w:rFonts w:ascii="Georgia" w:hAnsi="Georgia" w:cs="Times New Roman"/>
          <w:i/>
          <w:iCs/>
        </w:rPr>
        <w:t>A</w:t>
      </w:r>
      <w:r w:rsidR="00EE36C3" w:rsidRPr="0049594B">
        <w:rPr>
          <w:rFonts w:ascii="Georgia" w:hAnsi="Georgia" w:cs="Times New Roman"/>
          <w:i/>
          <w:iCs/>
        </w:rPr>
        <w:t>nalysis</w:t>
      </w:r>
      <w:r w:rsidR="00BB48BE" w:rsidRPr="0049594B">
        <w:rPr>
          <w:rFonts w:ascii="Georgia" w:hAnsi="Georgia" w:cs="Times New Roman"/>
          <w:i/>
          <w:iCs/>
        </w:rPr>
        <w:t xml:space="preserve"> for Kenya. Using the Kenya Integrated Household Budget Survey 2015/16</w:t>
      </w:r>
      <w:r w:rsidR="00BB48BE" w:rsidRPr="0049594B">
        <w:rPr>
          <w:rFonts w:ascii="Georgia" w:hAnsi="Georgia" w:cs="Times New Roman"/>
        </w:rPr>
        <w:t xml:space="preserve">. </w:t>
      </w:r>
      <w:r w:rsidR="000B71F9" w:rsidRPr="0049594B">
        <w:rPr>
          <w:rFonts w:ascii="Georgia" w:hAnsi="Georgia" w:cs="Times New Roman"/>
        </w:rPr>
        <w:t>World Bank, May 2018.</w:t>
      </w:r>
      <w:r w:rsidR="00EE36C3" w:rsidRPr="0049594B">
        <w:rPr>
          <w:rFonts w:ascii="Georgia" w:hAnsi="Georgia" w:cs="Times New Roman"/>
        </w:rPr>
        <w:t xml:space="preserve"> </w:t>
      </w:r>
    </w:p>
    <w:p w14:paraId="603F62EF" w14:textId="79830609" w:rsidR="00203BED" w:rsidRPr="0049594B" w:rsidRDefault="0071691B" w:rsidP="00ED3A6C">
      <w:pPr>
        <w:spacing w:after="120" w:line="240" w:lineRule="auto"/>
        <w:ind w:left="284" w:hanging="284"/>
        <w:jc w:val="both"/>
        <w:rPr>
          <w:rFonts w:ascii="Georgia" w:hAnsi="Georgia" w:cs="Times New Roman"/>
        </w:rPr>
      </w:pPr>
      <w:r w:rsidRPr="0049594B">
        <w:rPr>
          <w:rFonts w:ascii="Georgia" w:hAnsi="Georgia" w:cs="Times New Roman"/>
        </w:rPr>
        <w:t>PEW Research Center (2016). Spring 2016 Global Attitudes Survey. In key African Nations, widespread discontent with economy, corruption</w:t>
      </w:r>
      <w:r w:rsidR="00203BED" w:rsidRPr="0049594B">
        <w:rPr>
          <w:rFonts w:ascii="Georgia" w:hAnsi="Georgia" w:cs="Times New Roman"/>
        </w:rPr>
        <w:t xml:space="preserve">. </w:t>
      </w:r>
      <w:hyperlink r:id="rId66" w:history="1">
        <w:r w:rsidR="00203BED" w:rsidRPr="0049594B">
          <w:rPr>
            <w:rStyle w:val="Hyperlink"/>
            <w:rFonts w:ascii="Georgia" w:hAnsi="Georgia" w:cs="Times New Roman"/>
          </w:rPr>
          <w:t>https://www.pewresearch.org/global/2016/11/14/kenyans-worried-about-economy-and-corruption-but-optimistic-for-the-future/</w:t>
        </w:r>
      </w:hyperlink>
      <w:r w:rsidRPr="0049594B">
        <w:rPr>
          <w:rFonts w:ascii="Georgia" w:hAnsi="Georgia" w:cs="Times New Roman"/>
        </w:rPr>
        <w:t>.</w:t>
      </w:r>
    </w:p>
    <w:p w14:paraId="5C638CFB" w14:textId="2E3D9A41" w:rsidR="00095327" w:rsidRPr="0049594B" w:rsidRDefault="001E436E" w:rsidP="00ED3A6C">
      <w:pPr>
        <w:spacing w:after="120" w:line="240" w:lineRule="auto"/>
        <w:ind w:left="284" w:hanging="284"/>
        <w:jc w:val="both"/>
        <w:rPr>
          <w:rFonts w:ascii="Georgia" w:hAnsi="Georgia" w:cs="Times New Roman"/>
        </w:rPr>
      </w:pPr>
      <w:r w:rsidRPr="0049594B">
        <w:rPr>
          <w:rFonts w:ascii="Georgia" w:hAnsi="Georgia" w:cs="Times New Roman"/>
        </w:rPr>
        <w:t>Republic of Kenya (2019). National Policy on Gender and Development</w:t>
      </w:r>
      <w:r w:rsidR="00ED0E66" w:rsidRPr="0049594B">
        <w:rPr>
          <w:rFonts w:ascii="Georgia" w:hAnsi="Georgia" w:cs="Times New Roman"/>
        </w:rPr>
        <w:t xml:space="preserve">. </w:t>
      </w:r>
      <w:hyperlink r:id="rId67" w:history="1">
        <w:r w:rsidR="00095327" w:rsidRPr="0049594B">
          <w:rPr>
            <w:rStyle w:val="Hyperlink"/>
            <w:rFonts w:ascii="Georgia" w:hAnsi="Georgia" w:cs="Times New Roman"/>
          </w:rPr>
          <w:t>http://psyg.go.ke/wp-content/uploads/2019/12/NATIONAL-POLICY-ON-GENDER-AND-DEVELOPMENT.pdf</w:t>
        </w:r>
      </w:hyperlink>
      <w:r w:rsidR="00095327" w:rsidRPr="0049594B">
        <w:rPr>
          <w:rFonts w:ascii="Georgia" w:hAnsi="Georgia" w:cs="Times New Roman"/>
        </w:rPr>
        <w:t>.</w:t>
      </w:r>
    </w:p>
    <w:p w14:paraId="7907A019" w14:textId="32ACF0FA" w:rsidR="00A4239B" w:rsidRPr="0049594B" w:rsidRDefault="00A4239B" w:rsidP="00ED3A6C">
      <w:pPr>
        <w:spacing w:after="120" w:line="240" w:lineRule="auto"/>
        <w:ind w:left="284" w:hanging="284"/>
        <w:jc w:val="both"/>
        <w:rPr>
          <w:rFonts w:ascii="Georgia" w:hAnsi="Georgia" w:cs="Times New Roman"/>
        </w:rPr>
      </w:pPr>
      <w:r w:rsidRPr="0049594B">
        <w:rPr>
          <w:rFonts w:ascii="Georgia" w:hAnsi="Georgia" w:cs="Times New Roman"/>
        </w:rPr>
        <w:t>SID</w:t>
      </w:r>
      <w:r w:rsidR="008030B6" w:rsidRPr="0049594B">
        <w:rPr>
          <w:rFonts w:ascii="Georgia" w:hAnsi="Georgia" w:cs="Times New Roman"/>
        </w:rPr>
        <w:t xml:space="preserve"> </w:t>
      </w:r>
      <w:r w:rsidRPr="0049594B">
        <w:rPr>
          <w:rFonts w:ascii="Georgia" w:hAnsi="Georgia" w:cs="Times New Roman"/>
        </w:rPr>
        <w:t xml:space="preserve">(2012). </w:t>
      </w:r>
      <w:r w:rsidR="00FA29A3" w:rsidRPr="0049594B">
        <w:rPr>
          <w:rFonts w:ascii="Georgia" w:hAnsi="Georgia" w:cs="Times New Roman"/>
        </w:rPr>
        <w:t xml:space="preserve">Gender Responsive Budgeting and its Application to Planning in Kenya. </w:t>
      </w:r>
      <w:r w:rsidR="001F7D32" w:rsidRPr="0049594B">
        <w:rPr>
          <w:rFonts w:ascii="Georgia" w:hAnsi="Georgia" w:cs="Times New Roman"/>
        </w:rPr>
        <w:t>Nairobi: Society for International Development</w:t>
      </w:r>
      <w:r w:rsidR="008030B6" w:rsidRPr="0049594B">
        <w:rPr>
          <w:rFonts w:ascii="Georgia" w:hAnsi="Georgia" w:cs="Times New Roman"/>
        </w:rPr>
        <w:t>.</w:t>
      </w:r>
    </w:p>
    <w:p w14:paraId="52774E46" w14:textId="797433D7" w:rsidR="00203BED" w:rsidRPr="0049594B" w:rsidRDefault="00203BED" w:rsidP="00ED3A6C">
      <w:pPr>
        <w:spacing w:after="120" w:line="240" w:lineRule="auto"/>
        <w:ind w:left="284" w:hanging="284"/>
        <w:jc w:val="both"/>
        <w:rPr>
          <w:rFonts w:ascii="Georgia" w:hAnsi="Georgia" w:cs="Times New Roman"/>
        </w:rPr>
      </w:pPr>
      <w:r w:rsidRPr="0049594B">
        <w:rPr>
          <w:rFonts w:ascii="Georgia" w:hAnsi="Georgia" w:cs="Times New Roman"/>
        </w:rPr>
        <w:t xml:space="preserve">The National Alliance (2013). Transforming Kenya. Securing Kenya’s prosperity 2013-2017. </w:t>
      </w:r>
      <w:hyperlink r:id="rId68" w:history="1">
        <w:r w:rsidRPr="0049594B">
          <w:rPr>
            <w:rStyle w:val="Hyperlink"/>
            <w:rFonts w:ascii="Georgia" w:hAnsi="Georgia" w:cs="Times New Roman"/>
          </w:rPr>
          <w:t>https://s3-eu-west-1.amazonaws.com/s3.sourceafrica.net/documents/119133/Jubilee-Manifesto-2013.pdf</w:t>
        </w:r>
      </w:hyperlink>
      <w:r w:rsidRPr="0049594B">
        <w:rPr>
          <w:rFonts w:ascii="Georgia" w:hAnsi="Georgia" w:cs="Times New Roman"/>
        </w:rPr>
        <w:t>.</w:t>
      </w:r>
    </w:p>
    <w:p w14:paraId="6DDD82AE" w14:textId="77777777" w:rsidR="002B4EBC" w:rsidRPr="0049594B" w:rsidRDefault="002B4EBC" w:rsidP="002B4EBC">
      <w:pPr>
        <w:spacing w:after="120" w:line="240" w:lineRule="auto"/>
        <w:ind w:left="284" w:hanging="284"/>
        <w:jc w:val="both"/>
        <w:rPr>
          <w:rFonts w:ascii="Georgia" w:hAnsi="Georgia" w:cs="Times New Roman"/>
        </w:rPr>
      </w:pPr>
      <w:r w:rsidRPr="0049594B">
        <w:rPr>
          <w:rFonts w:ascii="Georgia" w:hAnsi="Georgia" w:cs="Times New Roman"/>
        </w:rPr>
        <w:t>The National Treasury and Planning (2020). Second Voluntary National Review on the Implementation of the Sustainable Development Goals. Nairobi: Republic of Kenya, National Treasury and Planning State. Department for Planning (https://sustainabledevelopment.un.org/content/documents/26360VNR_2020_Kenya_Report.pdf).</w:t>
      </w:r>
    </w:p>
    <w:p w14:paraId="439791F2" w14:textId="30E0E796" w:rsidR="001C0DEF" w:rsidRPr="0049594B" w:rsidRDefault="001C0DEF" w:rsidP="00ED3A6C">
      <w:pPr>
        <w:spacing w:after="120" w:line="240" w:lineRule="auto"/>
        <w:ind w:left="284" w:hanging="284"/>
        <w:jc w:val="both"/>
        <w:rPr>
          <w:rFonts w:ascii="Georgia" w:hAnsi="Georgia" w:cs="Times New Roman"/>
        </w:rPr>
      </w:pPr>
      <w:r w:rsidRPr="0049594B">
        <w:rPr>
          <w:rFonts w:ascii="Georgia" w:hAnsi="Georgia" w:cs="Times New Roman"/>
        </w:rPr>
        <w:t>The National Treasury and Planning (202</w:t>
      </w:r>
      <w:r w:rsidR="001A6CB8" w:rsidRPr="0049594B">
        <w:rPr>
          <w:rFonts w:ascii="Georgia" w:hAnsi="Georgia" w:cs="Times New Roman"/>
        </w:rPr>
        <w:t>2</w:t>
      </w:r>
      <w:r w:rsidRPr="0049594B">
        <w:rPr>
          <w:rFonts w:ascii="Georgia" w:hAnsi="Georgia" w:cs="Times New Roman"/>
        </w:rPr>
        <w:t>).</w:t>
      </w:r>
      <w:r w:rsidR="00A65485" w:rsidRPr="0049594B">
        <w:rPr>
          <w:rFonts w:ascii="Georgia" w:hAnsi="Georgia" w:cs="Times New Roman"/>
        </w:rPr>
        <w:t xml:space="preserve"> Launch of Budget Preparation Process</w:t>
      </w:r>
      <w:r w:rsidR="008A1C23" w:rsidRPr="0049594B">
        <w:rPr>
          <w:rFonts w:ascii="Georgia" w:hAnsi="Georgia" w:cs="Times New Roman"/>
        </w:rPr>
        <w:t xml:space="preserve"> Financial Year 2023/24 and the </w:t>
      </w:r>
      <w:r w:rsidR="0068329E" w:rsidRPr="0049594B">
        <w:rPr>
          <w:rFonts w:ascii="Georgia" w:hAnsi="Georgia" w:cs="Times New Roman"/>
        </w:rPr>
        <w:t>Medium Term. Key Highlights of the Fourth Medium Term Plan 2023-2027.</w:t>
      </w:r>
      <w:r w:rsidR="001A6CB8" w:rsidRPr="0049594B">
        <w:rPr>
          <w:rFonts w:ascii="Georgia" w:hAnsi="Georgia" w:cs="Times New Roman"/>
        </w:rPr>
        <w:t xml:space="preserve"> PowerPoint Presentation.</w:t>
      </w:r>
    </w:p>
    <w:p w14:paraId="0C4A3ABB" w14:textId="5AFD544A" w:rsidR="0050506D" w:rsidRPr="0049594B" w:rsidRDefault="0050506D" w:rsidP="00ED3A6C">
      <w:pPr>
        <w:spacing w:after="120" w:line="240" w:lineRule="auto"/>
        <w:ind w:left="284" w:hanging="284"/>
        <w:jc w:val="both"/>
        <w:rPr>
          <w:rFonts w:ascii="Georgia" w:hAnsi="Georgia" w:cs="Times New Roman"/>
        </w:rPr>
      </w:pPr>
      <w:r w:rsidRPr="0049594B">
        <w:rPr>
          <w:rFonts w:ascii="Georgia" w:hAnsi="Georgia" w:cs="Times New Roman"/>
        </w:rPr>
        <w:t>UK aid (2023). Gender Equality and Social Analysis. Kenya.</w:t>
      </w:r>
    </w:p>
    <w:p w14:paraId="293D9B61" w14:textId="524DFBD4" w:rsidR="00521068" w:rsidRPr="0049594B" w:rsidRDefault="00521068" w:rsidP="00ED3A6C">
      <w:pPr>
        <w:spacing w:after="120" w:line="240" w:lineRule="auto"/>
        <w:ind w:left="284" w:hanging="284"/>
        <w:jc w:val="both"/>
        <w:rPr>
          <w:rFonts w:ascii="Georgia" w:hAnsi="Georgia" w:cs="Times New Roman"/>
        </w:rPr>
      </w:pPr>
      <w:r w:rsidRPr="0049594B">
        <w:rPr>
          <w:rFonts w:ascii="Georgia" w:hAnsi="Georgia" w:cs="Times New Roman"/>
        </w:rPr>
        <w:t>UNDP Kenya (2020). Kenya Gender Analysis</w:t>
      </w:r>
      <w:r w:rsidR="00EB5576" w:rsidRPr="0049594B">
        <w:rPr>
          <w:rFonts w:ascii="Georgia" w:hAnsi="Georgia" w:cs="Times New Roman"/>
        </w:rPr>
        <w:t xml:space="preserve">. </w:t>
      </w:r>
    </w:p>
    <w:p w14:paraId="0A838020" w14:textId="6501A5D1" w:rsidR="001A2954" w:rsidRPr="0049594B" w:rsidRDefault="00203BED" w:rsidP="001A2954">
      <w:pPr>
        <w:spacing w:after="120" w:line="240" w:lineRule="auto"/>
        <w:ind w:left="284" w:hanging="284"/>
        <w:jc w:val="both"/>
        <w:rPr>
          <w:rFonts w:ascii="Georgia" w:eastAsia="Times New Roman" w:hAnsi="Georgia" w:cs="Times New Roman"/>
          <w:lang w:eastAsia="es-419"/>
        </w:rPr>
      </w:pPr>
      <w:r w:rsidRPr="0049594B">
        <w:rPr>
          <w:rFonts w:ascii="Georgia" w:hAnsi="Georgia" w:cs="Times New Roman"/>
        </w:rPr>
        <w:t>United Democratic Alliance (2022) Kenya Kwanza Plan. The bottom up economic transformation agenda 2022-2027</w:t>
      </w:r>
      <w:r w:rsidR="004A1D72" w:rsidRPr="0049594B">
        <w:rPr>
          <w:rFonts w:ascii="Georgia" w:hAnsi="Georgia" w:cs="Times New Roman"/>
        </w:rPr>
        <w:t xml:space="preserve">. </w:t>
      </w:r>
      <w:hyperlink r:id="rId69" w:history="1">
        <w:r w:rsidRPr="0049594B">
          <w:rPr>
            <w:rStyle w:val="Hyperlink"/>
            <w:rFonts w:ascii="Georgia" w:hAnsi="Georgia" w:cs="Times New Roman"/>
          </w:rPr>
          <w:t>https://uda.ke/downloads/manifesto.pdf</w:t>
        </w:r>
      </w:hyperlink>
      <w:r w:rsidRPr="0049594B">
        <w:rPr>
          <w:rFonts w:ascii="Georgia" w:hAnsi="Georgia" w:cs="Times New Roman"/>
        </w:rPr>
        <w:t>.</w:t>
      </w:r>
      <w:r w:rsidR="00CC2943" w:rsidRPr="0049594B">
        <w:rPr>
          <w:rFonts w:ascii="Georgia" w:eastAsia="Times New Roman" w:hAnsi="Georgia" w:cs="Times New Roman"/>
          <w:lang w:eastAsia="es-419"/>
        </w:rPr>
        <w:t xml:space="preserve">UNRISD (2010). </w:t>
      </w:r>
      <w:hyperlink r:id="rId70" w:history="1">
        <w:r w:rsidR="00CC2943" w:rsidRPr="0049594B">
          <w:rPr>
            <w:rStyle w:val="Hyperlink"/>
            <w:rFonts w:ascii="Georgia" w:eastAsia="Times New Roman" w:hAnsi="Georgia" w:cs="Times New Roman"/>
            <w:i/>
            <w:iCs/>
            <w:lang w:eastAsia="es-419"/>
          </w:rPr>
          <w:t>Combating Poverty and Inequality. Structural Change, Social Policies and Politics</w:t>
        </w:r>
      </w:hyperlink>
      <w:r w:rsidR="00CC2943" w:rsidRPr="0049594B">
        <w:rPr>
          <w:rFonts w:ascii="Georgia" w:eastAsia="Times New Roman" w:hAnsi="Georgia" w:cs="Times New Roman"/>
          <w:lang w:eastAsia="es-419"/>
        </w:rPr>
        <w:t>. Geneva: United Nations Research Institute for Social Development.</w:t>
      </w:r>
    </w:p>
    <w:p w14:paraId="79D701DC" w14:textId="2DB56332" w:rsidR="00203BED" w:rsidRPr="0049594B" w:rsidRDefault="00203BED" w:rsidP="00203BED">
      <w:pPr>
        <w:spacing w:after="120" w:line="240" w:lineRule="auto"/>
        <w:ind w:left="284" w:hanging="284"/>
        <w:jc w:val="both"/>
        <w:rPr>
          <w:rFonts w:ascii="Georgia" w:hAnsi="Georgia" w:cs="Times New Roman"/>
        </w:rPr>
      </w:pPr>
      <w:r w:rsidRPr="0049594B">
        <w:rPr>
          <w:rFonts w:ascii="Georgia" w:hAnsi="Georgia" w:cs="Times New Roman"/>
        </w:rPr>
        <w:t xml:space="preserve">Wilson Center (2010). Removing Perennial Roadblocks: Kenya’s New Constitution. </w:t>
      </w:r>
      <w:hyperlink r:id="rId71" w:history="1">
        <w:r w:rsidRPr="0049594B">
          <w:rPr>
            <w:rStyle w:val="Hyperlink"/>
            <w:rFonts w:ascii="Georgia" w:hAnsi="Georgia" w:cs="Times New Roman"/>
          </w:rPr>
          <w:t>https://www.wilsoncenter.org/sites/default/files/media/documents/publication/A%20new%20Dawn%20for%20Kenya.pdf</w:t>
        </w:r>
      </w:hyperlink>
      <w:r w:rsidRPr="0049594B">
        <w:rPr>
          <w:rFonts w:ascii="Georgia" w:hAnsi="Georgia" w:cs="Times New Roman"/>
        </w:rPr>
        <w:t>.</w:t>
      </w:r>
    </w:p>
    <w:p w14:paraId="35BB280A" w14:textId="5D3C63E8" w:rsidR="007A09F8" w:rsidRPr="0049594B" w:rsidRDefault="003E07C2" w:rsidP="00ED3A6C">
      <w:pPr>
        <w:spacing w:after="120" w:line="240" w:lineRule="auto"/>
        <w:ind w:left="284" w:hanging="284"/>
        <w:jc w:val="both"/>
        <w:rPr>
          <w:rFonts w:ascii="Georgia" w:hAnsi="Georgia" w:cs="Times New Roman"/>
        </w:rPr>
      </w:pPr>
      <w:r w:rsidRPr="0049594B">
        <w:rPr>
          <w:rFonts w:ascii="Georgia" w:hAnsi="Georgia" w:cs="Times New Roman"/>
        </w:rPr>
        <w:t xml:space="preserve">World Bank (2020). </w:t>
      </w:r>
      <w:r w:rsidR="00804A9F" w:rsidRPr="0049594B">
        <w:rPr>
          <w:rFonts w:ascii="Georgia" w:hAnsi="Georgia" w:cs="Times New Roman"/>
        </w:rPr>
        <w:t xml:space="preserve">Kenya Public Expenditure Review. Options for fiscal Consolidation after the </w:t>
      </w:r>
      <w:r w:rsidR="00E15483" w:rsidRPr="0049594B">
        <w:rPr>
          <w:rFonts w:ascii="Georgia" w:hAnsi="Georgia" w:cs="Times New Roman"/>
        </w:rPr>
        <w:t>COVID-19 crisis.</w:t>
      </w:r>
    </w:p>
    <w:p w14:paraId="02E20C11" w14:textId="0F075233" w:rsidR="006B3E26" w:rsidRPr="0049594B" w:rsidRDefault="006B3E26" w:rsidP="006B3E26">
      <w:pPr>
        <w:spacing w:after="120" w:line="240" w:lineRule="auto"/>
        <w:ind w:left="284" w:hanging="284"/>
        <w:jc w:val="both"/>
        <w:rPr>
          <w:rFonts w:ascii="Georgia" w:hAnsi="Georgia" w:cs="Times New Roman"/>
          <w:color w:val="000000"/>
        </w:rPr>
      </w:pPr>
      <w:r w:rsidRPr="0049594B">
        <w:rPr>
          <w:rFonts w:ascii="Georgia" w:hAnsi="Georgia" w:cs="Times New Roman"/>
          <w:color w:val="000000"/>
        </w:rPr>
        <w:t xml:space="preserve">World Bank (2021a). </w:t>
      </w:r>
      <w:r w:rsidRPr="0049594B">
        <w:rPr>
          <w:rFonts w:ascii="Georgia" w:hAnsi="Georgia" w:cs="Times New Roman"/>
          <w:i/>
          <w:iCs/>
          <w:color w:val="000000"/>
        </w:rPr>
        <w:t>Kenya Economic Update</w:t>
      </w:r>
      <w:r w:rsidRPr="0049594B">
        <w:rPr>
          <w:rFonts w:ascii="Georgia" w:hAnsi="Georgia" w:cs="Times New Roman"/>
          <w:color w:val="000000"/>
        </w:rPr>
        <w:t xml:space="preserve">. </w:t>
      </w:r>
      <w:r w:rsidR="00760B49" w:rsidRPr="0049594B">
        <w:rPr>
          <w:rFonts w:ascii="Georgia" w:hAnsi="Georgia" w:cs="Times New Roman"/>
          <w:color w:val="000000"/>
        </w:rPr>
        <w:t>June</w:t>
      </w:r>
      <w:r w:rsidRPr="0049594B">
        <w:rPr>
          <w:rFonts w:ascii="Georgia" w:hAnsi="Georgia" w:cs="Times New Roman"/>
          <w:color w:val="000000"/>
        </w:rPr>
        <w:t xml:space="preserve"> 2021.</w:t>
      </w:r>
    </w:p>
    <w:p w14:paraId="286DDDD4" w14:textId="30C422BB" w:rsidR="00094C5A" w:rsidRPr="0049594B" w:rsidRDefault="00CF07D1" w:rsidP="00ED3A6C">
      <w:pPr>
        <w:spacing w:after="120" w:line="240" w:lineRule="auto"/>
        <w:ind w:left="284" w:hanging="284"/>
        <w:jc w:val="both"/>
        <w:rPr>
          <w:rFonts w:ascii="Georgia" w:hAnsi="Georgia" w:cs="Times New Roman"/>
          <w:color w:val="000000"/>
        </w:rPr>
      </w:pPr>
      <w:r w:rsidRPr="0049594B">
        <w:rPr>
          <w:rFonts w:ascii="Georgia" w:hAnsi="Georgia" w:cs="Times New Roman"/>
          <w:color w:val="000000"/>
        </w:rPr>
        <w:t>World Bank (2021</w:t>
      </w:r>
      <w:r w:rsidR="00760B49" w:rsidRPr="0049594B">
        <w:rPr>
          <w:rFonts w:ascii="Georgia" w:hAnsi="Georgia" w:cs="Times New Roman"/>
          <w:color w:val="000000"/>
        </w:rPr>
        <w:t>b</w:t>
      </w:r>
      <w:r w:rsidRPr="0049594B">
        <w:rPr>
          <w:rFonts w:ascii="Georgia" w:hAnsi="Georgia" w:cs="Times New Roman"/>
          <w:color w:val="000000"/>
        </w:rPr>
        <w:t xml:space="preserve">). </w:t>
      </w:r>
      <w:r w:rsidRPr="0049594B">
        <w:rPr>
          <w:rFonts w:ascii="Georgia" w:hAnsi="Georgia" w:cs="Times New Roman"/>
          <w:i/>
          <w:iCs/>
          <w:color w:val="000000"/>
        </w:rPr>
        <w:t>Kenya Economic Update</w:t>
      </w:r>
      <w:r w:rsidR="00094C5A" w:rsidRPr="0049594B">
        <w:rPr>
          <w:rFonts w:ascii="Georgia" w:hAnsi="Georgia" w:cs="Times New Roman"/>
          <w:color w:val="000000"/>
        </w:rPr>
        <w:t>. December 2021.</w:t>
      </w:r>
    </w:p>
    <w:p w14:paraId="4F791F57" w14:textId="01CF6EFC" w:rsidR="00094C5A" w:rsidRPr="0049594B" w:rsidRDefault="00094C5A" w:rsidP="00094C5A">
      <w:pPr>
        <w:spacing w:after="120" w:line="240" w:lineRule="auto"/>
        <w:ind w:left="284" w:hanging="284"/>
        <w:jc w:val="both"/>
        <w:rPr>
          <w:rFonts w:ascii="Georgia" w:hAnsi="Georgia" w:cs="Times New Roman"/>
          <w:color w:val="000000"/>
        </w:rPr>
      </w:pPr>
      <w:r w:rsidRPr="0049594B">
        <w:rPr>
          <w:rFonts w:ascii="Georgia" w:hAnsi="Georgia" w:cs="Times New Roman"/>
          <w:color w:val="000000"/>
        </w:rPr>
        <w:t>World Bank (2022</w:t>
      </w:r>
      <w:r w:rsidR="009866AF" w:rsidRPr="0049594B">
        <w:rPr>
          <w:rFonts w:ascii="Georgia" w:hAnsi="Georgia" w:cs="Times New Roman"/>
          <w:color w:val="000000"/>
        </w:rPr>
        <w:t>a</w:t>
      </w:r>
      <w:r w:rsidRPr="0049594B">
        <w:rPr>
          <w:rFonts w:ascii="Georgia" w:hAnsi="Georgia" w:cs="Times New Roman"/>
          <w:color w:val="000000"/>
        </w:rPr>
        <w:t xml:space="preserve">). </w:t>
      </w:r>
      <w:r w:rsidRPr="0049594B">
        <w:rPr>
          <w:rFonts w:ascii="Georgia" w:hAnsi="Georgia" w:cs="Times New Roman"/>
          <w:i/>
          <w:iCs/>
          <w:color w:val="000000"/>
        </w:rPr>
        <w:t>Kenya Economic Update</w:t>
      </w:r>
      <w:r w:rsidRPr="0049594B">
        <w:rPr>
          <w:rFonts w:ascii="Georgia" w:hAnsi="Georgia" w:cs="Times New Roman"/>
          <w:color w:val="000000"/>
        </w:rPr>
        <w:t>. June 2022.</w:t>
      </w:r>
    </w:p>
    <w:p w14:paraId="08B68343" w14:textId="274B312B" w:rsidR="00E701EA" w:rsidRDefault="00E701EA" w:rsidP="00ED3A6C">
      <w:pPr>
        <w:spacing w:after="120" w:line="240" w:lineRule="auto"/>
        <w:ind w:left="284" w:hanging="284"/>
        <w:jc w:val="both"/>
        <w:rPr>
          <w:rFonts w:ascii="Times New Roman" w:hAnsi="Times New Roman" w:cs="Times New Roman"/>
          <w:color w:val="000000"/>
          <w:sz w:val="20"/>
          <w:szCs w:val="20"/>
        </w:rPr>
      </w:pPr>
      <w:r w:rsidRPr="0049594B">
        <w:rPr>
          <w:rFonts w:ascii="Georgia" w:hAnsi="Georgia" w:cs="Times New Roman"/>
          <w:color w:val="000000"/>
        </w:rPr>
        <w:t xml:space="preserve">World Bank (2022b). </w:t>
      </w:r>
      <w:r w:rsidRPr="0049594B">
        <w:rPr>
          <w:rFonts w:ascii="Georgia" w:hAnsi="Georgia" w:cs="Times New Roman"/>
          <w:i/>
          <w:iCs/>
          <w:color w:val="000000"/>
        </w:rPr>
        <w:t>World Development Indicators | DataBank</w:t>
      </w:r>
      <w:r w:rsidRPr="0049594B">
        <w:rPr>
          <w:rFonts w:ascii="Georgia" w:hAnsi="Georgia" w:cs="Times New Roman"/>
          <w:color w:val="000000"/>
        </w:rPr>
        <w:t xml:space="preserve">. </w:t>
      </w:r>
      <w:hyperlink r:id="rId72" w:history="1">
        <w:r w:rsidR="008543E1" w:rsidRPr="0049594B">
          <w:rPr>
            <w:rStyle w:val="Hyperlink"/>
            <w:rFonts w:ascii="Georgia" w:hAnsi="Georgia" w:cs="Times New Roman"/>
          </w:rPr>
          <w:t>https://databank.worldbank.org/reports.aspx?source=world-development-indicators</w:t>
        </w:r>
      </w:hyperlink>
      <w:r w:rsidR="008543E1" w:rsidRPr="009C5581">
        <w:rPr>
          <w:rFonts w:ascii="Times New Roman" w:hAnsi="Times New Roman" w:cs="Times New Roman"/>
          <w:color w:val="000000"/>
          <w:sz w:val="20"/>
          <w:szCs w:val="20"/>
        </w:rPr>
        <w:t>.</w:t>
      </w:r>
    </w:p>
    <w:p w14:paraId="0AAA1192" w14:textId="2D269593" w:rsidR="00055820" w:rsidRDefault="00055820">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3C44FF18" w14:textId="34AC6BEF" w:rsidR="00055820" w:rsidRPr="00055820" w:rsidRDefault="001D724C" w:rsidP="00055820">
      <w:pPr>
        <w:pStyle w:val="Heading1"/>
        <w:spacing w:before="0" w:after="120" w:line="240" w:lineRule="auto"/>
        <w:rPr>
          <w:rFonts w:ascii="Georgia" w:hAnsi="Georgia" w:cs="Times New Roman"/>
          <w:b/>
          <w:bCs/>
          <w:color w:val="auto"/>
        </w:rPr>
      </w:pPr>
      <w:bookmarkStart w:id="93" w:name="_Toc145928793"/>
      <w:r>
        <w:rPr>
          <w:rFonts w:ascii="Georgia" w:hAnsi="Georgia" w:cs="Times New Roman"/>
          <w:b/>
          <w:bCs/>
          <w:color w:val="auto"/>
        </w:rPr>
        <w:t>Your Comments and  S</w:t>
      </w:r>
      <w:r w:rsidR="00055820" w:rsidRPr="00055820">
        <w:rPr>
          <w:rFonts w:ascii="Georgia" w:hAnsi="Georgia" w:cs="Times New Roman"/>
          <w:b/>
          <w:bCs/>
          <w:color w:val="auto"/>
        </w:rPr>
        <w:t>uggestions</w:t>
      </w:r>
      <w:bookmarkEnd w:id="93"/>
    </w:p>
    <w:p w14:paraId="5F51BAA4" w14:textId="6C9906FD" w:rsidR="00055820" w:rsidRPr="008275AC" w:rsidRDefault="00055820" w:rsidP="00055820">
      <w:pPr>
        <w:spacing w:after="0" w:line="240" w:lineRule="auto"/>
        <w:rPr>
          <w:rFonts w:ascii="Georgia" w:hAnsi="Georgia" w:cs="Times New Roman"/>
          <w:color w:val="000000"/>
          <w:sz w:val="24"/>
          <w:szCs w:val="24"/>
        </w:rPr>
      </w:pPr>
      <w:r w:rsidRPr="008275AC">
        <w:rPr>
          <w:rFonts w:ascii="Georgia" w:hAnsi="Georgia" w:cs="Times New Roman"/>
          <w:color w:val="000000"/>
          <w:sz w:val="24"/>
          <w:szCs w:val="24"/>
        </w:rPr>
        <w:t xml:space="preserve">Using the template herein, please provide us with your comments and areas of improvements. This will help with improving this draft. Submit your feedback to the Chief Executive Officer, National Gender and Equality Commission, with a copy to </w:t>
      </w:r>
      <w:hyperlink r:id="rId73" w:history="1">
        <w:r w:rsidRPr="008275AC">
          <w:rPr>
            <w:rStyle w:val="Hyperlink"/>
            <w:rFonts w:ascii="Georgia" w:hAnsi="Georgia" w:cs="Times New Roman"/>
            <w:sz w:val="24"/>
            <w:szCs w:val="24"/>
          </w:rPr>
          <w:t>wwambua@ngeckenya.org</w:t>
        </w:r>
      </w:hyperlink>
    </w:p>
    <w:p w14:paraId="72BCC4C5" w14:textId="77777777" w:rsidR="00055820" w:rsidRPr="008275AC" w:rsidRDefault="00055820" w:rsidP="00055820">
      <w:pPr>
        <w:spacing w:after="0" w:line="240" w:lineRule="auto"/>
        <w:rPr>
          <w:rFonts w:ascii="Georgia" w:hAnsi="Georgia" w:cs="Times New Roman"/>
          <w:color w:val="000000"/>
          <w:sz w:val="24"/>
          <w:szCs w:val="24"/>
        </w:rPr>
      </w:pPr>
    </w:p>
    <w:p w14:paraId="030AFA8F" w14:textId="69EB731D" w:rsidR="008275AC" w:rsidRDefault="00055820" w:rsidP="00ED3A6C">
      <w:pPr>
        <w:spacing w:after="120" w:line="240" w:lineRule="auto"/>
        <w:ind w:left="284" w:hanging="284"/>
        <w:jc w:val="both"/>
        <w:rPr>
          <w:rFonts w:ascii="Georgia" w:hAnsi="Georgia" w:cs="Times New Roman"/>
          <w:color w:val="000000"/>
          <w:sz w:val="24"/>
          <w:szCs w:val="24"/>
        </w:rPr>
      </w:pPr>
      <w:r w:rsidRPr="008275AC">
        <w:rPr>
          <w:rFonts w:ascii="Georgia" w:hAnsi="Georgia" w:cs="Times New Roman"/>
          <w:color w:val="000000"/>
          <w:sz w:val="24"/>
          <w:szCs w:val="24"/>
        </w:rPr>
        <w:t>Name of your organization</w:t>
      </w:r>
      <w:r w:rsidR="008275AC" w:rsidRPr="008275AC">
        <w:rPr>
          <w:rFonts w:ascii="Georgia" w:hAnsi="Georgia" w:cs="Times New Roman"/>
          <w:color w:val="000000"/>
          <w:sz w:val="24"/>
          <w:szCs w:val="24"/>
        </w:rPr>
        <w:t>____________________________</w:t>
      </w:r>
      <w:r w:rsidR="008275AC">
        <w:rPr>
          <w:rFonts w:ascii="Georgia" w:hAnsi="Georgia" w:cs="Times New Roman"/>
          <w:color w:val="000000"/>
          <w:sz w:val="24"/>
          <w:szCs w:val="24"/>
        </w:rPr>
        <w:t>__________</w:t>
      </w:r>
      <w:r w:rsidRPr="008275AC">
        <w:rPr>
          <w:rFonts w:ascii="Georgia" w:hAnsi="Georgia" w:cs="Times New Roman"/>
          <w:color w:val="000000"/>
          <w:sz w:val="24"/>
          <w:szCs w:val="24"/>
        </w:rPr>
        <w:tab/>
      </w:r>
      <w:r w:rsidRPr="008275AC">
        <w:rPr>
          <w:rFonts w:ascii="Georgia" w:hAnsi="Georgia" w:cs="Times New Roman"/>
          <w:color w:val="000000"/>
          <w:sz w:val="24"/>
          <w:szCs w:val="24"/>
        </w:rPr>
        <w:tab/>
      </w:r>
      <w:r w:rsidRPr="008275AC">
        <w:rPr>
          <w:rFonts w:ascii="Georgia" w:hAnsi="Georgia" w:cs="Times New Roman"/>
          <w:color w:val="000000"/>
          <w:sz w:val="24"/>
          <w:szCs w:val="24"/>
        </w:rPr>
        <w:tab/>
      </w:r>
    </w:p>
    <w:p w14:paraId="25DBF3A8" w14:textId="39316C36" w:rsidR="00055820" w:rsidRDefault="008275AC" w:rsidP="00ED3A6C">
      <w:pPr>
        <w:spacing w:after="120" w:line="240" w:lineRule="auto"/>
        <w:ind w:left="284" w:hanging="284"/>
        <w:jc w:val="both"/>
        <w:rPr>
          <w:rFonts w:ascii="Georgia" w:hAnsi="Georgia" w:cs="Times New Roman"/>
          <w:color w:val="000000"/>
          <w:sz w:val="24"/>
          <w:szCs w:val="24"/>
        </w:rPr>
      </w:pPr>
      <w:r w:rsidRPr="008275AC">
        <w:rPr>
          <w:rFonts w:ascii="Georgia" w:hAnsi="Georgia" w:cs="Times New Roman"/>
          <w:color w:val="000000"/>
          <w:sz w:val="24"/>
          <w:szCs w:val="24"/>
        </w:rPr>
        <w:t>E</w:t>
      </w:r>
      <w:r w:rsidR="00055820" w:rsidRPr="008275AC">
        <w:rPr>
          <w:rFonts w:ascii="Georgia" w:hAnsi="Georgia" w:cs="Times New Roman"/>
          <w:color w:val="000000"/>
          <w:sz w:val="24"/>
          <w:szCs w:val="24"/>
        </w:rPr>
        <w:t>mail address</w:t>
      </w:r>
      <w:r w:rsidRPr="008275AC">
        <w:rPr>
          <w:rFonts w:ascii="Georgia" w:hAnsi="Georgia" w:cs="Times New Roman"/>
          <w:color w:val="000000"/>
          <w:sz w:val="24"/>
          <w:szCs w:val="24"/>
        </w:rPr>
        <w:t>______________________</w:t>
      </w:r>
      <w:r>
        <w:rPr>
          <w:rFonts w:ascii="Georgia" w:hAnsi="Georgia" w:cs="Times New Roman"/>
          <w:color w:val="000000"/>
          <w:sz w:val="24"/>
          <w:szCs w:val="24"/>
        </w:rPr>
        <w:t>_________________________</w:t>
      </w:r>
    </w:p>
    <w:p w14:paraId="381118ED" w14:textId="77777777" w:rsidR="008275AC" w:rsidRPr="008275AC" w:rsidRDefault="008275AC" w:rsidP="00ED3A6C">
      <w:pPr>
        <w:spacing w:after="120" w:line="240" w:lineRule="auto"/>
        <w:ind w:left="284" w:hanging="284"/>
        <w:jc w:val="both"/>
        <w:rPr>
          <w:rFonts w:ascii="Georgia" w:hAnsi="Georgia" w:cs="Times New Roman"/>
          <w:color w:val="000000"/>
          <w:sz w:val="24"/>
          <w:szCs w:val="24"/>
        </w:rPr>
      </w:pPr>
    </w:p>
    <w:tbl>
      <w:tblPr>
        <w:tblStyle w:val="TableGrid"/>
        <w:tblW w:w="0" w:type="auto"/>
        <w:tblInd w:w="-5" w:type="dxa"/>
        <w:tblLook w:val="04A0" w:firstRow="1" w:lastRow="0" w:firstColumn="1" w:lastColumn="0" w:noHBand="0" w:noVBand="1"/>
      </w:tblPr>
      <w:tblGrid>
        <w:gridCol w:w="2520"/>
        <w:gridCol w:w="2880"/>
        <w:gridCol w:w="4485"/>
      </w:tblGrid>
      <w:tr w:rsidR="008275AC" w14:paraId="0790F2DC" w14:textId="77777777" w:rsidTr="008275AC">
        <w:tc>
          <w:tcPr>
            <w:tcW w:w="2520" w:type="dxa"/>
            <w:shd w:val="clear" w:color="auto" w:fill="FBE4D5" w:themeFill="accent2" w:themeFillTint="33"/>
          </w:tcPr>
          <w:p w14:paraId="7C38ABF0" w14:textId="28E4389E" w:rsidR="008275AC" w:rsidRPr="008275AC" w:rsidRDefault="008275AC" w:rsidP="00ED3A6C">
            <w:pPr>
              <w:spacing w:after="120"/>
              <w:jc w:val="both"/>
              <w:rPr>
                <w:rFonts w:ascii="Georgia" w:hAnsi="Georgia" w:cs="Times New Roman"/>
                <w:color w:val="000000"/>
                <w:sz w:val="24"/>
                <w:szCs w:val="24"/>
              </w:rPr>
            </w:pPr>
            <w:r w:rsidRPr="008275AC">
              <w:rPr>
                <w:rFonts w:ascii="Georgia" w:hAnsi="Georgia" w:cs="Times New Roman"/>
                <w:color w:val="000000"/>
                <w:sz w:val="24"/>
                <w:szCs w:val="24"/>
              </w:rPr>
              <w:t>Page Number</w:t>
            </w:r>
          </w:p>
        </w:tc>
        <w:tc>
          <w:tcPr>
            <w:tcW w:w="2880" w:type="dxa"/>
            <w:shd w:val="clear" w:color="auto" w:fill="FBE4D5" w:themeFill="accent2" w:themeFillTint="33"/>
          </w:tcPr>
          <w:p w14:paraId="25290622" w14:textId="584C5E63" w:rsidR="008275AC" w:rsidRPr="008275AC" w:rsidRDefault="008275AC" w:rsidP="00ED3A6C">
            <w:pPr>
              <w:spacing w:after="120"/>
              <w:jc w:val="both"/>
              <w:rPr>
                <w:rFonts w:ascii="Georgia" w:hAnsi="Georgia" w:cs="Times New Roman"/>
                <w:color w:val="000000"/>
                <w:sz w:val="24"/>
                <w:szCs w:val="24"/>
              </w:rPr>
            </w:pPr>
            <w:r w:rsidRPr="008275AC">
              <w:rPr>
                <w:rFonts w:ascii="Georgia" w:hAnsi="Georgia" w:cs="Times New Roman"/>
                <w:color w:val="000000"/>
                <w:sz w:val="24"/>
                <w:szCs w:val="24"/>
              </w:rPr>
              <w:t>Specific issue</w:t>
            </w:r>
          </w:p>
        </w:tc>
        <w:tc>
          <w:tcPr>
            <w:tcW w:w="4485" w:type="dxa"/>
            <w:shd w:val="clear" w:color="auto" w:fill="FBE4D5" w:themeFill="accent2" w:themeFillTint="33"/>
          </w:tcPr>
          <w:p w14:paraId="31DD0837" w14:textId="2728A64C" w:rsidR="008275AC" w:rsidRPr="008275AC" w:rsidRDefault="008275AC" w:rsidP="008275AC">
            <w:pPr>
              <w:spacing w:after="120"/>
              <w:rPr>
                <w:rFonts w:ascii="Georgia" w:hAnsi="Georgia" w:cs="Times New Roman"/>
                <w:color w:val="000000"/>
                <w:sz w:val="24"/>
                <w:szCs w:val="24"/>
              </w:rPr>
            </w:pPr>
            <w:r w:rsidRPr="008275AC">
              <w:rPr>
                <w:rFonts w:ascii="Georgia" w:hAnsi="Georgia" w:cs="Times New Roman"/>
                <w:color w:val="000000"/>
                <w:sz w:val="24"/>
                <w:szCs w:val="24"/>
              </w:rPr>
              <w:t>Comments/</w:t>
            </w:r>
            <w:r>
              <w:rPr>
                <w:rFonts w:ascii="Georgia" w:hAnsi="Georgia" w:cs="Times New Roman"/>
                <w:color w:val="000000"/>
                <w:sz w:val="24"/>
                <w:szCs w:val="24"/>
              </w:rPr>
              <w:t xml:space="preserve"> </w:t>
            </w:r>
            <w:r w:rsidRPr="008275AC">
              <w:rPr>
                <w:rFonts w:ascii="Georgia" w:hAnsi="Georgia" w:cs="Times New Roman"/>
                <w:color w:val="000000"/>
                <w:sz w:val="24"/>
                <w:szCs w:val="24"/>
              </w:rPr>
              <w:t>suggestions for improvement/</w:t>
            </w:r>
            <w:r>
              <w:rPr>
                <w:rFonts w:ascii="Georgia" w:hAnsi="Georgia" w:cs="Times New Roman"/>
                <w:color w:val="000000"/>
                <w:sz w:val="24"/>
                <w:szCs w:val="24"/>
              </w:rPr>
              <w:t xml:space="preserve"> </w:t>
            </w:r>
            <w:r w:rsidRPr="008275AC">
              <w:rPr>
                <w:rFonts w:ascii="Georgia" w:hAnsi="Georgia" w:cs="Times New Roman"/>
                <w:color w:val="000000"/>
                <w:sz w:val="24"/>
                <w:szCs w:val="24"/>
              </w:rPr>
              <w:t>proposal</w:t>
            </w:r>
          </w:p>
        </w:tc>
      </w:tr>
      <w:tr w:rsidR="008275AC" w14:paraId="3D311C4F" w14:textId="77777777" w:rsidTr="008275AC">
        <w:tc>
          <w:tcPr>
            <w:tcW w:w="2520" w:type="dxa"/>
          </w:tcPr>
          <w:p w14:paraId="5EC1A355" w14:textId="77777777" w:rsidR="008275AC" w:rsidRPr="008275AC" w:rsidRDefault="008275AC" w:rsidP="00ED3A6C">
            <w:pPr>
              <w:spacing w:after="120"/>
              <w:jc w:val="both"/>
              <w:rPr>
                <w:rFonts w:ascii="Georgia" w:hAnsi="Georgia" w:cs="Times New Roman"/>
                <w:color w:val="000000"/>
                <w:sz w:val="24"/>
                <w:szCs w:val="24"/>
              </w:rPr>
            </w:pPr>
          </w:p>
        </w:tc>
        <w:tc>
          <w:tcPr>
            <w:tcW w:w="2880" w:type="dxa"/>
          </w:tcPr>
          <w:p w14:paraId="3420B14A" w14:textId="77777777" w:rsidR="008275AC" w:rsidRDefault="008275AC" w:rsidP="00ED3A6C">
            <w:pPr>
              <w:spacing w:after="120"/>
              <w:jc w:val="both"/>
              <w:rPr>
                <w:rFonts w:ascii="Georgia" w:hAnsi="Georgia" w:cs="Times New Roman"/>
                <w:color w:val="000000"/>
                <w:sz w:val="24"/>
                <w:szCs w:val="24"/>
              </w:rPr>
            </w:pPr>
          </w:p>
          <w:p w14:paraId="19A3EC80" w14:textId="77777777" w:rsidR="008275AC" w:rsidRDefault="008275AC" w:rsidP="00ED3A6C">
            <w:pPr>
              <w:spacing w:after="120"/>
              <w:jc w:val="both"/>
              <w:rPr>
                <w:rFonts w:ascii="Georgia" w:hAnsi="Georgia" w:cs="Times New Roman"/>
                <w:color w:val="000000"/>
                <w:sz w:val="24"/>
                <w:szCs w:val="24"/>
              </w:rPr>
            </w:pPr>
          </w:p>
          <w:p w14:paraId="45A3E3AC" w14:textId="3C8A1DBF" w:rsidR="008275AC" w:rsidRPr="008275AC" w:rsidRDefault="008275AC" w:rsidP="00ED3A6C">
            <w:pPr>
              <w:spacing w:after="120"/>
              <w:jc w:val="both"/>
              <w:rPr>
                <w:rFonts w:ascii="Georgia" w:hAnsi="Georgia" w:cs="Times New Roman"/>
                <w:color w:val="000000"/>
                <w:sz w:val="24"/>
                <w:szCs w:val="24"/>
              </w:rPr>
            </w:pPr>
          </w:p>
        </w:tc>
        <w:tc>
          <w:tcPr>
            <w:tcW w:w="4485" w:type="dxa"/>
          </w:tcPr>
          <w:p w14:paraId="3B6217A0" w14:textId="77777777" w:rsidR="008275AC" w:rsidRPr="008275AC" w:rsidRDefault="008275AC" w:rsidP="00ED3A6C">
            <w:pPr>
              <w:spacing w:after="120"/>
              <w:jc w:val="both"/>
              <w:rPr>
                <w:rFonts w:ascii="Georgia" w:hAnsi="Georgia" w:cs="Times New Roman"/>
                <w:color w:val="000000"/>
                <w:sz w:val="24"/>
                <w:szCs w:val="24"/>
              </w:rPr>
            </w:pPr>
          </w:p>
        </w:tc>
      </w:tr>
      <w:tr w:rsidR="008275AC" w14:paraId="6F4F8C78" w14:textId="77777777" w:rsidTr="008275AC">
        <w:tc>
          <w:tcPr>
            <w:tcW w:w="2520" w:type="dxa"/>
          </w:tcPr>
          <w:p w14:paraId="2017CB9B" w14:textId="77777777" w:rsidR="008275AC" w:rsidRPr="008275AC" w:rsidRDefault="008275AC" w:rsidP="00ED3A6C">
            <w:pPr>
              <w:spacing w:after="120"/>
              <w:jc w:val="both"/>
              <w:rPr>
                <w:rFonts w:ascii="Georgia" w:hAnsi="Georgia" w:cs="Times New Roman"/>
                <w:color w:val="000000"/>
                <w:sz w:val="24"/>
                <w:szCs w:val="24"/>
              </w:rPr>
            </w:pPr>
          </w:p>
        </w:tc>
        <w:tc>
          <w:tcPr>
            <w:tcW w:w="2880" w:type="dxa"/>
          </w:tcPr>
          <w:p w14:paraId="4DF1DA59" w14:textId="77777777" w:rsidR="008275AC" w:rsidRDefault="008275AC" w:rsidP="00ED3A6C">
            <w:pPr>
              <w:spacing w:after="120"/>
              <w:jc w:val="both"/>
              <w:rPr>
                <w:rFonts w:ascii="Georgia" w:hAnsi="Georgia" w:cs="Times New Roman"/>
                <w:color w:val="000000"/>
                <w:sz w:val="24"/>
                <w:szCs w:val="24"/>
              </w:rPr>
            </w:pPr>
          </w:p>
          <w:p w14:paraId="43376D7E" w14:textId="77777777" w:rsidR="008275AC" w:rsidRDefault="008275AC" w:rsidP="00ED3A6C">
            <w:pPr>
              <w:spacing w:after="120"/>
              <w:jc w:val="both"/>
              <w:rPr>
                <w:rFonts w:ascii="Georgia" w:hAnsi="Georgia" w:cs="Times New Roman"/>
                <w:color w:val="000000"/>
                <w:sz w:val="24"/>
                <w:szCs w:val="24"/>
              </w:rPr>
            </w:pPr>
          </w:p>
          <w:p w14:paraId="5BECE711" w14:textId="77777777" w:rsidR="008275AC" w:rsidRDefault="008275AC" w:rsidP="00ED3A6C">
            <w:pPr>
              <w:spacing w:after="120"/>
              <w:jc w:val="both"/>
              <w:rPr>
                <w:rFonts w:ascii="Georgia" w:hAnsi="Georgia" w:cs="Times New Roman"/>
                <w:color w:val="000000"/>
                <w:sz w:val="24"/>
                <w:szCs w:val="24"/>
              </w:rPr>
            </w:pPr>
          </w:p>
          <w:p w14:paraId="4BEAC908" w14:textId="3E8DAB2E" w:rsidR="008275AC" w:rsidRPr="008275AC" w:rsidRDefault="008275AC" w:rsidP="00ED3A6C">
            <w:pPr>
              <w:spacing w:after="120"/>
              <w:jc w:val="both"/>
              <w:rPr>
                <w:rFonts w:ascii="Georgia" w:hAnsi="Georgia" w:cs="Times New Roman"/>
                <w:color w:val="000000"/>
                <w:sz w:val="24"/>
                <w:szCs w:val="24"/>
              </w:rPr>
            </w:pPr>
          </w:p>
        </w:tc>
        <w:tc>
          <w:tcPr>
            <w:tcW w:w="4485" w:type="dxa"/>
          </w:tcPr>
          <w:p w14:paraId="092F1BF0" w14:textId="77777777" w:rsidR="008275AC" w:rsidRPr="008275AC" w:rsidRDefault="008275AC" w:rsidP="00ED3A6C">
            <w:pPr>
              <w:spacing w:after="120"/>
              <w:jc w:val="both"/>
              <w:rPr>
                <w:rFonts w:ascii="Georgia" w:hAnsi="Georgia" w:cs="Times New Roman"/>
                <w:color w:val="000000"/>
                <w:sz w:val="24"/>
                <w:szCs w:val="24"/>
              </w:rPr>
            </w:pPr>
          </w:p>
        </w:tc>
      </w:tr>
      <w:tr w:rsidR="008275AC" w14:paraId="62639BFE" w14:textId="77777777" w:rsidTr="008275AC">
        <w:tc>
          <w:tcPr>
            <w:tcW w:w="2520" w:type="dxa"/>
          </w:tcPr>
          <w:p w14:paraId="59CCBFF8" w14:textId="77777777" w:rsidR="008275AC" w:rsidRPr="008275AC" w:rsidRDefault="008275AC" w:rsidP="00ED3A6C">
            <w:pPr>
              <w:spacing w:after="120"/>
              <w:jc w:val="both"/>
              <w:rPr>
                <w:rFonts w:ascii="Georgia" w:hAnsi="Georgia" w:cs="Times New Roman"/>
                <w:color w:val="000000"/>
                <w:sz w:val="24"/>
                <w:szCs w:val="24"/>
              </w:rPr>
            </w:pPr>
          </w:p>
        </w:tc>
        <w:tc>
          <w:tcPr>
            <w:tcW w:w="2880" w:type="dxa"/>
          </w:tcPr>
          <w:p w14:paraId="611ABA97" w14:textId="77777777" w:rsidR="008275AC" w:rsidRDefault="008275AC" w:rsidP="00ED3A6C">
            <w:pPr>
              <w:spacing w:after="120"/>
              <w:jc w:val="both"/>
              <w:rPr>
                <w:rFonts w:ascii="Georgia" w:hAnsi="Georgia" w:cs="Times New Roman"/>
                <w:color w:val="000000"/>
                <w:sz w:val="24"/>
                <w:szCs w:val="24"/>
              </w:rPr>
            </w:pPr>
          </w:p>
          <w:p w14:paraId="023D6C89" w14:textId="77777777" w:rsidR="008275AC" w:rsidRDefault="008275AC" w:rsidP="00ED3A6C">
            <w:pPr>
              <w:spacing w:after="120"/>
              <w:jc w:val="both"/>
              <w:rPr>
                <w:rFonts w:ascii="Georgia" w:hAnsi="Georgia" w:cs="Times New Roman"/>
                <w:color w:val="000000"/>
                <w:sz w:val="24"/>
                <w:szCs w:val="24"/>
              </w:rPr>
            </w:pPr>
          </w:p>
          <w:p w14:paraId="1EED67FC" w14:textId="07BD3F98" w:rsidR="008275AC" w:rsidRPr="008275AC" w:rsidRDefault="008275AC" w:rsidP="00ED3A6C">
            <w:pPr>
              <w:spacing w:after="120"/>
              <w:jc w:val="both"/>
              <w:rPr>
                <w:rFonts w:ascii="Georgia" w:hAnsi="Georgia" w:cs="Times New Roman"/>
                <w:color w:val="000000"/>
                <w:sz w:val="24"/>
                <w:szCs w:val="24"/>
              </w:rPr>
            </w:pPr>
          </w:p>
        </w:tc>
        <w:tc>
          <w:tcPr>
            <w:tcW w:w="4485" w:type="dxa"/>
          </w:tcPr>
          <w:p w14:paraId="14BAEEB0" w14:textId="77777777" w:rsidR="008275AC" w:rsidRPr="008275AC" w:rsidRDefault="008275AC" w:rsidP="00ED3A6C">
            <w:pPr>
              <w:spacing w:after="120"/>
              <w:jc w:val="both"/>
              <w:rPr>
                <w:rFonts w:ascii="Georgia" w:hAnsi="Georgia" w:cs="Times New Roman"/>
                <w:color w:val="000000"/>
                <w:sz w:val="24"/>
                <w:szCs w:val="24"/>
              </w:rPr>
            </w:pPr>
          </w:p>
        </w:tc>
      </w:tr>
      <w:tr w:rsidR="008275AC" w14:paraId="3DF1C7C0" w14:textId="77777777" w:rsidTr="008275AC">
        <w:tc>
          <w:tcPr>
            <w:tcW w:w="2520" w:type="dxa"/>
          </w:tcPr>
          <w:p w14:paraId="2264591C" w14:textId="77777777" w:rsidR="008275AC" w:rsidRPr="008275AC" w:rsidRDefault="008275AC" w:rsidP="00ED3A6C">
            <w:pPr>
              <w:spacing w:after="120"/>
              <w:jc w:val="both"/>
              <w:rPr>
                <w:rFonts w:ascii="Georgia" w:hAnsi="Georgia" w:cs="Times New Roman"/>
                <w:color w:val="000000"/>
                <w:sz w:val="24"/>
                <w:szCs w:val="24"/>
              </w:rPr>
            </w:pPr>
          </w:p>
        </w:tc>
        <w:tc>
          <w:tcPr>
            <w:tcW w:w="2880" w:type="dxa"/>
          </w:tcPr>
          <w:p w14:paraId="2FBBA58E" w14:textId="77777777" w:rsidR="008275AC" w:rsidRDefault="008275AC" w:rsidP="00ED3A6C">
            <w:pPr>
              <w:spacing w:after="120"/>
              <w:jc w:val="both"/>
              <w:rPr>
                <w:rFonts w:ascii="Georgia" w:hAnsi="Georgia" w:cs="Times New Roman"/>
                <w:color w:val="000000"/>
                <w:sz w:val="24"/>
                <w:szCs w:val="24"/>
              </w:rPr>
            </w:pPr>
          </w:p>
          <w:p w14:paraId="089879B7" w14:textId="77777777" w:rsidR="008275AC" w:rsidRDefault="008275AC" w:rsidP="00ED3A6C">
            <w:pPr>
              <w:spacing w:after="120"/>
              <w:jc w:val="both"/>
              <w:rPr>
                <w:rFonts w:ascii="Georgia" w:hAnsi="Georgia" w:cs="Times New Roman"/>
                <w:color w:val="000000"/>
                <w:sz w:val="24"/>
                <w:szCs w:val="24"/>
              </w:rPr>
            </w:pPr>
          </w:p>
          <w:p w14:paraId="7EBB47FB" w14:textId="4CD4539D" w:rsidR="008275AC" w:rsidRPr="008275AC" w:rsidRDefault="008275AC" w:rsidP="00ED3A6C">
            <w:pPr>
              <w:spacing w:after="120"/>
              <w:jc w:val="both"/>
              <w:rPr>
                <w:rFonts w:ascii="Georgia" w:hAnsi="Georgia" w:cs="Times New Roman"/>
                <w:color w:val="000000"/>
                <w:sz w:val="24"/>
                <w:szCs w:val="24"/>
              </w:rPr>
            </w:pPr>
          </w:p>
        </w:tc>
        <w:tc>
          <w:tcPr>
            <w:tcW w:w="4485" w:type="dxa"/>
          </w:tcPr>
          <w:p w14:paraId="71C56CF4" w14:textId="77777777" w:rsidR="008275AC" w:rsidRPr="008275AC" w:rsidRDefault="008275AC" w:rsidP="00ED3A6C">
            <w:pPr>
              <w:spacing w:after="120"/>
              <w:jc w:val="both"/>
              <w:rPr>
                <w:rFonts w:ascii="Georgia" w:hAnsi="Georgia" w:cs="Times New Roman"/>
                <w:color w:val="000000"/>
                <w:sz w:val="24"/>
                <w:szCs w:val="24"/>
              </w:rPr>
            </w:pPr>
          </w:p>
        </w:tc>
      </w:tr>
      <w:tr w:rsidR="008275AC" w14:paraId="03C04DE6" w14:textId="77777777" w:rsidTr="008275AC">
        <w:tc>
          <w:tcPr>
            <w:tcW w:w="2520" w:type="dxa"/>
          </w:tcPr>
          <w:p w14:paraId="7F88D502" w14:textId="77777777" w:rsidR="008275AC" w:rsidRPr="008275AC" w:rsidRDefault="008275AC" w:rsidP="00ED3A6C">
            <w:pPr>
              <w:spacing w:after="120"/>
              <w:jc w:val="both"/>
              <w:rPr>
                <w:rFonts w:ascii="Georgia" w:hAnsi="Georgia" w:cs="Times New Roman"/>
                <w:color w:val="000000"/>
                <w:sz w:val="24"/>
                <w:szCs w:val="24"/>
              </w:rPr>
            </w:pPr>
          </w:p>
        </w:tc>
        <w:tc>
          <w:tcPr>
            <w:tcW w:w="2880" w:type="dxa"/>
          </w:tcPr>
          <w:p w14:paraId="06109B27" w14:textId="77777777" w:rsidR="008275AC" w:rsidRDefault="008275AC" w:rsidP="00ED3A6C">
            <w:pPr>
              <w:spacing w:after="120"/>
              <w:jc w:val="both"/>
              <w:rPr>
                <w:rFonts w:ascii="Georgia" w:hAnsi="Georgia" w:cs="Times New Roman"/>
                <w:color w:val="000000"/>
                <w:sz w:val="24"/>
                <w:szCs w:val="24"/>
              </w:rPr>
            </w:pPr>
          </w:p>
          <w:p w14:paraId="68E8EB61" w14:textId="77777777" w:rsidR="008275AC" w:rsidRDefault="008275AC" w:rsidP="00ED3A6C">
            <w:pPr>
              <w:spacing w:after="120"/>
              <w:jc w:val="both"/>
              <w:rPr>
                <w:rFonts w:ascii="Georgia" w:hAnsi="Georgia" w:cs="Times New Roman"/>
                <w:color w:val="000000"/>
                <w:sz w:val="24"/>
                <w:szCs w:val="24"/>
              </w:rPr>
            </w:pPr>
          </w:p>
          <w:p w14:paraId="1CB76871" w14:textId="77777777" w:rsidR="008275AC" w:rsidRDefault="008275AC" w:rsidP="00ED3A6C">
            <w:pPr>
              <w:spacing w:after="120"/>
              <w:jc w:val="both"/>
              <w:rPr>
                <w:rFonts w:ascii="Georgia" w:hAnsi="Georgia" w:cs="Times New Roman"/>
                <w:color w:val="000000"/>
                <w:sz w:val="24"/>
                <w:szCs w:val="24"/>
              </w:rPr>
            </w:pPr>
          </w:p>
          <w:p w14:paraId="3F6099C6" w14:textId="2CAA4F78" w:rsidR="008275AC" w:rsidRPr="008275AC" w:rsidRDefault="008275AC" w:rsidP="00ED3A6C">
            <w:pPr>
              <w:spacing w:after="120"/>
              <w:jc w:val="both"/>
              <w:rPr>
                <w:rFonts w:ascii="Georgia" w:hAnsi="Georgia" w:cs="Times New Roman"/>
                <w:color w:val="000000"/>
                <w:sz w:val="24"/>
                <w:szCs w:val="24"/>
              </w:rPr>
            </w:pPr>
          </w:p>
        </w:tc>
        <w:tc>
          <w:tcPr>
            <w:tcW w:w="4485" w:type="dxa"/>
          </w:tcPr>
          <w:p w14:paraId="77F81811" w14:textId="77777777" w:rsidR="008275AC" w:rsidRPr="008275AC" w:rsidRDefault="008275AC" w:rsidP="00ED3A6C">
            <w:pPr>
              <w:spacing w:after="120"/>
              <w:jc w:val="both"/>
              <w:rPr>
                <w:rFonts w:ascii="Georgia" w:hAnsi="Georgia" w:cs="Times New Roman"/>
                <w:color w:val="000000"/>
                <w:sz w:val="24"/>
                <w:szCs w:val="24"/>
              </w:rPr>
            </w:pPr>
          </w:p>
        </w:tc>
      </w:tr>
      <w:tr w:rsidR="008275AC" w14:paraId="30D2A129" w14:textId="77777777" w:rsidTr="008275AC">
        <w:tc>
          <w:tcPr>
            <w:tcW w:w="2520" w:type="dxa"/>
          </w:tcPr>
          <w:p w14:paraId="03791EA4" w14:textId="77777777" w:rsidR="008275AC" w:rsidRPr="008275AC" w:rsidRDefault="008275AC" w:rsidP="00ED3A6C">
            <w:pPr>
              <w:spacing w:after="120"/>
              <w:jc w:val="both"/>
              <w:rPr>
                <w:rFonts w:ascii="Georgia" w:hAnsi="Georgia" w:cs="Times New Roman"/>
                <w:color w:val="000000"/>
                <w:sz w:val="24"/>
                <w:szCs w:val="24"/>
              </w:rPr>
            </w:pPr>
          </w:p>
        </w:tc>
        <w:tc>
          <w:tcPr>
            <w:tcW w:w="2880" w:type="dxa"/>
          </w:tcPr>
          <w:p w14:paraId="5F1DB559" w14:textId="77777777" w:rsidR="008275AC" w:rsidRDefault="008275AC" w:rsidP="00ED3A6C">
            <w:pPr>
              <w:spacing w:after="120"/>
              <w:jc w:val="both"/>
              <w:rPr>
                <w:rFonts w:ascii="Georgia" w:hAnsi="Georgia" w:cs="Times New Roman"/>
                <w:color w:val="000000"/>
                <w:sz w:val="24"/>
                <w:szCs w:val="24"/>
              </w:rPr>
            </w:pPr>
          </w:p>
          <w:p w14:paraId="06E428D5" w14:textId="77777777" w:rsidR="008275AC" w:rsidRDefault="008275AC" w:rsidP="00ED3A6C">
            <w:pPr>
              <w:spacing w:after="120"/>
              <w:jc w:val="both"/>
              <w:rPr>
                <w:rFonts w:ascii="Georgia" w:hAnsi="Georgia" w:cs="Times New Roman"/>
                <w:color w:val="000000"/>
                <w:sz w:val="24"/>
                <w:szCs w:val="24"/>
              </w:rPr>
            </w:pPr>
          </w:p>
          <w:p w14:paraId="589921E3" w14:textId="05FAF05F" w:rsidR="008275AC" w:rsidRPr="008275AC" w:rsidRDefault="008275AC" w:rsidP="00ED3A6C">
            <w:pPr>
              <w:spacing w:after="120"/>
              <w:jc w:val="both"/>
              <w:rPr>
                <w:rFonts w:ascii="Georgia" w:hAnsi="Georgia" w:cs="Times New Roman"/>
                <w:color w:val="000000"/>
                <w:sz w:val="24"/>
                <w:szCs w:val="24"/>
              </w:rPr>
            </w:pPr>
          </w:p>
        </w:tc>
        <w:tc>
          <w:tcPr>
            <w:tcW w:w="4485" w:type="dxa"/>
          </w:tcPr>
          <w:p w14:paraId="05B5F708" w14:textId="77777777" w:rsidR="008275AC" w:rsidRPr="008275AC" w:rsidRDefault="008275AC" w:rsidP="00ED3A6C">
            <w:pPr>
              <w:spacing w:after="120"/>
              <w:jc w:val="both"/>
              <w:rPr>
                <w:rFonts w:ascii="Georgia" w:hAnsi="Georgia" w:cs="Times New Roman"/>
                <w:color w:val="000000"/>
                <w:sz w:val="24"/>
                <w:szCs w:val="24"/>
              </w:rPr>
            </w:pPr>
          </w:p>
        </w:tc>
      </w:tr>
      <w:tr w:rsidR="008275AC" w14:paraId="3495F79A" w14:textId="77777777" w:rsidTr="008275AC">
        <w:tc>
          <w:tcPr>
            <w:tcW w:w="2520" w:type="dxa"/>
          </w:tcPr>
          <w:p w14:paraId="1B7D5EAA" w14:textId="77777777" w:rsidR="008275AC" w:rsidRPr="008275AC" w:rsidRDefault="008275AC" w:rsidP="00ED3A6C">
            <w:pPr>
              <w:spacing w:after="120"/>
              <w:jc w:val="both"/>
              <w:rPr>
                <w:rFonts w:ascii="Georgia" w:hAnsi="Georgia" w:cs="Times New Roman"/>
                <w:color w:val="000000"/>
                <w:sz w:val="24"/>
                <w:szCs w:val="24"/>
              </w:rPr>
            </w:pPr>
          </w:p>
        </w:tc>
        <w:tc>
          <w:tcPr>
            <w:tcW w:w="2880" w:type="dxa"/>
          </w:tcPr>
          <w:p w14:paraId="43DB9ED5" w14:textId="77777777" w:rsidR="008275AC" w:rsidRDefault="008275AC" w:rsidP="00ED3A6C">
            <w:pPr>
              <w:spacing w:after="120"/>
              <w:jc w:val="both"/>
              <w:rPr>
                <w:rFonts w:ascii="Georgia" w:hAnsi="Georgia" w:cs="Times New Roman"/>
                <w:color w:val="000000"/>
                <w:sz w:val="24"/>
                <w:szCs w:val="24"/>
              </w:rPr>
            </w:pPr>
          </w:p>
          <w:p w14:paraId="1E33761E" w14:textId="77777777" w:rsidR="008275AC" w:rsidRDefault="008275AC" w:rsidP="00ED3A6C">
            <w:pPr>
              <w:spacing w:after="120"/>
              <w:jc w:val="both"/>
              <w:rPr>
                <w:rFonts w:ascii="Georgia" w:hAnsi="Georgia" w:cs="Times New Roman"/>
                <w:color w:val="000000"/>
                <w:sz w:val="24"/>
                <w:szCs w:val="24"/>
              </w:rPr>
            </w:pPr>
          </w:p>
          <w:p w14:paraId="33A55F26" w14:textId="3A13A1D0" w:rsidR="008275AC" w:rsidRPr="008275AC" w:rsidRDefault="008275AC" w:rsidP="00ED3A6C">
            <w:pPr>
              <w:spacing w:after="120"/>
              <w:jc w:val="both"/>
              <w:rPr>
                <w:rFonts w:ascii="Georgia" w:hAnsi="Georgia" w:cs="Times New Roman"/>
                <w:color w:val="000000"/>
                <w:sz w:val="24"/>
                <w:szCs w:val="24"/>
              </w:rPr>
            </w:pPr>
          </w:p>
        </w:tc>
        <w:tc>
          <w:tcPr>
            <w:tcW w:w="4485" w:type="dxa"/>
          </w:tcPr>
          <w:p w14:paraId="6A4001E7" w14:textId="77777777" w:rsidR="008275AC" w:rsidRPr="008275AC" w:rsidRDefault="008275AC" w:rsidP="00ED3A6C">
            <w:pPr>
              <w:spacing w:after="120"/>
              <w:jc w:val="both"/>
              <w:rPr>
                <w:rFonts w:ascii="Georgia" w:hAnsi="Georgia" w:cs="Times New Roman"/>
                <w:color w:val="000000"/>
                <w:sz w:val="24"/>
                <w:szCs w:val="24"/>
              </w:rPr>
            </w:pPr>
          </w:p>
        </w:tc>
      </w:tr>
    </w:tbl>
    <w:p w14:paraId="4A9636AC" w14:textId="2CA5EC5A" w:rsidR="001D724C" w:rsidRDefault="001D724C" w:rsidP="00ED3A6C">
      <w:pPr>
        <w:spacing w:after="120" w:line="240" w:lineRule="auto"/>
        <w:ind w:left="284" w:hanging="284"/>
        <w:jc w:val="both"/>
        <w:rPr>
          <w:rFonts w:ascii="Times New Roman" w:hAnsi="Times New Roman" w:cs="Times New Roman"/>
          <w:color w:val="000000"/>
          <w:sz w:val="20"/>
          <w:szCs w:val="20"/>
        </w:rPr>
      </w:pPr>
    </w:p>
    <w:p w14:paraId="746914EE" w14:textId="77777777" w:rsidR="001D724C" w:rsidRDefault="001D724C">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18B68200" w14:textId="175B40BE" w:rsidR="00055820" w:rsidRDefault="001D724C" w:rsidP="001D724C">
      <w:pPr>
        <w:pStyle w:val="Heading1"/>
        <w:spacing w:before="0" w:after="120" w:line="240" w:lineRule="auto"/>
        <w:rPr>
          <w:rFonts w:ascii="Georgia" w:hAnsi="Georgia" w:cs="Times New Roman"/>
          <w:b/>
          <w:bCs/>
          <w:color w:val="auto"/>
        </w:rPr>
      </w:pPr>
      <w:bookmarkStart w:id="94" w:name="_Toc145928794"/>
      <w:r>
        <w:rPr>
          <w:rFonts w:ascii="Georgia" w:hAnsi="Georgia" w:cs="Times New Roman"/>
          <w:b/>
          <w:bCs/>
          <w:color w:val="auto"/>
        </w:rPr>
        <w:t xml:space="preserve">List of Partners: </w:t>
      </w:r>
      <w:r w:rsidRPr="001D724C">
        <w:rPr>
          <w:rFonts w:ascii="Georgia" w:hAnsi="Georgia" w:cs="Times New Roman"/>
          <w:b/>
          <w:bCs/>
          <w:color w:val="auto"/>
        </w:rPr>
        <w:t xml:space="preserve"> Consultative Meeting held on 22 September 2023, Nairobi</w:t>
      </w:r>
      <w:bookmarkEnd w:id="94"/>
    </w:p>
    <w:p w14:paraId="22CF8980" w14:textId="52A9811E" w:rsidR="00374188" w:rsidRDefault="00374188">
      <w:r>
        <w:br w:type="page"/>
      </w:r>
    </w:p>
    <w:p w14:paraId="11E965DD" w14:textId="3F208776" w:rsidR="00374188" w:rsidRDefault="00374188" w:rsidP="00374188">
      <w:pPr>
        <w:pStyle w:val="Heading1"/>
        <w:spacing w:before="0" w:after="120" w:line="240" w:lineRule="auto"/>
        <w:rPr>
          <w:rFonts w:ascii="Georgia" w:hAnsi="Georgia" w:cs="Times New Roman"/>
          <w:b/>
          <w:bCs/>
          <w:color w:val="auto"/>
        </w:rPr>
      </w:pPr>
      <w:bookmarkStart w:id="95" w:name="_Toc145928795"/>
      <w:r w:rsidRPr="00374188">
        <w:rPr>
          <w:rFonts w:ascii="Georgia" w:hAnsi="Georgia" w:cs="Times New Roman"/>
          <w:b/>
          <w:bCs/>
          <w:color w:val="auto"/>
        </w:rPr>
        <w:t xml:space="preserve">Concept Note: </w:t>
      </w:r>
      <w:r w:rsidR="0078248E" w:rsidRPr="00374188">
        <w:rPr>
          <w:rFonts w:ascii="Georgia" w:hAnsi="Georgia" w:cs="Times New Roman"/>
          <w:b/>
          <w:bCs/>
          <w:color w:val="auto"/>
        </w:rPr>
        <w:t>The Consultative</w:t>
      </w:r>
      <w:r w:rsidRPr="00374188">
        <w:rPr>
          <w:rFonts w:ascii="Georgia" w:hAnsi="Georgia" w:cs="Times New Roman"/>
          <w:b/>
          <w:bCs/>
          <w:color w:val="auto"/>
        </w:rPr>
        <w:t xml:space="preserve"> Meeting</w:t>
      </w:r>
      <w:bookmarkEnd w:id="95"/>
    </w:p>
    <w:p w14:paraId="4F63A267" w14:textId="77777777" w:rsidR="00701592" w:rsidRPr="00701592" w:rsidRDefault="00701592" w:rsidP="00701592">
      <w:pPr>
        <w:rPr>
          <w:rFonts w:ascii="Georgia" w:hAnsi="Georgia" w:cstheme="minorHAnsi"/>
          <w:sz w:val="24"/>
          <w:szCs w:val="24"/>
        </w:rPr>
      </w:pPr>
      <w:r w:rsidRPr="00701592">
        <w:rPr>
          <w:rFonts w:ascii="Georgia" w:hAnsi="Georgia" w:cs="Arial"/>
          <w:b/>
          <w:noProof/>
          <w:sz w:val="28"/>
          <w:szCs w:val="28"/>
          <w:lang w:val="en-US"/>
        </w:rPr>
        <mc:AlternateContent>
          <mc:Choice Requires="wpg">
            <w:drawing>
              <wp:anchor distT="0" distB="0" distL="114300" distR="114300" simplePos="0" relativeHeight="251670538" behindDoc="0" locked="0" layoutInCell="1" allowOverlap="1" wp14:anchorId="4F6FA0C8" wp14:editId="0877ED07">
                <wp:simplePos x="0" y="0"/>
                <wp:positionH relativeFrom="margin">
                  <wp:posOffset>-70126</wp:posOffset>
                </wp:positionH>
                <wp:positionV relativeFrom="paragraph">
                  <wp:posOffset>-105106</wp:posOffset>
                </wp:positionV>
                <wp:extent cx="2406650" cy="666750"/>
                <wp:effectExtent l="0" t="0" r="0" b="0"/>
                <wp:wrapNone/>
                <wp:docPr id="19" name="Group 19"/>
                <wp:cNvGraphicFramePr/>
                <a:graphic xmlns:a="http://schemas.openxmlformats.org/drawingml/2006/main">
                  <a:graphicData uri="http://schemas.microsoft.com/office/word/2010/wordprocessingGroup">
                    <wpg:wgp>
                      <wpg:cNvGrpSpPr/>
                      <wpg:grpSpPr>
                        <a:xfrm>
                          <a:off x="0" y="0"/>
                          <a:ext cx="2406650" cy="666750"/>
                          <a:chOff x="0" y="0"/>
                          <a:chExt cx="2877185" cy="850900"/>
                        </a:xfrm>
                      </wpg:grpSpPr>
                      <pic:pic xmlns:pic="http://schemas.openxmlformats.org/drawingml/2006/picture">
                        <pic:nvPicPr>
                          <pic:cNvPr id="219" name="Picture 219"/>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1003300" y="115916"/>
                            <a:ext cx="1873885" cy="734984"/>
                          </a:xfrm>
                          <a:prstGeom prst="rect">
                            <a:avLst/>
                          </a:prstGeom>
                          <a:noFill/>
                        </pic:spPr>
                      </pic:pic>
                      <pic:pic xmlns:pic="http://schemas.openxmlformats.org/drawingml/2006/picture">
                        <pic:nvPicPr>
                          <pic:cNvPr id="220" name="Picture 220"/>
                          <pic:cNvPicPr>
                            <a:picLocks noChangeAspect="1"/>
                          </pic:cNvPicPr>
                        </pic:nvPicPr>
                        <pic:blipFill rotWithShape="1">
                          <a:blip r:embed="rId75" cstate="print">
                            <a:extLst>
                              <a:ext uri="{28A0092B-C50C-407E-A947-70E740481C1C}">
                                <a14:useLocalDpi xmlns:a14="http://schemas.microsoft.com/office/drawing/2010/main" val="0"/>
                              </a:ext>
                            </a:extLst>
                          </a:blip>
                          <a:srcRect l="30800" t="25223" r="29426" b="25270"/>
                          <a:stretch/>
                        </pic:blipFill>
                        <pic:spPr bwMode="auto">
                          <a:xfrm>
                            <a:off x="0" y="0"/>
                            <a:ext cx="966470" cy="850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D221F9" id="Group 19" o:spid="_x0000_s1026" style="position:absolute;margin-left:-5.5pt;margin-top:-8.3pt;width:189.5pt;height:52.5pt;z-index:251670538;mso-position-horizontal-relative:margin;mso-width-relative:margin;mso-height-relative:margin" coordsize="28771,85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7" type="#_x0000_t75" style="position:absolute;left:10033;top:1159;width:18738;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">
                  <v:imagedata r:id="rId76" o:title=""/>
                  <v:path arrowok="t"/>
                </v:shape>
                <v:shape id="Picture 220" o:spid="_x0000_s1028" type="#_x0000_t75" style="position:absolute;width:9664;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">
                  <v:imagedata r:id="rId77" o:title="" croptop="16530f" cropbottom="16561f" cropleft="20185f" cropright="19285f"/>
                  <v:path arrowok="t"/>
                </v:shape>
                <w10:wrap anchorx="margin"/>
              </v:group>
            </w:pict>
          </mc:Fallback>
        </mc:AlternateContent>
      </w:r>
      <w:r w:rsidRPr="00701592">
        <w:rPr>
          <w:rFonts w:ascii="Georgia" w:hAnsi="Georgia" w:cs="Arial"/>
          <w:b/>
          <w:noProof/>
          <w:sz w:val="28"/>
          <w:szCs w:val="28"/>
          <w:lang w:val="en-US"/>
        </w:rPr>
        <w:drawing>
          <wp:anchor distT="0" distB="0" distL="114300" distR="114300" simplePos="0" relativeHeight="251671562" behindDoc="0" locked="0" layoutInCell="1" allowOverlap="1" wp14:anchorId="7BCCED3F" wp14:editId="6D739456">
            <wp:simplePos x="0" y="0"/>
            <wp:positionH relativeFrom="margin">
              <wp:posOffset>3225248</wp:posOffset>
            </wp:positionH>
            <wp:positionV relativeFrom="paragraph">
              <wp:posOffset>-4914</wp:posOffset>
            </wp:positionV>
            <wp:extent cx="3104510" cy="628650"/>
            <wp:effectExtent l="0" t="0" r="127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C + GIZ logos.jpg"/>
                    <pic:cNvPicPr/>
                  </pic:nvPicPr>
                  <pic:blipFill rotWithShape="1">
                    <a:blip r:embed="rId78" cstate="print">
                      <a:extLst>
                        <a:ext uri="{28A0092B-C50C-407E-A947-70E740481C1C}">
                          <a14:useLocalDpi xmlns:a14="http://schemas.microsoft.com/office/drawing/2010/main" val="0"/>
                        </a:ext>
                      </a:extLst>
                    </a:blip>
                    <a:srcRect l="7977" t="17786" r="8819" b="21231"/>
                    <a:stretch/>
                  </pic:blipFill>
                  <pic:spPr bwMode="auto">
                    <a:xfrm>
                      <a:off x="0" y="0"/>
                      <a:ext cx="310451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5A388A" w14:textId="77777777" w:rsidR="00701592" w:rsidRPr="00701592" w:rsidRDefault="00701592" w:rsidP="00701592">
      <w:pPr>
        <w:jc w:val="center"/>
        <w:rPr>
          <w:rFonts w:ascii="Georgia" w:hAnsi="Georgia" w:cstheme="minorHAnsi"/>
          <w:sz w:val="24"/>
          <w:szCs w:val="24"/>
        </w:rPr>
      </w:pPr>
    </w:p>
    <w:p w14:paraId="6C37C7EB" w14:textId="77777777" w:rsidR="00701592" w:rsidRPr="00701592" w:rsidRDefault="00701592" w:rsidP="00701592">
      <w:pPr>
        <w:jc w:val="center"/>
        <w:rPr>
          <w:rFonts w:ascii="Georgia" w:hAnsi="Georgia" w:cstheme="minorHAnsi"/>
          <w:sz w:val="24"/>
          <w:szCs w:val="24"/>
        </w:rPr>
      </w:pPr>
    </w:p>
    <w:p w14:paraId="32FD6EA5" w14:textId="77777777" w:rsidR="00701592" w:rsidRPr="00701592" w:rsidRDefault="00701592" w:rsidP="00701592">
      <w:pPr>
        <w:jc w:val="center"/>
        <w:rPr>
          <w:rFonts w:ascii="Georgia" w:hAnsi="Georgia" w:cstheme="minorHAnsi"/>
          <w:b/>
          <w:sz w:val="24"/>
          <w:szCs w:val="24"/>
        </w:rPr>
      </w:pPr>
      <w:r w:rsidRPr="00701592">
        <w:rPr>
          <w:rFonts w:ascii="Georgia" w:hAnsi="Georgia" w:cstheme="minorHAnsi"/>
          <w:b/>
          <w:sz w:val="24"/>
          <w:szCs w:val="24"/>
        </w:rPr>
        <w:t>CONCEPT PAPER</w:t>
      </w:r>
    </w:p>
    <w:p w14:paraId="3F8A758D" w14:textId="19B30585" w:rsidR="00701592" w:rsidRPr="00701592" w:rsidRDefault="00701592" w:rsidP="00701592">
      <w:pPr>
        <w:pBdr>
          <w:bottom w:val="single" w:sz="4" w:space="1" w:color="auto"/>
        </w:pBdr>
        <w:jc w:val="center"/>
        <w:rPr>
          <w:rFonts w:ascii="Georgia" w:hAnsi="Georgia" w:cstheme="minorHAnsi"/>
          <w:b/>
          <w:sz w:val="24"/>
          <w:szCs w:val="24"/>
        </w:rPr>
      </w:pPr>
      <w:r>
        <w:rPr>
          <w:rFonts w:ascii="Georgia" w:hAnsi="Georgia" w:cstheme="minorHAnsi"/>
          <w:b/>
          <w:sz w:val="24"/>
          <w:szCs w:val="24"/>
        </w:rPr>
        <w:t xml:space="preserve">PRESENTATION OF THE </w:t>
      </w:r>
      <w:r w:rsidRPr="00701592">
        <w:rPr>
          <w:rFonts w:ascii="Georgia" w:hAnsi="Georgia" w:cstheme="minorHAnsi"/>
          <w:b/>
          <w:sz w:val="24"/>
          <w:szCs w:val="24"/>
        </w:rPr>
        <w:t>INEQUALITY DIAGNOSTIC STUDY, KENYA</w:t>
      </w:r>
      <w:r>
        <w:rPr>
          <w:rFonts w:ascii="Georgia" w:hAnsi="Georgia" w:cstheme="minorHAnsi"/>
          <w:b/>
          <w:sz w:val="24"/>
          <w:szCs w:val="24"/>
        </w:rPr>
        <w:t>, 2023</w:t>
      </w:r>
    </w:p>
    <w:p w14:paraId="3DCC723F" w14:textId="77777777" w:rsidR="00701592" w:rsidRPr="00701592" w:rsidRDefault="00701592" w:rsidP="00701592">
      <w:pPr>
        <w:rPr>
          <w:rFonts w:ascii="Georgia" w:hAnsi="Georgia" w:cstheme="minorHAnsi"/>
          <w:b/>
          <w:sz w:val="24"/>
          <w:szCs w:val="24"/>
        </w:rPr>
      </w:pPr>
      <w:r w:rsidRPr="00701592">
        <w:rPr>
          <w:rFonts w:ascii="Georgia" w:hAnsi="Georgia" w:cstheme="minorHAnsi"/>
          <w:b/>
          <w:sz w:val="24"/>
          <w:szCs w:val="24"/>
        </w:rPr>
        <w:t xml:space="preserve">1.0 Introduction </w:t>
      </w:r>
    </w:p>
    <w:p w14:paraId="6747B46D" w14:textId="77777777" w:rsidR="00701592" w:rsidRPr="00701592" w:rsidRDefault="00701592" w:rsidP="00701592">
      <w:pPr>
        <w:spacing w:after="60" w:line="240" w:lineRule="auto"/>
        <w:jc w:val="both"/>
        <w:rPr>
          <w:rFonts w:ascii="Georgia" w:hAnsi="Georgia"/>
          <w:sz w:val="24"/>
          <w:szCs w:val="24"/>
          <w:lang w:val="en-US"/>
        </w:rPr>
      </w:pPr>
      <w:r w:rsidRPr="00701592">
        <w:rPr>
          <w:rFonts w:ascii="Georgia" w:hAnsi="Georgia"/>
          <w:sz w:val="24"/>
          <w:szCs w:val="24"/>
          <w:lang w:val="en-US"/>
        </w:rPr>
        <w:t>The National Gender and Equality Commission (NGEC) is a Constitutional Commission established by the National Gender and Equality Commission Act, No. 15 of 2011, pursuant to Article 59 (4) &amp; (5) of the Constitution of Kenya, 2010.  The Commission’s overall mandate is to promote gender equality and freedom from discrimination for all people in Kenya with a specific focus on special interest groups, which include women, children, youth, persons with disabilities (PWDs), older members of society, minorities and marginalized groups.</w:t>
      </w:r>
    </w:p>
    <w:p w14:paraId="44E195C2" w14:textId="77777777" w:rsidR="00701592" w:rsidRPr="00701592" w:rsidRDefault="00701592" w:rsidP="00701592">
      <w:pPr>
        <w:spacing w:after="60" w:line="240" w:lineRule="auto"/>
        <w:jc w:val="both"/>
        <w:rPr>
          <w:rFonts w:ascii="Georgia" w:hAnsi="Georgia"/>
          <w:sz w:val="24"/>
          <w:szCs w:val="24"/>
          <w:lang w:val="en-US"/>
        </w:rPr>
      </w:pPr>
    </w:p>
    <w:p w14:paraId="1D3B1D5A" w14:textId="77777777" w:rsidR="00701592" w:rsidRPr="00701592" w:rsidRDefault="00701592" w:rsidP="00701592">
      <w:pPr>
        <w:spacing w:after="60" w:line="240" w:lineRule="auto"/>
        <w:jc w:val="both"/>
        <w:rPr>
          <w:rFonts w:ascii="Georgia" w:hAnsi="Georgia" w:cstheme="minorHAnsi"/>
          <w:sz w:val="24"/>
          <w:szCs w:val="24"/>
        </w:rPr>
      </w:pPr>
      <w:r w:rsidRPr="00701592">
        <w:rPr>
          <w:rFonts w:ascii="Georgia" w:hAnsi="Georgia" w:cstheme="minorHAnsi"/>
          <w:sz w:val="24"/>
          <w:szCs w:val="24"/>
        </w:rPr>
        <w:t>Deutsche Gesellschaft für Internationale Zusammenarbeit (GIZ) GmbH, which translates to the German Corporation for International Cooperation in English, is a German government-owned development agency. GIZ is headquartered in Bonn, Germany, and it operates worldwide. It is one of the largest international development organization globally and contributes to global efforts to address some of the most pressing global challenges, including poverty, inequality, and climate change. Its work is guided by the principles of effectiveness, sustainability, partnership and leaving no one behind.</w:t>
      </w:r>
    </w:p>
    <w:p w14:paraId="7FE1D26B" w14:textId="77777777" w:rsidR="00701592" w:rsidRPr="00701592" w:rsidRDefault="00701592" w:rsidP="00701592">
      <w:pPr>
        <w:spacing w:after="60" w:line="240" w:lineRule="auto"/>
        <w:jc w:val="both"/>
        <w:rPr>
          <w:rFonts w:ascii="Georgia" w:hAnsi="Georgia" w:cstheme="minorHAnsi"/>
          <w:sz w:val="24"/>
          <w:szCs w:val="24"/>
        </w:rPr>
      </w:pPr>
    </w:p>
    <w:p w14:paraId="15525314" w14:textId="77777777" w:rsidR="00701592" w:rsidRPr="00701592" w:rsidRDefault="00701592" w:rsidP="00701592">
      <w:pPr>
        <w:rPr>
          <w:rFonts w:ascii="Georgia" w:hAnsi="Georgia" w:cstheme="minorHAnsi"/>
          <w:sz w:val="24"/>
          <w:szCs w:val="24"/>
        </w:rPr>
      </w:pPr>
      <w:r w:rsidRPr="00701592">
        <w:rPr>
          <w:rFonts w:ascii="Georgia" w:hAnsi="Georgia" w:cstheme="minorHAnsi"/>
          <w:sz w:val="24"/>
          <w:szCs w:val="24"/>
        </w:rPr>
        <w:t>GIZ and NGEC collaborated to undertake an inequality diagnostic study focusing on the socio-economic landscape in Kenya.</w:t>
      </w:r>
    </w:p>
    <w:p w14:paraId="1249D1A7" w14:textId="77777777" w:rsidR="00701592" w:rsidRPr="00701592" w:rsidRDefault="00701592" w:rsidP="00701592">
      <w:pPr>
        <w:rPr>
          <w:rFonts w:ascii="Georgia" w:hAnsi="Georgia" w:cstheme="minorHAnsi"/>
          <w:b/>
          <w:sz w:val="24"/>
          <w:szCs w:val="24"/>
        </w:rPr>
      </w:pPr>
      <w:r w:rsidRPr="00701592">
        <w:rPr>
          <w:rFonts w:ascii="Georgia" w:hAnsi="Georgia" w:cstheme="minorHAnsi"/>
          <w:b/>
          <w:sz w:val="24"/>
          <w:szCs w:val="24"/>
        </w:rPr>
        <w:t>1.1 Context</w:t>
      </w:r>
    </w:p>
    <w:p w14:paraId="34FCADAA" w14:textId="77777777" w:rsidR="00701592" w:rsidRPr="00701592" w:rsidRDefault="00701592" w:rsidP="00701592">
      <w:pPr>
        <w:spacing w:after="60" w:line="240" w:lineRule="auto"/>
        <w:jc w:val="both"/>
        <w:rPr>
          <w:rFonts w:ascii="Georgia" w:hAnsi="Georgia"/>
          <w:sz w:val="24"/>
          <w:szCs w:val="24"/>
          <w:lang w:val="en-US"/>
        </w:rPr>
      </w:pPr>
      <w:r w:rsidRPr="00701592">
        <w:rPr>
          <w:rFonts w:ascii="Georgia" w:hAnsi="Georgia"/>
          <w:sz w:val="24"/>
          <w:szCs w:val="24"/>
          <w:lang w:val="en-US"/>
        </w:rPr>
        <w:t xml:space="preserve">Inequality is a pervasive challenge that has far-reaching consequences and remains a significant obstacle to achieving sustainable development and prosperity for all. While the 21st century has witnessed a decline in global inequality, progress remains inconsistent at regional and national levels, and recent global events, such as the COVID-19 pandemic and geopolitical tensions, have threatened to reverse the gains.  Kenya is one of the countries in Africa that has moderately high levels of inequality. In East Africa, Kenya has the highest inequality compared with neighboring nations Uganda, Tanzania, and Ethiopia, but has a relatively lower inequality compared with South Africa, Namibia, Rwanda, and Nigeria, which are among the continent’s topmost unequal countries (KNBS 2020). There is an urgency to address inequality not only as a moral imperative but also as an essential element in achieving the Sustainable Development Goals (SDGs). </w:t>
      </w:r>
    </w:p>
    <w:p w14:paraId="5C9F1CDC" w14:textId="77777777" w:rsidR="00701592" w:rsidRPr="00701592" w:rsidRDefault="00701592" w:rsidP="00701592">
      <w:pPr>
        <w:spacing w:after="60" w:line="240" w:lineRule="auto"/>
        <w:jc w:val="both"/>
        <w:rPr>
          <w:rFonts w:ascii="Georgia" w:hAnsi="Georgia"/>
          <w:sz w:val="8"/>
          <w:szCs w:val="24"/>
          <w:lang w:val="en-US"/>
        </w:rPr>
      </w:pPr>
    </w:p>
    <w:p w14:paraId="5F231669" w14:textId="77777777" w:rsidR="00701592" w:rsidRPr="00701592" w:rsidRDefault="00701592" w:rsidP="00701592">
      <w:pPr>
        <w:spacing w:after="60" w:line="240" w:lineRule="auto"/>
        <w:jc w:val="both"/>
        <w:rPr>
          <w:rFonts w:ascii="Georgia" w:hAnsi="Georgia"/>
          <w:sz w:val="24"/>
          <w:szCs w:val="24"/>
          <w:lang w:val="en-US"/>
        </w:rPr>
      </w:pPr>
      <w:r w:rsidRPr="00701592">
        <w:rPr>
          <w:rFonts w:ascii="Georgia" w:hAnsi="Georgia"/>
          <w:sz w:val="24"/>
          <w:szCs w:val="24"/>
          <w:lang w:val="en-US"/>
        </w:rPr>
        <w:t>It is within this context, that Deutsche Gesellschaft für Internationale Zusammenarbeit (GIZ) and the National Gender and Equality Commission collaborated to undertake an inequality diagnostic study focusing on the socio-economic landscape. The diagnostic study provides a macroeconomic overview of Kenya’s major developments over the past decades in economic growth, poverty, and inequality. It examines causes and drivers of inequality, with a focus on labour labour labour market dynamics, taxation policies, social transfers, and gender inequalities. The report further scrutinizes national policies and strategies to assess the extent to which they address inequality, while also considering the strategies of international donors. It presents options for policies to address them.</w:t>
      </w:r>
    </w:p>
    <w:p w14:paraId="601FA8F6" w14:textId="77777777" w:rsidR="00701592" w:rsidRPr="00701592" w:rsidRDefault="00701592" w:rsidP="00701592">
      <w:pPr>
        <w:spacing w:after="60" w:line="240" w:lineRule="auto"/>
        <w:jc w:val="both"/>
        <w:rPr>
          <w:rFonts w:ascii="Georgia" w:hAnsi="Georgia"/>
          <w:sz w:val="10"/>
          <w:szCs w:val="24"/>
          <w:lang w:val="en-US"/>
        </w:rPr>
      </w:pPr>
    </w:p>
    <w:p w14:paraId="39A1D802" w14:textId="77777777" w:rsidR="00701592" w:rsidRPr="00701592" w:rsidRDefault="00701592" w:rsidP="00701592">
      <w:pPr>
        <w:spacing w:after="60" w:line="240" w:lineRule="auto"/>
        <w:jc w:val="both"/>
        <w:rPr>
          <w:rFonts w:ascii="Georgia" w:eastAsia="Times New Roman" w:hAnsi="Georgia" w:cs="Arial"/>
          <w:i/>
          <w:color w:val="212121"/>
          <w:sz w:val="24"/>
          <w:szCs w:val="24"/>
          <w:lang w:val="en-US"/>
        </w:rPr>
      </w:pPr>
      <w:r w:rsidRPr="00701592">
        <w:rPr>
          <w:rFonts w:ascii="Georgia" w:hAnsi="Georgia"/>
          <w:sz w:val="24"/>
          <w:szCs w:val="24"/>
          <w:lang w:val="en-US"/>
        </w:rPr>
        <w:t xml:space="preserve">The report has been finalized in readiness for validation by various stakeholders. </w:t>
      </w:r>
      <w:r w:rsidRPr="00701592">
        <w:rPr>
          <w:rFonts w:ascii="Georgia" w:hAnsi="Georgia" w:cstheme="minorHAnsi"/>
          <w:sz w:val="24"/>
          <w:szCs w:val="24"/>
        </w:rPr>
        <w:t xml:space="preserve">The validation meeting will be organized by NGEC in collaboration with </w:t>
      </w:r>
      <w:r w:rsidRPr="00701592">
        <w:rPr>
          <w:rFonts w:ascii="Georgia" w:eastAsia="Times New Roman" w:hAnsi="Georgia" w:cs="Arial"/>
          <w:i/>
          <w:color w:val="212121"/>
          <w:sz w:val="24"/>
          <w:szCs w:val="24"/>
          <w:lang w:val="en-US"/>
        </w:rPr>
        <w:t>Deutsche Gesellschaft für Internationale Zusammenarbeit (GIZ) GmbH.</w:t>
      </w:r>
    </w:p>
    <w:p w14:paraId="10E89B1F" w14:textId="77777777" w:rsidR="00701592" w:rsidRPr="00701592" w:rsidRDefault="00701592" w:rsidP="00701592">
      <w:pPr>
        <w:spacing w:after="60" w:line="240" w:lineRule="auto"/>
        <w:jc w:val="both"/>
        <w:rPr>
          <w:rFonts w:ascii="Georgia" w:eastAsia="Times New Roman" w:hAnsi="Georgia" w:cs="Arial"/>
          <w:color w:val="212121"/>
          <w:sz w:val="24"/>
          <w:szCs w:val="24"/>
          <w:lang w:val="en-US"/>
        </w:rPr>
      </w:pPr>
    </w:p>
    <w:p w14:paraId="4693B84C" w14:textId="1297DA3A" w:rsidR="00701592" w:rsidRPr="00701592" w:rsidRDefault="00701592" w:rsidP="00701592">
      <w:pPr>
        <w:spacing w:after="60" w:line="240" w:lineRule="auto"/>
        <w:jc w:val="both"/>
        <w:rPr>
          <w:rFonts w:ascii="Georgia" w:eastAsia="Times New Roman" w:hAnsi="Georgia" w:cs="Arial"/>
          <w:b/>
          <w:color w:val="212121"/>
          <w:sz w:val="24"/>
          <w:szCs w:val="24"/>
          <w:lang w:val="en-US"/>
        </w:rPr>
      </w:pPr>
      <w:r w:rsidRPr="00701592">
        <w:rPr>
          <w:rFonts w:ascii="Georgia" w:eastAsia="Times New Roman" w:hAnsi="Georgia" w:cs="Arial"/>
          <w:b/>
          <w:color w:val="212121"/>
          <w:sz w:val="24"/>
          <w:szCs w:val="24"/>
          <w:lang w:val="en-US"/>
        </w:rPr>
        <w:t xml:space="preserve">2.0 </w:t>
      </w:r>
      <w:r>
        <w:rPr>
          <w:rFonts w:ascii="Georgia" w:eastAsia="Times New Roman" w:hAnsi="Georgia" w:cs="Arial"/>
          <w:b/>
          <w:color w:val="212121"/>
          <w:sz w:val="24"/>
          <w:szCs w:val="24"/>
          <w:lang w:val="en-US"/>
        </w:rPr>
        <w:t>Presentation</w:t>
      </w:r>
      <w:r w:rsidRPr="00701592">
        <w:rPr>
          <w:rFonts w:ascii="Georgia" w:eastAsia="Times New Roman" w:hAnsi="Georgia" w:cs="Arial"/>
          <w:b/>
          <w:color w:val="212121"/>
          <w:sz w:val="24"/>
          <w:szCs w:val="24"/>
          <w:lang w:val="en-US"/>
        </w:rPr>
        <w:t xml:space="preserve"> Meeting</w:t>
      </w:r>
    </w:p>
    <w:p w14:paraId="2C1212C1" w14:textId="196DABA7" w:rsidR="00701592" w:rsidRPr="00701592" w:rsidRDefault="00701592" w:rsidP="00701592">
      <w:pPr>
        <w:spacing w:after="60" w:line="240" w:lineRule="auto"/>
        <w:jc w:val="both"/>
        <w:rPr>
          <w:rFonts w:ascii="Georgia" w:eastAsia="Times New Roman" w:hAnsi="Georgia" w:cs="Arial"/>
          <w:color w:val="212121"/>
          <w:sz w:val="24"/>
          <w:szCs w:val="24"/>
          <w:lang w:val="en-US"/>
        </w:rPr>
      </w:pPr>
      <w:r w:rsidRPr="00701592">
        <w:rPr>
          <w:rFonts w:ascii="Georgia" w:eastAsia="Times New Roman" w:hAnsi="Georgia" w:cs="Arial"/>
          <w:color w:val="212121"/>
          <w:sz w:val="24"/>
          <w:szCs w:val="24"/>
          <w:lang w:val="en-US"/>
        </w:rPr>
        <w:t xml:space="preserve"> The </w:t>
      </w:r>
      <w:r>
        <w:rPr>
          <w:rFonts w:ascii="Georgia" w:eastAsia="Times New Roman" w:hAnsi="Georgia" w:cs="Arial"/>
          <w:color w:val="212121"/>
          <w:sz w:val="24"/>
          <w:szCs w:val="24"/>
          <w:lang w:val="en-US"/>
        </w:rPr>
        <w:t xml:space="preserve">presentation </w:t>
      </w:r>
      <w:r w:rsidRPr="00701592">
        <w:rPr>
          <w:rFonts w:ascii="Georgia" w:eastAsia="Times New Roman" w:hAnsi="Georgia" w:cs="Arial"/>
          <w:color w:val="212121"/>
          <w:sz w:val="24"/>
          <w:szCs w:val="24"/>
          <w:lang w:val="en-US"/>
        </w:rPr>
        <w:t>meeting provides an opportunity to present the study's findings and analysis to relevant stakeholders and experts, gather feedback, and ensure the accuracy and reliability of the research.</w:t>
      </w:r>
    </w:p>
    <w:p w14:paraId="4C66331B" w14:textId="0CA051F9" w:rsidR="00701592" w:rsidRPr="00701592" w:rsidRDefault="00701592" w:rsidP="00701592">
      <w:pPr>
        <w:spacing w:after="60" w:line="240" w:lineRule="auto"/>
        <w:jc w:val="both"/>
        <w:rPr>
          <w:rFonts w:ascii="Georgia" w:hAnsi="Georgia" w:cstheme="minorHAnsi"/>
          <w:sz w:val="24"/>
          <w:szCs w:val="24"/>
        </w:rPr>
      </w:pPr>
      <w:r w:rsidRPr="00701592">
        <w:rPr>
          <w:rFonts w:ascii="Georgia" w:hAnsi="Georgia" w:cstheme="minorHAnsi"/>
          <w:sz w:val="24"/>
          <w:szCs w:val="24"/>
        </w:rPr>
        <w:t>The specific o</w:t>
      </w:r>
      <w:r>
        <w:rPr>
          <w:rFonts w:ascii="Georgia" w:hAnsi="Georgia" w:cstheme="minorHAnsi"/>
          <w:sz w:val="24"/>
          <w:szCs w:val="24"/>
        </w:rPr>
        <w:t xml:space="preserve">bjectives </w:t>
      </w:r>
      <w:r w:rsidRPr="00701592">
        <w:rPr>
          <w:rFonts w:ascii="Georgia" w:hAnsi="Georgia" w:cstheme="minorHAnsi"/>
          <w:sz w:val="24"/>
          <w:szCs w:val="24"/>
        </w:rPr>
        <w:t>are:</w:t>
      </w:r>
    </w:p>
    <w:p w14:paraId="07C3671B" w14:textId="77777777" w:rsidR="00701592" w:rsidRPr="00701592" w:rsidRDefault="00701592" w:rsidP="00701592">
      <w:pPr>
        <w:numPr>
          <w:ilvl w:val="0"/>
          <w:numId w:val="36"/>
        </w:numPr>
        <w:spacing w:after="60" w:line="240" w:lineRule="auto"/>
        <w:contextualSpacing/>
        <w:jc w:val="both"/>
        <w:rPr>
          <w:rFonts w:ascii="Georgia" w:hAnsi="Georgia" w:cstheme="minorHAnsi"/>
          <w:sz w:val="24"/>
          <w:szCs w:val="24"/>
        </w:rPr>
      </w:pPr>
      <w:r w:rsidRPr="00701592">
        <w:rPr>
          <w:rFonts w:ascii="Georgia" w:hAnsi="Georgia" w:cstheme="minorHAnsi"/>
          <w:sz w:val="24"/>
          <w:szCs w:val="24"/>
        </w:rPr>
        <w:t>To present the study's findings, including methodology and limitations, analysis, and policy options, to stakeholders and experts for their input.</w:t>
      </w:r>
    </w:p>
    <w:p w14:paraId="6E57378B" w14:textId="77777777" w:rsidR="00701592" w:rsidRPr="00701592" w:rsidRDefault="00701592" w:rsidP="00701592">
      <w:pPr>
        <w:numPr>
          <w:ilvl w:val="0"/>
          <w:numId w:val="36"/>
        </w:numPr>
        <w:spacing w:after="60" w:line="240" w:lineRule="auto"/>
        <w:contextualSpacing/>
        <w:jc w:val="both"/>
        <w:rPr>
          <w:rFonts w:ascii="Georgia" w:hAnsi="Georgia" w:cstheme="minorHAnsi"/>
          <w:sz w:val="24"/>
          <w:szCs w:val="24"/>
        </w:rPr>
      </w:pPr>
      <w:r w:rsidRPr="00701592">
        <w:rPr>
          <w:rFonts w:ascii="Georgia" w:hAnsi="Georgia" w:cstheme="minorHAnsi"/>
          <w:sz w:val="24"/>
          <w:szCs w:val="24"/>
        </w:rPr>
        <w:t>To collect feedback from stakeholders and experts to address any potential errors or biases in the study and improve the study's quality.</w:t>
      </w:r>
    </w:p>
    <w:p w14:paraId="22FACD4E" w14:textId="77777777" w:rsidR="00701592" w:rsidRPr="00701592" w:rsidRDefault="00701592" w:rsidP="00701592">
      <w:pPr>
        <w:numPr>
          <w:ilvl w:val="0"/>
          <w:numId w:val="36"/>
        </w:numPr>
        <w:spacing w:after="60" w:line="240" w:lineRule="auto"/>
        <w:contextualSpacing/>
        <w:jc w:val="both"/>
        <w:rPr>
          <w:rFonts w:ascii="Georgia" w:hAnsi="Georgia"/>
          <w:sz w:val="24"/>
          <w:szCs w:val="24"/>
          <w:lang w:val="en-US"/>
        </w:rPr>
      </w:pPr>
      <w:r w:rsidRPr="00701592">
        <w:rPr>
          <w:rFonts w:ascii="Georgia" w:hAnsi="Georgia" w:cstheme="minorHAnsi"/>
          <w:sz w:val="24"/>
          <w:szCs w:val="24"/>
        </w:rPr>
        <w:t xml:space="preserve">To </w:t>
      </w:r>
      <w:r w:rsidRPr="00701592">
        <w:rPr>
          <w:rFonts w:ascii="Georgia" w:hAnsi="Georgia"/>
          <w:sz w:val="24"/>
          <w:szCs w:val="24"/>
          <w:lang w:val="en-US"/>
        </w:rPr>
        <w:t>stimulate dialogue, partnerships, and further research on inequality in Kenya.</w:t>
      </w:r>
    </w:p>
    <w:p w14:paraId="0AA2DBEB" w14:textId="77777777" w:rsidR="00701592" w:rsidRPr="00701592" w:rsidRDefault="00701592" w:rsidP="00701592">
      <w:pPr>
        <w:spacing w:after="60" w:line="240" w:lineRule="auto"/>
        <w:jc w:val="both"/>
        <w:rPr>
          <w:rFonts w:ascii="Georgia" w:hAnsi="Georgia" w:cstheme="minorHAnsi"/>
          <w:sz w:val="24"/>
          <w:szCs w:val="24"/>
        </w:rPr>
      </w:pPr>
    </w:p>
    <w:p w14:paraId="24DB6ACA" w14:textId="77777777" w:rsidR="00701592" w:rsidRPr="00701592" w:rsidRDefault="00701592" w:rsidP="00701592">
      <w:pPr>
        <w:spacing w:after="60" w:line="240" w:lineRule="auto"/>
        <w:jc w:val="both"/>
        <w:rPr>
          <w:rFonts w:ascii="Georgia" w:hAnsi="Georgia"/>
          <w:b/>
          <w:sz w:val="24"/>
          <w:szCs w:val="24"/>
          <w:lang w:val="en-US"/>
        </w:rPr>
      </w:pPr>
      <w:r w:rsidRPr="00701592">
        <w:rPr>
          <w:rFonts w:ascii="Georgia" w:hAnsi="Georgia"/>
          <w:b/>
          <w:sz w:val="24"/>
          <w:szCs w:val="24"/>
          <w:lang w:val="en-US"/>
        </w:rPr>
        <w:t>2.1 Participants</w:t>
      </w:r>
    </w:p>
    <w:p w14:paraId="109C8580" w14:textId="6D70C8B6" w:rsidR="00701592" w:rsidRPr="00701592" w:rsidRDefault="00701592" w:rsidP="00701592">
      <w:pPr>
        <w:jc w:val="both"/>
        <w:rPr>
          <w:rFonts w:ascii="Georgia" w:hAnsi="Georgia"/>
          <w:sz w:val="24"/>
          <w:szCs w:val="24"/>
          <w:lang w:val="en-US"/>
        </w:rPr>
      </w:pPr>
      <w:r>
        <w:rPr>
          <w:rFonts w:ascii="Georgia" w:hAnsi="Georgia" w:cstheme="minorHAnsi"/>
          <w:sz w:val="24"/>
          <w:szCs w:val="24"/>
        </w:rPr>
        <w:t>The meeting</w:t>
      </w:r>
      <w:r w:rsidRPr="00701592">
        <w:rPr>
          <w:rFonts w:ascii="Georgia" w:hAnsi="Georgia" w:cstheme="minorHAnsi"/>
          <w:sz w:val="24"/>
          <w:szCs w:val="24"/>
        </w:rPr>
        <w:t xml:space="preserve"> will bring together interested policy stakeholders, selected research institutions, development partners and civil society organizations to discuss the key findings and the options for policies and strategies to reduce inequality. The </w:t>
      </w:r>
      <w:r>
        <w:rPr>
          <w:rFonts w:ascii="Georgia" w:hAnsi="Georgia" w:cstheme="minorHAnsi"/>
          <w:sz w:val="24"/>
          <w:szCs w:val="24"/>
        </w:rPr>
        <w:t>meeting</w:t>
      </w:r>
      <w:r w:rsidRPr="00701592">
        <w:rPr>
          <w:rFonts w:ascii="Georgia" w:hAnsi="Georgia" w:cstheme="minorHAnsi"/>
          <w:sz w:val="24"/>
          <w:szCs w:val="24"/>
        </w:rPr>
        <w:t xml:space="preserve"> </w:t>
      </w:r>
      <w:r>
        <w:rPr>
          <w:rFonts w:ascii="Georgia" w:hAnsi="Georgia" w:cstheme="minorHAnsi"/>
          <w:sz w:val="24"/>
          <w:szCs w:val="24"/>
        </w:rPr>
        <w:t>is expected to invoke interests, dialogues</w:t>
      </w:r>
      <w:r w:rsidRPr="00701592">
        <w:rPr>
          <w:rFonts w:ascii="Georgia" w:hAnsi="Georgia" w:cstheme="minorHAnsi"/>
          <w:sz w:val="24"/>
          <w:szCs w:val="24"/>
        </w:rPr>
        <w:t xml:space="preserve"> and further discussions on </w:t>
      </w:r>
      <w:r>
        <w:rPr>
          <w:rFonts w:ascii="Georgia" w:hAnsi="Georgia" w:cstheme="minorHAnsi"/>
          <w:sz w:val="24"/>
          <w:szCs w:val="24"/>
        </w:rPr>
        <w:t xml:space="preserve">measurements of </w:t>
      </w:r>
      <w:r w:rsidRPr="00701592">
        <w:rPr>
          <w:rFonts w:ascii="Georgia" w:hAnsi="Georgia" w:cstheme="minorHAnsi"/>
          <w:sz w:val="24"/>
          <w:szCs w:val="24"/>
        </w:rPr>
        <w:t xml:space="preserve">inequalities in Kenya (annex 2: list of participants). </w:t>
      </w:r>
      <w:r w:rsidRPr="00701592">
        <w:rPr>
          <w:rFonts w:ascii="Georgia" w:hAnsi="Georgia"/>
          <w:sz w:val="24"/>
          <w:szCs w:val="24"/>
          <w:lang w:val="en-US"/>
        </w:rPr>
        <w:t>Proposed number of Participants: 65 Pax drawn from state and non-state actors</w:t>
      </w:r>
    </w:p>
    <w:p w14:paraId="5FBA493A" w14:textId="77777777" w:rsidR="00701592" w:rsidRPr="00701592" w:rsidRDefault="00701592" w:rsidP="00701592">
      <w:pPr>
        <w:spacing w:after="60" w:line="240" w:lineRule="auto"/>
        <w:jc w:val="both"/>
        <w:rPr>
          <w:rFonts w:ascii="Georgia" w:hAnsi="Georgia"/>
          <w:b/>
          <w:sz w:val="24"/>
          <w:szCs w:val="24"/>
          <w:lang w:val="en-US"/>
        </w:rPr>
      </w:pPr>
      <w:r w:rsidRPr="00701592">
        <w:rPr>
          <w:rFonts w:ascii="Georgia" w:hAnsi="Georgia"/>
          <w:b/>
          <w:sz w:val="24"/>
          <w:szCs w:val="24"/>
          <w:lang w:val="en-US"/>
        </w:rPr>
        <w:t>2.2 Agenda Date, Venue, and Time</w:t>
      </w:r>
    </w:p>
    <w:p w14:paraId="08982C16" w14:textId="77777777" w:rsidR="00701592" w:rsidRPr="00701592" w:rsidRDefault="00701592" w:rsidP="00701592">
      <w:pPr>
        <w:spacing w:after="60" w:line="240" w:lineRule="auto"/>
        <w:jc w:val="both"/>
        <w:rPr>
          <w:rFonts w:ascii="Georgia" w:hAnsi="Georgia" w:cstheme="minorHAnsi"/>
          <w:sz w:val="24"/>
          <w:szCs w:val="24"/>
        </w:rPr>
      </w:pPr>
      <w:r w:rsidRPr="00701592">
        <w:rPr>
          <w:rFonts w:ascii="Georgia" w:hAnsi="Georgia" w:cstheme="minorHAnsi"/>
          <w:sz w:val="24"/>
          <w:szCs w:val="24"/>
        </w:rPr>
        <w:t>The activity will be a half-day meeting (agenda is annex 1) and will take place on 22nd September 2023.</w:t>
      </w:r>
    </w:p>
    <w:p w14:paraId="3C3A96B5" w14:textId="77777777" w:rsidR="00701592" w:rsidRPr="00701592" w:rsidRDefault="00701592" w:rsidP="00701592">
      <w:pPr>
        <w:spacing w:after="60" w:line="240" w:lineRule="auto"/>
        <w:jc w:val="both"/>
        <w:rPr>
          <w:rFonts w:ascii="Georgia" w:hAnsi="Georgia" w:cstheme="minorHAnsi"/>
          <w:sz w:val="24"/>
          <w:szCs w:val="24"/>
        </w:rPr>
      </w:pPr>
    </w:p>
    <w:p w14:paraId="2EB45F64" w14:textId="77777777" w:rsidR="00701592" w:rsidRPr="00701592" w:rsidRDefault="00701592" w:rsidP="00701592">
      <w:pPr>
        <w:spacing w:after="60" w:line="240" w:lineRule="auto"/>
        <w:jc w:val="both"/>
        <w:rPr>
          <w:rFonts w:ascii="Georgia" w:hAnsi="Georgia" w:cstheme="minorHAnsi"/>
          <w:sz w:val="24"/>
          <w:szCs w:val="24"/>
        </w:rPr>
      </w:pPr>
    </w:p>
    <w:p w14:paraId="58BC5DA9" w14:textId="77777777" w:rsidR="00701592" w:rsidRPr="00701592" w:rsidRDefault="00701592" w:rsidP="00701592">
      <w:pPr>
        <w:spacing w:after="60" w:line="240" w:lineRule="auto"/>
        <w:jc w:val="both"/>
        <w:rPr>
          <w:rFonts w:ascii="Georgia" w:hAnsi="Georgia" w:cstheme="minorHAnsi"/>
          <w:sz w:val="24"/>
          <w:szCs w:val="24"/>
        </w:rPr>
      </w:pPr>
    </w:p>
    <w:p w14:paraId="4D621088" w14:textId="77777777" w:rsidR="00701592" w:rsidRPr="00701592" w:rsidRDefault="00701592" w:rsidP="00701592">
      <w:pPr>
        <w:spacing w:after="60" w:line="240" w:lineRule="auto"/>
        <w:jc w:val="both"/>
        <w:rPr>
          <w:rFonts w:ascii="Georgia" w:hAnsi="Georgia" w:cstheme="minorHAnsi"/>
          <w:sz w:val="24"/>
          <w:szCs w:val="24"/>
        </w:rPr>
      </w:pPr>
    </w:p>
    <w:p w14:paraId="46212013" w14:textId="77777777" w:rsidR="00701592" w:rsidRPr="00701592" w:rsidRDefault="00701592" w:rsidP="00701592">
      <w:pPr>
        <w:spacing w:after="60" w:line="240" w:lineRule="auto"/>
        <w:jc w:val="both"/>
        <w:rPr>
          <w:rFonts w:ascii="Georgia" w:hAnsi="Georgia" w:cstheme="minorHAnsi"/>
          <w:sz w:val="24"/>
          <w:szCs w:val="24"/>
        </w:rPr>
      </w:pPr>
    </w:p>
    <w:p w14:paraId="7FD85D9A" w14:textId="77777777" w:rsidR="00701592" w:rsidRPr="00701592" w:rsidRDefault="00701592" w:rsidP="00701592">
      <w:pPr>
        <w:spacing w:after="60" w:line="240" w:lineRule="auto"/>
        <w:jc w:val="both"/>
        <w:rPr>
          <w:rFonts w:ascii="Georgia" w:hAnsi="Georgia" w:cstheme="minorHAnsi"/>
          <w:sz w:val="24"/>
          <w:szCs w:val="24"/>
        </w:rPr>
      </w:pPr>
    </w:p>
    <w:p w14:paraId="2A8BE1F2" w14:textId="77777777" w:rsidR="00701592" w:rsidRPr="00701592" w:rsidRDefault="00701592" w:rsidP="00701592">
      <w:pPr>
        <w:spacing w:after="60" w:line="240" w:lineRule="auto"/>
        <w:jc w:val="both"/>
        <w:rPr>
          <w:rFonts w:ascii="Georgia" w:hAnsi="Georgia" w:cstheme="minorHAnsi"/>
          <w:sz w:val="24"/>
          <w:szCs w:val="24"/>
        </w:rPr>
      </w:pPr>
    </w:p>
    <w:p w14:paraId="5367C446" w14:textId="77777777" w:rsidR="00701592" w:rsidRPr="00701592" w:rsidRDefault="00701592" w:rsidP="00701592">
      <w:pPr>
        <w:spacing w:after="60" w:line="240" w:lineRule="auto"/>
        <w:jc w:val="both"/>
        <w:rPr>
          <w:rFonts w:ascii="Georgia" w:hAnsi="Georgia" w:cstheme="minorHAnsi"/>
          <w:sz w:val="24"/>
          <w:szCs w:val="24"/>
        </w:rPr>
      </w:pPr>
    </w:p>
    <w:p w14:paraId="4EE19695" w14:textId="77777777" w:rsidR="00701592" w:rsidRPr="00701592" w:rsidRDefault="00701592" w:rsidP="00701592">
      <w:pPr>
        <w:spacing w:after="60" w:line="240" w:lineRule="auto"/>
        <w:jc w:val="both"/>
        <w:rPr>
          <w:rFonts w:ascii="Georgia" w:hAnsi="Georgia" w:cstheme="minorHAnsi"/>
          <w:sz w:val="24"/>
          <w:szCs w:val="24"/>
        </w:rPr>
      </w:pPr>
    </w:p>
    <w:p w14:paraId="3F5AB436" w14:textId="77777777" w:rsidR="00701592" w:rsidRPr="00701592" w:rsidRDefault="00701592" w:rsidP="00701592">
      <w:pPr>
        <w:spacing w:after="60" w:line="240" w:lineRule="auto"/>
        <w:jc w:val="both"/>
        <w:rPr>
          <w:rFonts w:ascii="Georgia" w:hAnsi="Georgia" w:cstheme="minorHAnsi"/>
          <w:sz w:val="24"/>
          <w:szCs w:val="24"/>
        </w:rPr>
      </w:pPr>
    </w:p>
    <w:p w14:paraId="15C04C8B" w14:textId="77777777" w:rsidR="00701592" w:rsidRPr="00701592" w:rsidRDefault="00701592" w:rsidP="00701592">
      <w:pPr>
        <w:spacing w:after="60" w:line="240" w:lineRule="auto"/>
        <w:jc w:val="both"/>
        <w:rPr>
          <w:rFonts w:ascii="Georgia" w:hAnsi="Georgia" w:cstheme="minorHAnsi"/>
          <w:sz w:val="24"/>
          <w:szCs w:val="24"/>
        </w:rPr>
      </w:pPr>
    </w:p>
    <w:p w14:paraId="0D452A92" w14:textId="77777777" w:rsidR="00701592" w:rsidRPr="00701592" w:rsidRDefault="00701592" w:rsidP="00701592">
      <w:pPr>
        <w:spacing w:after="60" w:line="240" w:lineRule="auto"/>
        <w:jc w:val="both"/>
        <w:rPr>
          <w:rFonts w:ascii="Georgia" w:hAnsi="Georgia" w:cstheme="minorHAnsi"/>
          <w:sz w:val="24"/>
          <w:szCs w:val="24"/>
        </w:rPr>
      </w:pPr>
    </w:p>
    <w:p w14:paraId="317ECDC0" w14:textId="77777777" w:rsidR="00701592" w:rsidRPr="00701592" w:rsidRDefault="00701592" w:rsidP="00701592">
      <w:pPr>
        <w:spacing w:after="60" w:line="240" w:lineRule="auto"/>
        <w:jc w:val="both"/>
        <w:rPr>
          <w:rFonts w:ascii="Georgia" w:hAnsi="Georgia" w:cstheme="minorHAnsi"/>
          <w:sz w:val="24"/>
          <w:szCs w:val="24"/>
        </w:rPr>
      </w:pPr>
    </w:p>
    <w:p w14:paraId="68A806C1" w14:textId="77777777" w:rsidR="00701592" w:rsidRPr="00701592" w:rsidRDefault="00701592" w:rsidP="00701592">
      <w:pPr>
        <w:spacing w:after="60" w:line="240" w:lineRule="auto"/>
        <w:jc w:val="both"/>
        <w:rPr>
          <w:rFonts w:ascii="Georgia" w:hAnsi="Georgia" w:cstheme="minorHAnsi"/>
          <w:sz w:val="24"/>
          <w:szCs w:val="24"/>
        </w:rPr>
      </w:pPr>
    </w:p>
    <w:p w14:paraId="1118094F" w14:textId="77777777" w:rsidR="00701592" w:rsidRPr="00701592" w:rsidRDefault="00701592" w:rsidP="00701592">
      <w:pPr>
        <w:spacing w:after="60" w:line="240" w:lineRule="auto"/>
        <w:jc w:val="both"/>
        <w:rPr>
          <w:rFonts w:ascii="Georgia" w:hAnsi="Georgia" w:cstheme="minorHAnsi"/>
          <w:sz w:val="24"/>
          <w:szCs w:val="24"/>
        </w:rPr>
      </w:pPr>
    </w:p>
    <w:p w14:paraId="6229E474" w14:textId="77777777" w:rsidR="00701592" w:rsidRPr="00701592" w:rsidRDefault="00701592" w:rsidP="00701592">
      <w:pPr>
        <w:spacing w:after="60" w:line="240" w:lineRule="auto"/>
        <w:jc w:val="both"/>
        <w:rPr>
          <w:rFonts w:ascii="Georgia" w:hAnsi="Georgia" w:cstheme="minorHAnsi"/>
          <w:sz w:val="24"/>
          <w:szCs w:val="24"/>
        </w:rPr>
      </w:pPr>
    </w:p>
    <w:p w14:paraId="7C2E1E4A" w14:textId="77777777" w:rsidR="00701592" w:rsidRPr="00701592" w:rsidRDefault="00701592" w:rsidP="00701592">
      <w:pPr>
        <w:spacing w:after="60" w:line="240" w:lineRule="auto"/>
        <w:jc w:val="both"/>
        <w:rPr>
          <w:rFonts w:ascii="Georgia" w:hAnsi="Georgia" w:cstheme="minorHAnsi"/>
          <w:sz w:val="24"/>
          <w:szCs w:val="24"/>
        </w:rPr>
      </w:pPr>
    </w:p>
    <w:p w14:paraId="104CE928" w14:textId="77777777" w:rsidR="00701592" w:rsidRPr="00701592" w:rsidRDefault="00701592" w:rsidP="00701592">
      <w:pPr>
        <w:spacing w:after="60" w:line="240" w:lineRule="auto"/>
        <w:jc w:val="both"/>
        <w:rPr>
          <w:rFonts w:ascii="Georgia" w:hAnsi="Georgia" w:cstheme="minorHAnsi"/>
          <w:sz w:val="24"/>
          <w:szCs w:val="24"/>
        </w:rPr>
      </w:pPr>
    </w:p>
    <w:p w14:paraId="71996923" w14:textId="77777777" w:rsidR="00701592" w:rsidRPr="00701592" w:rsidRDefault="00701592" w:rsidP="00701592">
      <w:pPr>
        <w:spacing w:after="60" w:line="240" w:lineRule="auto"/>
        <w:jc w:val="both"/>
        <w:rPr>
          <w:rFonts w:ascii="Georgia" w:hAnsi="Georgia" w:cstheme="minorHAnsi"/>
          <w:sz w:val="24"/>
          <w:szCs w:val="24"/>
        </w:rPr>
      </w:pPr>
    </w:p>
    <w:p w14:paraId="6C530384" w14:textId="77777777" w:rsidR="00701592" w:rsidRPr="00374188" w:rsidRDefault="00701592" w:rsidP="00701592">
      <w:pPr>
        <w:pStyle w:val="Heading1"/>
        <w:spacing w:before="0" w:after="120" w:line="240" w:lineRule="auto"/>
        <w:rPr>
          <w:rFonts w:ascii="Georgia" w:hAnsi="Georgia" w:cs="Times New Roman"/>
          <w:b/>
          <w:bCs/>
          <w:color w:val="auto"/>
        </w:rPr>
      </w:pPr>
      <w:bookmarkStart w:id="96" w:name="_Toc145928796"/>
      <w:r w:rsidRPr="00374188">
        <w:rPr>
          <w:rFonts w:ascii="Georgia" w:hAnsi="Georgia" w:cs="Times New Roman"/>
          <w:b/>
          <w:bCs/>
          <w:color w:val="auto"/>
        </w:rPr>
        <w:t>Agenda: The Consultative Meeting</w:t>
      </w:r>
      <w:bookmarkEnd w:id="96"/>
      <w:r w:rsidRPr="00374188">
        <w:rPr>
          <w:rFonts w:ascii="Georgia" w:hAnsi="Georgia" w:cs="Times New Roman"/>
          <w:b/>
          <w:bCs/>
          <w:color w:val="auto"/>
        </w:rPr>
        <w:t xml:space="preserve"> </w:t>
      </w:r>
    </w:p>
    <w:p w14:paraId="46EF4FB5" w14:textId="77777777" w:rsidR="00701592" w:rsidRPr="00701592" w:rsidRDefault="00701592" w:rsidP="00701592">
      <w:pPr>
        <w:spacing w:after="60" w:line="240" w:lineRule="auto"/>
        <w:jc w:val="both"/>
        <w:rPr>
          <w:rFonts w:ascii="Georgia" w:hAnsi="Georgia"/>
          <w:sz w:val="24"/>
          <w:szCs w:val="24"/>
          <w:lang w:val="de-DE"/>
        </w:rPr>
      </w:pPr>
    </w:p>
    <w:p w14:paraId="65D1BCC7" w14:textId="77777777" w:rsidR="00701592" w:rsidRPr="00701592" w:rsidRDefault="00701592" w:rsidP="00701592">
      <w:pPr>
        <w:spacing w:after="60" w:line="240" w:lineRule="auto"/>
        <w:jc w:val="both"/>
        <w:rPr>
          <w:rFonts w:ascii="Georgia" w:hAnsi="Georgia"/>
          <w:sz w:val="24"/>
          <w:lang w:val="en-US"/>
        </w:rPr>
      </w:pPr>
      <w:r w:rsidRPr="00701592">
        <w:rPr>
          <w:rFonts w:ascii="Georgia" w:hAnsi="Georgia" w:cs="Arial"/>
          <w:b/>
          <w:noProof/>
          <w:sz w:val="28"/>
          <w:szCs w:val="28"/>
          <w:lang w:val="en-US"/>
        </w:rPr>
        <w:drawing>
          <wp:anchor distT="0" distB="0" distL="114300" distR="114300" simplePos="0" relativeHeight="251673610" behindDoc="0" locked="0" layoutInCell="1" allowOverlap="1" wp14:anchorId="17E25148" wp14:editId="6054F785">
            <wp:simplePos x="0" y="0"/>
            <wp:positionH relativeFrom="margin">
              <wp:posOffset>3131820</wp:posOffset>
            </wp:positionH>
            <wp:positionV relativeFrom="paragraph">
              <wp:posOffset>43815</wp:posOffset>
            </wp:positionV>
            <wp:extent cx="2865755" cy="57150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C + GIZ logos.jpg"/>
                    <pic:cNvPicPr/>
                  </pic:nvPicPr>
                  <pic:blipFill rotWithShape="1">
                    <a:blip r:embed="rId79" cstate="print">
                      <a:extLst>
                        <a:ext uri="{28A0092B-C50C-407E-A947-70E740481C1C}">
                          <a14:useLocalDpi xmlns:a14="http://schemas.microsoft.com/office/drawing/2010/main" val="0"/>
                        </a:ext>
                      </a:extLst>
                    </a:blip>
                    <a:srcRect l="7977" t="17786" r="8819" b="21231"/>
                    <a:stretch/>
                  </pic:blipFill>
                  <pic:spPr bwMode="auto">
                    <a:xfrm>
                      <a:off x="0" y="0"/>
                      <a:ext cx="2865755"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1592">
        <w:rPr>
          <w:rFonts w:ascii="Georgia" w:hAnsi="Georgia" w:cs="Arial"/>
          <w:b/>
          <w:noProof/>
          <w:sz w:val="28"/>
          <w:szCs w:val="28"/>
          <w:lang w:val="en-US"/>
        </w:rPr>
        <mc:AlternateContent>
          <mc:Choice Requires="wpg">
            <w:drawing>
              <wp:anchor distT="0" distB="0" distL="114300" distR="114300" simplePos="0" relativeHeight="251672586" behindDoc="0" locked="0" layoutInCell="1" allowOverlap="1" wp14:anchorId="36A88448" wp14:editId="79E78543">
                <wp:simplePos x="0" y="0"/>
                <wp:positionH relativeFrom="margin">
                  <wp:posOffset>45720</wp:posOffset>
                </wp:positionH>
                <wp:positionV relativeFrom="paragraph">
                  <wp:posOffset>45085</wp:posOffset>
                </wp:positionV>
                <wp:extent cx="2298700" cy="717550"/>
                <wp:effectExtent l="0" t="0" r="6350" b="6350"/>
                <wp:wrapNone/>
                <wp:docPr id="221" name="Group 221"/>
                <wp:cNvGraphicFramePr/>
                <a:graphic xmlns:a="http://schemas.openxmlformats.org/drawingml/2006/main">
                  <a:graphicData uri="http://schemas.microsoft.com/office/word/2010/wordprocessingGroup">
                    <wpg:wgp>
                      <wpg:cNvGrpSpPr/>
                      <wpg:grpSpPr>
                        <a:xfrm>
                          <a:off x="0" y="0"/>
                          <a:ext cx="2298700" cy="717550"/>
                          <a:chOff x="0" y="0"/>
                          <a:chExt cx="2877185" cy="850900"/>
                        </a:xfrm>
                      </wpg:grpSpPr>
                      <pic:pic xmlns:pic="http://schemas.openxmlformats.org/drawingml/2006/picture">
                        <pic:nvPicPr>
                          <pic:cNvPr id="222" name="Picture 222"/>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1003300" y="115916"/>
                            <a:ext cx="1873885" cy="734984"/>
                          </a:xfrm>
                          <a:prstGeom prst="rect">
                            <a:avLst/>
                          </a:prstGeom>
                          <a:noFill/>
                        </pic:spPr>
                      </pic:pic>
                      <pic:pic xmlns:pic="http://schemas.openxmlformats.org/drawingml/2006/picture">
                        <pic:nvPicPr>
                          <pic:cNvPr id="223" name="Picture 223"/>
                          <pic:cNvPicPr>
                            <a:picLocks noChangeAspect="1"/>
                          </pic:cNvPicPr>
                        </pic:nvPicPr>
                        <pic:blipFill rotWithShape="1">
                          <a:blip r:embed="rId75" cstate="print">
                            <a:extLst>
                              <a:ext uri="{28A0092B-C50C-407E-A947-70E740481C1C}">
                                <a14:useLocalDpi xmlns:a14="http://schemas.microsoft.com/office/drawing/2010/main" val="0"/>
                              </a:ext>
                            </a:extLst>
                          </a:blip>
                          <a:srcRect l="30800" t="25223" r="29426" b="25270"/>
                          <a:stretch/>
                        </pic:blipFill>
                        <pic:spPr bwMode="auto">
                          <a:xfrm>
                            <a:off x="0" y="0"/>
                            <a:ext cx="966470" cy="850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BB985A" id="Group 221" o:spid="_x0000_s1026" style="position:absolute;margin-left:3.6pt;margin-top:3.55pt;width:181pt;height:56.5pt;z-index:251672586;mso-position-horizontal-relative:margin;mso-width-relative:margin;mso-height-relative:margin" coordsize="28771,85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">
                <v:shape id="Picture 222" o:spid="_x0000_s1027" type="#_x0000_t75" style="position:absolute;left:10033;top:1159;width:18738;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">
                  <v:imagedata r:id="rId76" o:title=""/>
                  <v:path arrowok="t"/>
                </v:shape>
                <v:shape id="Picture 223" o:spid="_x0000_s1028" type="#_x0000_t75" style="position:absolute;width:9664;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">
                  <v:imagedata r:id="rId77" o:title="" croptop="16530f" cropbottom="16561f" cropleft="20185f" cropright="19285f"/>
                  <v:path arrowok="t"/>
                </v:shape>
                <w10:wrap anchorx="margin"/>
              </v:group>
            </w:pict>
          </mc:Fallback>
        </mc:AlternateContent>
      </w:r>
    </w:p>
    <w:p w14:paraId="3A43F8F5" w14:textId="77777777" w:rsidR="00701592" w:rsidRPr="00701592" w:rsidRDefault="00701592" w:rsidP="00701592">
      <w:pPr>
        <w:spacing w:after="60" w:line="240" w:lineRule="auto"/>
        <w:jc w:val="both"/>
        <w:rPr>
          <w:rFonts w:ascii="Georgia" w:hAnsi="Georgia"/>
          <w:b/>
          <w:sz w:val="24"/>
          <w:szCs w:val="24"/>
          <w:lang w:val="de-DE"/>
        </w:rPr>
      </w:pPr>
    </w:p>
    <w:p w14:paraId="5CB2A099" w14:textId="77777777" w:rsidR="00701592" w:rsidRPr="00701592" w:rsidRDefault="00701592" w:rsidP="00701592">
      <w:pPr>
        <w:spacing w:after="60" w:line="240" w:lineRule="auto"/>
        <w:jc w:val="both"/>
        <w:rPr>
          <w:rFonts w:ascii="Georgia" w:hAnsi="Georgia"/>
          <w:lang w:val="en-US"/>
        </w:rPr>
      </w:pPr>
    </w:p>
    <w:p w14:paraId="4BC8065E" w14:textId="77777777" w:rsidR="00701592" w:rsidRPr="00701592" w:rsidRDefault="00701592" w:rsidP="00701592">
      <w:pPr>
        <w:tabs>
          <w:tab w:val="left" w:pos="7290"/>
        </w:tabs>
        <w:spacing w:after="60" w:line="240" w:lineRule="auto"/>
        <w:jc w:val="both"/>
        <w:rPr>
          <w:rFonts w:ascii="Georgia" w:hAnsi="Georgia"/>
          <w:lang w:val="en-US"/>
        </w:rPr>
      </w:pPr>
      <w:r w:rsidRPr="00701592">
        <w:rPr>
          <w:rFonts w:ascii="Georgia" w:hAnsi="Georgia"/>
          <w:lang w:val="en-US"/>
        </w:rPr>
        <w:tab/>
      </w:r>
    </w:p>
    <w:p w14:paraId="53A9167E" w14:textId="77777777" w:rsidR="00701592" w:rsidRPr="00701592" w:rsidRDefault="00701592" w:rsidP="00701592">
      <w:pPr>
        <w:pBdr>
          <w:bottom w:val="single" w:sz="4" w:space="1" w:color="auto"/>
        </w:pBdr>
        <w:spacing w:after="60" w:line="240" w:lineRule="auto"/>
        <w:jc w:val="center"/>
        <w:rPr>
          <w:rFonts w:ascii="Georgia" w:hAnsi="Georgia"/>
          <w:b/>
          <w:sz w:val="24"/>
          <w:lang w:val="en-US"/>
        </w:rPr>
      </w:pPr>
    </w:p>
    <w:p w14:paraId="1E028474" w14:textId="0973A5C0" w:rsidR="00701592" w:rsidRPr="00701592" w:rsidRDefault="00023805" w:rsidP="00701592">
      <w:pPr>
        <w:pBdr>
          <w:bottom w:val="single" w:sz="4" w:space="1" w:color="auto"/>
        </w:pBdr>
        <w:spacing w:after="60" w:line="240" w:lineRule="auto"/>
        <w:jc w:val="center"/>
        <w:rPr>
          <w:rFonts w:ascii="Georgia" w:hAnsi="Georgia"/>
          <w:b/>
          <w:sz w:val="28"/>
          <w:lang w:val="en-US"/>
        </w:rPr>
      </w:pPr>
      <w:r>
        <w:rPr>
          <w:rFonts w:ascii="Georgia" w:hAnsi="Georgia"/>
          <w:b/>
          <w:sz w:val="28"/>
          <w:lang w:val="en-US"/>
        </w:rPr>
        <w:t xml:space="preserve">PRESENTATION OF A DRAFT REPORT: </w:t>
      </w:r>
      <w:r w:rsidR="00701592">
        <w:rPr>
          <w:rFonts w:ascii="Georgia" w:hAnsi="Georgia"/>
          <w:b/>
          <w:sz w:val="28"/>
          <w:lang w:val="en-US"/>
        </w:rPr>
        <w:t xml:space="preserve">KENYA </w:t>
      </w:r>
      <w:r w:rsidR="00701592" w:rsidRPr="00701592">
        <w:rPr>
          <w:rFonts w:ascii="Georgia" w:hAnsi="Georgia"/>
          <w:b/>
          <w:sz w:val="28"/>
          <w:lang w:val="en-US"/>
        </w:rPr>
        <w:t xml:space="preserve">INEQUALITY DIAGNOSTIC </w:t>
      </w:r>
      <w:r w:rsidR="00701592">
        <w:rPr>
          <w:rFonts w:ascii="Georgia" w:hAnsi="Georgia"/>
          <w:b/>
          <w:sz w:val="28"/>
          <w:lang w:val="en-US"/>
        </w:rPr>
        <w:t>STU</w:t>
      </w:r>
      <w:r>
        <w:rPr>
          <w:rFonts w:ascii="Georgia" w:hAnsi="Georgia"/>
          <w:b/>
          <w:sz w:val="28"/>
          <w:lang w:val="en-US"/>
        </w:rPr>
        <w:t xml:space="preserve">DY, </w:t>
      </w:r>
      <w:r w:rsidR="00701592">
        <w:rPr>
          <w:rFonts w:ascii="Georgia" w:hAnsi="Georgia"/>
          <w:b/>
          <w:sz w:val="28"/>
          <w:lang w:val="en-US"/>
        </w:rPr>
        <w:t xml:space="preserve">2023 </w:t>
      </w:r>
    </w:p>
    <w:p w14:paraId="61A02543" w14:textId="77777777" w:rsidR="00701592" w:rsidRPr="00701592" w:rsidRDefault="00701592" w:rsidP="00701592">
      <w:pPr>
        <w:pBdr>
          <w:bottom w:val="single" w:sz="4" w:space="1" w:color="auto"/>
        </w:pBdr>
        <w:spacing w:after="60" w:line="240" w:lineRule="auto"/>
        <w:jc w:val="center"/>
        <w:rPr>
          <w:rFonts w:ascii="Georgia" w:hAnsi="Georgia"/>
          <w:b/>
          <w:sz w:val="28"/>
          <w:lang w:val="en-US"/>
        </w:rPr>
      </w:pPr>
      <w:r w:rsidRPr="00701592">
        <w:rPr>
          <w:rFonts w:ascii="Georgia" w:hAnsi="Georgia"/>
          <w:b/>
          <w:sz w:val="28"/>
          <w:lang w:val="en-US"/>
        </w:rPr>
        <w:t xml:space="preserve">Date: 22nd </w:t>
      </w:r>
      <w:r w:rsidRPr="00701592">
        <w:rPr>
          <w:rFonts w:ascii="Georgia" w:hAnsi="Georgia"/>
          <w:bCs/>
          <w:sz w:val="28"/>
          <w:lang w:val="en-US"/>
        </w:rPr>
        <w:t xml:space="preserve">September 2023             </w:t>
      </w:r>
      <w:r w:rsidRPr="00701592">
        <w:rPr>
          <w:rFonts w:ascii="Georgia" w:hAnsi="Georgia"/>
          <w:b/>
          <w:sz w:val="28"/>
          <w:lang w:val="en-US"/>
        </w:rPr>
        <w:t>Venue: Sarova Panafric, Nairobi</w:t>
      </w:r>
    </w:p>
    <w:p w14:paraId="59F66195" w14:textId="367DB732" w:rsidR="00701592" w:rsidRPr="00701592" w:rsidRDefault="00701592" w:rsidP="00701592">
      <w:pPr>
        <w:pBdr>
          <w:bottom w:val="single" w:sz="4" w:space="1" w:color="auto"/>
        </w:pBdr>
        <w:spacing w:after="60" w:line="240" w:lineRule="auto"/>
        <w:rPr>
          <w:rFonts w:ascii="Georgia" w:hAnsi="Georgia"/>
          <w:bCs/>
          <w:sz w:val="24"/>
          <w:lang w:val="en-US"/>
        </w:rPr>
      </w:pPr>
      <w:r w:rsidRPr="00701592">
        <w:rPr>
          <w:rFonts w:ascii="Georgia" w:hAnsi="Georgia"/>
          <w:sz w:val="28"/>
          <w:lang w:val="en-US"/>
        </w:rPr>
        <w:t>Meeting Link:</w:t>
      </w:r>
      <w:r>
        <w:rPr>
          <w:rFonts w:ascii="Georgia" w:hAnsi="Georgia"/>
          <w:sz w:val="28"/>
          <w:lang w:val="en-US"/>
        </w:rPr>
        <w:t>xxxxxxxx</w:t>
      </w:r>
    </w:p>
    <w:tbl>
      <w:tblPr>
        <w:tblStyle w:val="GridTable4-Accent11"/>
        <w:tblpPr w:leftFromText="180" w:rightFromText="180" w:vertAnchor="text" w:horzAnchor="margin" w:tblpY="-52"/>
        <w:tblW w:w="5144" w:type="pct"/>
        <w:tblLayout w:type="fixed"/>
        <w:tblLook w:val="04A0" w:firstRow="1" w:lastRow="0" w:firstColumn="1" w:lastColumn="0" w:noHBand="0" w:noVBand="1"/>
      </w:tblPr>
      <w:tblGrid>
        <w:gridCol w:w="2666"/>
        <w:gridCol w:w="5255"/>
        <w:gridCol w:w="2244"/>
      </w:tblGrid>
      <w:tr w:rsidR="00701592" w:rsidRPr="00701592" w14:paraId="0DA0F9FF" w14:textId="77777777" w:rsidTr="0070159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11" w:type="pct"/>
            <w:shd w:val="clear" w:color="auto" w:fill="B4C6E7" w:themeFill="accent1" w:themeFillTint="66"/>
          </w:tcPr>
          <w:p w14:paraId="5C0A7681" w14:textId="77777777" w:rsidR="00701592" w:rsidRPr="00701592" w:rsidRDefault="00701592" w:rsidP="00701592">
            <w:pPr>
              <w:spacing w:after="60"/>
              <w:contextualSpacing/>
              <w:jc w:val="both"/>
              <w:rPr>
                <w:rFonts w:ascii="Georgia" w:hAnsi="Georgia"/>
                <w:color w:val="002060"/>
                <w:sz w:val="24"/>
                <w:szCs w:val="24"/>
                <w:lang w:val="en-US"/>
              </w:rPr>
            </w:pPr>
            <w:r w:rsidRPr="00701592">
              <w:rPr>
                <w:rFonts w:ascii="Georgia" w:hAnsi="Georgia"/>
                <w:color w:val="002060"/>
                <w:sz w:val="24"/>
                <w:szCs w:val="24"/>
                <w:lang w:val="en-US"/>
              </w:rPr>
              <w:t>Time</w:t>
            </w:r>
          </w:p>
        </w:tc>
        <w:tc>
          <w:tcPr>
            <w:tcW w:w="2585" w:type="pct"/>
            <w:shd w:val="clear" w:color="auto" w:fill="B4C6E7" w:themeFill="accent1" w:themeFillTint="66"/>
          </w:tcPr>
          <w:p w14:paraId="485F54C1" w14:textId="33DF3A9E" w:rsidR="00701592" w:rsidRPr="00701592" w:rsidRDefault="00701592" w:rsidP="00701592">
            <w:pPr>
              <w:spacing w:after="60"/>
              <w:contextualSpacing/>
              <w:jc w:val="both"/>
              <w:cnfStyle w:val="100000000000" w:firstRow="1" w:lastRow="0" w:firstColumn="0" w:lastColumn="0" w:oddVBand="0" w:evenVBand="0" w:oddHBand="0" w:evenHBand="0" w:firstRowFirstColumn="0" w:firstRowLastColumn="0" w:lastRowFirstColumn="0" w:lastRowLastColumn="0"/>
              <w:rPr>
                <w:rFonts w:ascii="Georgia" w:hAnsi="Georgia"/>
                <w:color w:val="002060"/>
                <w:sz w:val="24"/>
                <w:szCs w:val="24"/>
                <w:lang w:val="en-US"/>
              </w:rPr>
            </w:pPr>
            <w:r w:rsidRPr="00701592">
              <w:rPr>
                <w:rFonts w:ascii="Georgia" w:hAnsi="Georgia"/>
                <w:color w:val="002060"/>
                <w:sz w:val="24"/>
                <w:szCs w:val="24"/>
                <w:lang w:val="en-US"/>
              </w:rPr>
              <w:t>Agenda</w:t>
            </w:r>
          </w:p>
        </w:tc>
        <w:tc>
          <w:tcPr>
            <w:tcW w:w="1104" w:type="pct"/>
            <w:shd w:val="clear" w:color="auto" w:fill="B4C6E7" w:themeFill="accent1" w:themeFillTint="66"/>
          </w:tcPr>
          <w:p w14:paraId="0C4351AC" w14:textId="77777777" w:rsidR="00701592" w:rsidRPr="00701592" w:rsidRDefault="00701592" w:rsidP="00701592">
            <w:pPr>
              <w:spacing w:after="60"/>
              <w:contextualSpacing/>
              <w:jc w:val="both"/>
              <w:cnfStyle w:val="100000000000" w:firstRow="1" w:lastRow="0" w:firstColumn="0" w:lastColumn="0" w:oddVBand="0" w:evenVBand="0" w:oddHBand="0" w:evenHBand="0" w:firstRowFirstColumn="0" w:firstRowLastColumn="0" w:lastRowFirstColumn="0" w:lastRowLastColumn="0"/>
              <w:rPr>
                <w:rFonts w:ascii="Georgia" w:hAnsi="Georgia"/>
                <w:color w:val="002060"/>
                <w:sz w:val="24"/>
                <w:szCs w:val="24"/>
                <w:lang w:val="en-US"/>
              </w:rPr>
            </w:pPr>
            <w:r w:rsidRPr="00701592">
              <w:rPr>
                <w:rFonts w:ascii="Georgia" w:hAnsi="Georgia"/>
                <w:color w:val="002060"/>
                <w:sz w:val="24"/>
                <w:szCs w:val="24"/>
                <w:lang w:val="en-US"/>
              </w:rPr>
              <w:t>Moderator</w:t>
            </w:r>
          </w:p>
        </w:tc>
      </w:tr>
      <w:tr w:rsidR="00701592" w:rsidRPr="00701592" w14:paraId="59DF3B06" w14:textId="77777777" w:rsidTr="0070159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11" w:type="pct"/>
          </w:tcPr>
          <w:p w14:paraId="73A35C30" w14:textId="77777777" w:rsidR="00701592" w:rsidRPr="00701592" w:rsidRDefault="00701592" w:rsidP="00701592">
            <w:pPr>
              <w:spacing w:after="60"/>
              <w:contextualSpacing/>
              <w:jc w:val="both"/>
              <w:rPr>
                <w:rFonts w:ascii="Georgia" w:hAnsi="Georgia"/>
                <w:b w:val="0"/>
                <w:sz w:val="24"/>
                <w:szCs w:val="24"/>
                <w:lang w:val="en-US"/>
              </w:rPr>
            </w:pPr>
            <w:r w:rsidRPr="00701592">
              <w:rPr>
                <w:rFonts w:ascii="Georgia" w:hAnsi="Georgia"/>
                <w:b w:val="0"/>
                <w:sz w:val="24"/>
                <w:szCs w:val="24"/>
                <w:lang w:val="en-US"/>
              </w:rPr>
              <w:t>8:00 am – 9: 00 am</w:t>
            </w:r>
          </w:p>
        </w:tc>
        <w:tc>
          <w:tcPr>
            <w:tcW w:w="2585" w:type="pct"/>
          </w:tcPr>
          <w:p w14:paraId="793B81FB" w14:textId="1CA16562" w:rsidR="00701592" w:rsidRP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Registration and Welcome Coffee</w:t>
            </w:r>
          </w:p>
        </w:tc>
        <w:tc>
          <w:tcPr>
            <w:tcW w:w="1104" w:type="pct"/>
          </w:tcPr>
          <w:p w14:paraId="7AF66720" w14:textId="77777777" w:rsidR="00701592" w:rsidRP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NGEC/GIZ</w:t>
            </w:r>
          </w:p>
        </w:tc>
      </w:tr>
      <w:tr w:rsidR="00197E28" w:rsidRPr="00701592" w14:paraId="725CE166" w14:textId="77777777" w:rsidTr="00701592">
        <w:trPr>
          <w:trHeight w:val="323"/>
        </w:trPr>
        <w:tc>
          <w:tcPr>
            <w:cnfStyle w:val="001000000000" w:firstRow="0" w:lastRow="0" w:firstColumn="1" w:lastColumn="0" w:oddVBand="0" w:evenVBand="0" w:oddHBand="0" w:evenHBand="0" w:firstRowFirstColumn="0" w:firstRowLastColumn="0" w:lastRowFirstColumn="0" w:lastRowLastColumn="0"/>
            <w:tcW w:w="1311" w:type="pct"/>
          </w:tcPr>
          <w:p w14:paraId="63E82D85" w14:textId="77777777" w:rsidR="00197E28" w:rsidRPr="00701592" w:rsidRDefault="00197E28" w:rsidP="00701592">
            <w:pPr>
              <w:spacing w:after="60"/>
              <w:contextualSpacing/>
              <w:jc w:val="both"/>
              <w:rPr>
                <w:rFonts w:ascii="Georgia" w:hAnsi="Georgia"/>
                <w:b w:val="0"/>
                <w:sz w:val="24"/>
                <w:szCs w:val="24"/>
                <w:lang w:val="en-US"/>
              </w:rPr>
            </w:pPr>
            <w:r w:rsidRPr="00701592">
              <w:rPr>
                <w:rFonts w:ascii="Georgia" w:hAnsi="Georgia"/>
                <w:b w:val="0"/>
                <w:sz w:val="24"/>
                <w:szCs w:val="24"/>
                <w:lang w:val="en-US"/>
              </w:rPr>
              <w:t>9: 00 am -9: 10 am</w:t>
            </w:r>
          </w:p>
        </w:tc>
        <w:tc>
          <w:tcPr>
            <w:tcW w:w="2585" w:type="pct"/>
          </w:tcPr>
          <w:p w14:paraId="4212E2FD" w14:textId="742FAD5C" w:rsidR="00197E28" w:rsidRPr="00701592" w:rsidRDefault="00197E28" w:rsidP="00197E28">
            <w:pPr>
              <w:spacing w:after="60"/>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Prayer and Introductions</w:t>
            </w:r>
          </w:p>
        </w:tc>
        <w:tc>
          <w:tcPr>
            <w:tcW w:w="1104" w:type="pct"/>
            <w:vMerge w:val="restart"/>
          </w:tcPr>
          <w:p w14:paraId="7C84E6AB" w14:textId="77777777" w:rsidR="00197E28" w:rsidRDefault="00197E28" w:rsidP="00701592">
            <w:pPr>
              <w:spacing w:after="60"/>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Pr>
                <w:rFonts w:ascii="Georgia" w:hAnsi="Georgia"/>
                <w:sz w:val="24"/>
                <w:szCs w:val="24"/>
                <w:lang w:val="en-US"/>
              </w:rPr>
              <w:t>Winfred Wambua</w:t>
            </w:r>
          </w:p>
          <w:p w14:paraId="699ACAA4" w14:textId="66A5AA58" w:rsidR="00197E28" w:rsidRPr="00701592" w:rsidRDefault="00197E28" w:rsidP="00701592">
            <w:pPr>
              <w:spacing w:after="60"/>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NGEC</w:t>
            </w:r>
          </w:p>
        </w:tc>
      </w:tr>
      <w:tr w:rsidR="00197E28" w:rsidRPr="00701592" w14:paraId="3A035DB5" w14:textId="77777777" w:rsidTr="007C7574">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311" w:type="pct"/>
          </w:tcPr>
          <w:p w14:paraId="703FEE81" w14:textId="77777777" w:rsidR="00197E28" w:rsidRPr="00701592" w:rsidRDefault="00197E28" w:rsidP="00701592">
            <w:pPr>
              <w:spacing w:after="60"/>
              <w:contextualSpacing/>
              <w:jc w:val="both"/>
              <w:rPr>
                <w:rFonts w:ascii="Georgia" w:hAnsi="Georgia"/>
                <w:b w:val="0"/>
                <w:sz w:val="24"/>
                <w:szCs w:val="24"/>
                <w:lang w:val="en-US"/>
              </w:rPr>
            </w:pPr>
            <w:r w:rsidRPr="00701592">
              <w:rPr>
                <w:rFonts w:ascii="Georgia" w:hAnsi="Georgia"/>
                <w:b w:val="0"/>
                <w:sz w:val="24"/>
                <w:szCs w:val="24"/>
                <w:lang w:val="en-US"/>
              </w:rPr>
              <w:t>9:10 am -9: 20 am</w:t>
            </w:r>
          </w:p>
        </w:tc>
        <w:tc>
          <w:tcPr>
            <w:tcW w:w="2585" w:type="pct"/>
          </w:tcPr>
          <w:p w14:paraId="5FADACCB" w14:textId="77777777" w:rsidR="00197E28" w:rsidRPr="00701592" w:rsidRDefault="00197E28" w:rsidP="00701592">
            <w:pPr>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b/>
                <w:sz w:val="24"/>
                <w:szCs w:val="24"/>
                <w:lang w:val="en-US"/>
              </w:rPr>
            </w:pPr>
            <w:r w:rsidRPr="00701592">
              <w:rPr>
                <w:rFonts w:ascii="Georgia" w:hAnsi="Georgia"/>
                <w:b/>
                <w:sz w:val="24"/>
                <w:szCs w:val="24"/>
                <w:lang w:val="en-US"/>
              </w:rPr>
              <w:t>Welcome Remarks</w:t>
            </w:r>
          </w:p>
          <w:p w14:paraId="24CAD12C" w14:textId="77777777" w:rsidR="00197E28" w:rsidRPr="00701592" w:rsidRDefault="00197E28" w:rsidP="00701592">
            <w:pPr>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 xml:space="preserve">Betty Sungura, MBS </w:t>
            </w:r>
          </w:p>
          <w:p w14:paraId="13C74E44" w14:textId="77777777" w:rsidR="00197E28" w:rsidRPr="00701592" w:rsidRDefault="00197E28" w:rsidP="00701592">
            <w:pPr>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Commission Secretary/CEO, NGEC</w:t>
            </w:r>
          </w:p>
        </w:tc>
        <w:tc>
          <w:tcPr>
            <w:tcW w:w="1104" w:type="pct"/>
            <w:vMerge/>
          </w:tcPr>
          <w:p w14:paraId="601252E7" w14:textId="3A408677" w:rsidR="00197E28" w:rsidRPr="00701592" w:rsidRDefault="00197E28"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p>
        </w:tc>
      </w:tr>
      <w:tr w:rsidR="00701592" w:rsidRPr="00701592" w14:paraId="166518B3" w14:textId="77777777" w:rsidTr="007C7574">
        <w:trPr>
          <w:trHeight w:val="938"/>
        </w:trPr>
        <w:tc>
          <w:tcPr>
            <w:cnfStyle w:val="001000000000" w:firstRow="0" w:lastRow="0" w:firstColumn="1" w:lastColumn="0" w:oddVBand="0" w:evenVBand="0" w:oddHBand="0" w:evenHBand="0" w:firstRowFirstColumn="0" w:firstRowLastColumn="0" w:lastRowFirstColumn="0" w:lastRowLastColumn="0"/>
            <w:tcW w:w="1311" w:type="pct"/>
          </w:tcPr>
          <w:p w14:paraId="2E2EB0E9" w14:textId="77777777" w:rsidR="00701592" w:rsidRPr="00701592" w:rsidRDefault="00701592" w:rsidP="00701592">
            <w:pPr>
              <w:spacing w:after="60"/>
              <w:contextualSpacing/>
              <w:jc w:val="both"/>
              <w:rPr>
                <w:rFonts w:ascii="Georgia" w:hAnsi="Georgia"/>
                <w:b w:val="0"/>
                <w:sz w:val="24"/>
                <w:szCs w:val="24"/>
                <w:lang w:val="en-US"/>
              </w:rPr>
            </w:pPr>
            <w:r w:rsidRPr="00701592">
              <w:rPr>
                <w:rFonts w:ascii="Georgia" w:hAnsi="Georgia"/>
                <w:b w:val="0"/>
                <w:sz w:val="24"/>
                <w:szCs w:val="24"/>
                <w:lang w:val="en-US"/>
              </w:rPr>
              <w:t>9.20 am – 9.50 am</w:t>
            </w:r>
          </w:p>
        </w:tc>
        <w:tc>
          <w:tcPr>
            <w:tcW w:w="2585" w:type="pct"/>
          </w:tcPr>
          <w:p w14:paraId="5045B169" w14:textId="77777777" w:rsidR="00701592" w:rsidRPr="00701592" w:rsidRDefault="00701592" w:rsidP="00701592">
            <w:pPr>
              <w:spacing w:after="60"/>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b/>
                <w:sz w:val="24"/>
                <w:szCs w:val="24"/>
                <w:lang w:val="en-US"/>
              </w:rPr>
            </w:pPr>
            <w:r w:rsidRPr="00701592">
              <w:rPr>
                <w:rFonts w:ascii="Georgia" w:hAnsi="Georgia"/>
                <w:b/>
                <w:sz w:val="24"/>
                <w:szCs w:val="24"/>
                <w:lang w:val="en-US"/>
              </w:rPr>
              <w:t>Opening Remarks</w:t>
            </w:r>
          </w:p>
          <w:p w14:paraId="1CB3F006" w14:textId="77777777" w:rsidR="00701592" w:rsidRPr="00701592" w:rsidRDefault="00701592" w:rsidP="00701592">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Daniel Guenther, Head of German Development Cooperation, Germany Embassy Nairobi/Kenya</w:t>
            </w:r>
          </w:p>
          <w:p w14:paraId="3E0BD8B7" w14:textId="77777777" w:rsidR="00701592" w:rsidRPr="00701592" w:rsidRDefault="00701592" w:rsidP="00701592">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de-DE"/>
              </w:rPr>
            </w:pPr>
            <w:r w:rsidRPr="00701592">
              <w:rPr>
                <w:rFonts w:ascii="Georgia" w:hAnsi="Georgia"/>
                <w:sz w:val="24"/>
                <w:szCs w:val="24"/>
                <w:lang w:val="de-DE"/>
              </w:rPr>
              <w:t>Dr. Chomba Munyi, PhD, MBS</w:t>
            </w:r>
          </w:p>
          <w:p w14:paraId="6785C9B5" w14:textId="77777777" w:rsidR="00701592" w:rsidRPr="00701592" w:rsidRDefault="00701592" w:rsidP="00701592">
            <w:pPr>
              <w:ind w:left="720"/>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Vice Chairperson and Convener, RMED NGEC</w:t>
            </w:r>
          </w:p>
          <w:p w14:paraId="12980DCE" w14:textId="77777777" w:rsidR="00701592" w:rsidRPr="00701592" w:rsidRDefault="00701592" w:rsidP="00701592">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Dr. Joyce Mwikali Mutinda, PhD, EBS</w:t>
            </w:r>
          </w:p>
          <w:p w14:paraId="6E5664A3" w14:textId="77777777" w:rsidR="00701592" w:rsidRPr="00701592" w:rsidRDefault="00701592" w:rsidP="00701592">
            <w:pPr>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 xml:space="preserve">            </w:t>
            </w:r>
            <w:r w:rsidRPr="00701592">
              <w:rPr>
                <w:rFonts w:ascii="Georgia" w:hAnsi="Georgia"/>
                <w:sz w:val="24"/>
                <w:szCs w:val="24"/>
                <w:lang w:val="de-DE"/>
              </w:rPr>
              <w:t xml:space="preserve">Chairperson, NGEC </w:t>
            </w:r>
          </w:p>
        </w:tc>
        <w:tc>
          <w:tcPr>
            <w:tcW w:w="1104" w:type="pct"/>
          </w:tcPr>
          <w:p w14:paraId="035FA207" w14:textId="77777777" w:rsidR="00701592" w:rsidRPr="00701592" w:rsidRDefault="00701592" w:rsidP="00701592">
            <w:pPr>
              <w:spacing w:after="60"/>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Betty Sungura, MBS</w:t>
            </w:r>
          </w:p>
          <w:p w14:paraId="06D78DBC" w14:textId="77777777" w:rsidR="00701592" w:rsidRPr="00701592" w:rsidRDefault="00701592" w:rsidP="00701592">
            <w:pPr>
              <w:spacing w:after="60"/>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Commission Secretary/CEO, NGEC</w:t>
            </w:r>
          </w:p>
        </w:tc>
      </w:tr>
      <w:tr w:rsidR="00701592" w:rsidRPr="00701592" w14:paraId="58ECAAB8" w14:textId="77777777" w:rsidTr="00197E28">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311" w:type="pct"/>
          </w:tcPr>
          <w:p w14:paraId="3F7155BB" w14:textId="77777777" w:rsidR="00701592" w:rsidRPr="00701592" w:rsidRDefault="00701592" w:rsidP="00701592">
            <w:pPr>
              <w:spacing w:after="60"/>
              <w:contextualSpacing/>
              <w:jc w:val="both"/>
              <w:rPr>
                <w:rFonts w:ascii="Georgia" w:hAnsi="Georgia"/>
                <w:sz w:val="24"/>
                <w:szCs w:val="24"/>
                <w:lang w:val="en-US"/>
              </w:rPr>
            </w:pPr>
            <w:r w:rsidRPr="00701592">
              <w:rPr>
                <w:rFonts w:ascii="Georgia" w:hAnsi="Georgia"/>
                <w:sz w:val="24"/>
                <w:szCs w:val="24"/>
                <w:lang w:val="en-US"/>
              </w:rPr>
              <w:t>9.50 am-10.30 am</w:t>
            </w:r>
          </w:p>
        </w:tc>
        <w:tc>
          <w:tcPr>
            <w:tcW w:w="2585" w:type="pct"/>
          </w:tcPr>
          <w:p w14:paraId="79F2C471" w14:textId="1ACA4906" w:rsid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 xml:space="preserve">Presentation of the </w:t>
            </w:r>
            <w:r w:rsidR="00023805">
              <w:rPr>
                <w:rFonts w:ascii="Georgia" w:hAnsi="Georgia"/>
                <w:sz w:val="24"/>
                <w:szCs w:val="24"/>
                <w:lang w:val="en-US"/>
              </w:rPr>
              <w:t xml:space="preserve">Kenya </w:t>
            </w:r>
            <w:r w:rsidRPr="00701592">
              <w:rPr>
                <w:rFonts w:ascii="Georgia" w:hAnsi="Georgia"/>
                <w:sz w:val="24"/>
                <w:szCs w:val="24"/>
                <w:lang w:val="en-US"/>
              </w:rPr>
              <w:t>Diagnostic Inequality Study</w:t>
            </w:r>
            <w:r w:rsidR="00197E28">
              <w:rPr>
                <w:rFonts w:ascii="Georgia" w:hAnsi="Georgia"/>
                <w:sz w:val="24"/>
                <w:szCs w:val="24"/>
                <w:lang w:val="en-US"/>
              </w:rPr>
              <w:t>.</w:t>
            </w:r>
          </w:p>
          <w:p w14:paraId="5D6035A8" w14:textId="77777777" w:rsidR="00197E28" w:rsidRPr="00701592" w:rsidRDefault="00197E28"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p>
          <w:p w14:paraId="1AF45B0E" w14:textId="3E411A98" w:rsidR="00701592" w:rsidRPr="00701592" w:rsidRDefault="00701592" w:rsidP="00197E28">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nl-NL"/>
              </w:rPr>
            </w:pPr>
            <w:r w:rsidRPr="00701592">
              <w:rPr>
                <w:rFonts w:ascii="Georgia" w:hAnsi="Georgia"/>
                <w:b/>
                <w:sz w:val="24"/>
                <w:szCs w:val="24"/>
                <w:lang w:val="en-US"/>
              </w:rPr>
              <w:t>N</w:t>
            </w:r>
            <w:r w:rsidRPr="00701592">
              <w:rPr>
                <w:rFonts w:ascii="Georgia" w:hAnsi="Georgia"/>
                <w:b/>
                <w:sz w:val="24"/>
                <w:szCs w:val="24"/>
                <w:lang w:val="nl-NL"/>
              </w:rPr>
              <w:t>iek de Jong</w:t>
            </w:r>
            <w:r>
              <w:rPr>
                <w:rFonts w:ascii="Georgia" w:hAnsi="Georgia"/>
                <w:sz w:val="24"/>
                <w:szCs w:val="24"/>
                <w:lang w:val="nl-NL"/>
              </w:rPr>
              <w:t xml:space="preserve">  </w:t>
            </w:r>
            <w:r w:rsidRPr="00701592">
              <w:rPr>
                <w:rFonts w:ascii="Georgia" w:hAnsi="Georgia"/>
                <w:sz w:val="24"/>
                <w:szCs w:val="24"/>
                <w:lang w:val="nl-NL"/>
              </w:rPr>
              <w:t>ERBS, Erasmus University Rotterdam</w:t>
            </w:r>
          </w:p>
        </w:tc>
        <w:tc>
          <w:tcPr>
            <w:tcW w:w="1104" w:type="pct"/>
            <w:vMerge w:val="restart"/>
          </w:tcPr>
          <w:p w14:paraId="2B55E95A" w14:textId="117D945E" w:rsidR="00701592" w:rsidRP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Paul Kuria</w:t>
            </w:r>
            <w:r w:rsidR="00197E28">
              <w:rPr>
                <w:rFonts w:ascii="Georgia" w:hAnsi="Georgia"/>
                <w:sz w:val="24"/>
                <w:szCs w:val="24"/>
                <w:lang w:val="en-US"/>
              </w:rPr>
              <w:t>, OGW</w:t>
            </w:r>
          </w:p>
          <w:p w14:paraId="19E5DD31" w14:textId="00CCB7CB" w:rsidR="00701592" w:rsidRP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 xml:space="preserve">Director </w:t>
            </w:r>
            <w:r w:rsidR="00197E28" w:rsidRPr="00701592">
              <w:rPr>
                <w:rFonts w:ascii="Georgia" w:hAnsi="Georgia"/>
                <w:sz w:val="24"/>
                <w:szCs w:val="24"/>
                <w:lang w:val="en-US"/>
              </w:rPr>
              <w:t>Programs</w:t>
            </w:r>
            <w:r w:rsidRPr="00701592">
              <w:rPr>
                <w:rFonts w:ascii="Georgia" w:hAnsi="Georgia"/>
                <w:sz w:val="24"/>
                <w:szCs w:val="24"/>
                <w:lang w:val="en-US"/>
              </w:rPr>
              <w:t xml:space="preserve"> and Research</w:t>
            </w:r>
          </w:p>
          <w:p w14:paraId="22635CD2" w14:textId="77777777" w:rsidR="00701592" w:rsidRP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NGEC</w:t>
            </w:r>
          </w:p>
        </w:tc>
      </w:tr>
      <w:tr w:rsidR="00701592" w:rsidRPr="00701592" w14:paraId="6057B7BF" w14:textId="77777777" w:rsidTr="00701592">
        <w:trPr>
          <w:trHeight w:val="227"/>
        </w:trPr>
        <w:tc>
          <w:tcPr>
            <w:cnfStyle w:val="001000000000" w:firstRow="0" w:lastRow="0" w:firstColumn="1" w:lastColumn="0" w:oddVBand="0" w:evenVBand="0" w:oddHBand="0" w:evenHBand="0" w:firstRowFirstColumn="0" w:firstRowLastColumn="0" w:lastRowFirstColumn="0" w:lastRowLastColumn="0"/>
            <w:tcW w:w="1311" w:type="pct"/>
          </w:tcPr>
          <w:p w14:paraId="0C234327" w14:textId="1C7996B2" w:rsidR="00701592" w:rsidRPr="00701592" w:rsidRDefault="00701592" w:rsidP="00701592">
            <w:pPr>
              <w:spacing w:after="60"/>
              <w:contextualSpacing/>
              <w:jc w:val="both"/>
              <w:rPr>
                <w:rFonts w:ascii="Georgia" w:hAnsi="Georgia"/>
                <w:sz w:val="24"/>
                <w:szCs w:val="24"/>
                <w:lang w:val="en-US"/>
              </w:rPr>
            </w:pPr>
            <w:r>
              <w:rPr>
                <w:rFonts w:ascii="Georgia" w:hAnsi="Georgia"/>
                <w:sz w:val="24"/>
                <w:szCs w:val="24"/>
                <w:lang w:val="en-US"/>
              </w:rPr>
              <w:t>10.00-10.30a.m</w:t>
            </w:r>
          </w:p>
        </w:tc>
        <w:tc>
          <w:tcPr>
            <w:tcW w:w="2585" w:type="pct"/>
          </w:tcPr>
          <w:p w14:paraId="3FD3F9B9" w14:textId="790E433E" w:rsidR="00701592" w:rsidRPr="00701592" w:rsidRDefault="00701592" w:rsidP="00701592">
            <w:pPr>
              <w:spacing w:after="60"/>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r>
              <w:rPr>
                <w:rFonts w:ascii="Georgia" w:hAnsi="Georgia"/>
                <w:sz w:val="24"/>
                <w:szCs w:val="24"/>
                <w:lang w:val="nl-NL"/>
              </w:rPr>
              <w:t>Quick reactions and feedback from the floor</w:t>
            </w:r>
          </w:p>
        </w:tc>
        <w:tc>
          <w:tcPr>
            <w:tcW w:w="1104" w:type="pct"/>
            <w:vMerge/>
          </w:tcPr>
          <w:p w14:paraId="421FFDC8" w14:textId="77777777" w:rsidR="00701592" w:rsidRPr="00701592" w:rsidRDefault="00701592" w:rsidP="00701592">
            <w:pPr>
              <w:spacing w:after="60"/>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en-US"/>
              </w:rPr>
            </w:pPr>
          </w:p>
        </w:tc>
      </w:tr>
      <w:tr w:rsidR="00701592" w:rsidRPr="00701592" w14:paraId="3200EA12" w14:textId="77777777" w:rsidTr="007C757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311" w:type="pct"/>
          </w:tcPr>
          <w:p w14:paraId="0A5E4B29" w14:textId="77777777" w:rsidR="00701592" w:rsidRPr="00701592" w:rsidRDefault="00701592" w:rsidP="00701592">
            <w:pPr>
              <w:spacing w:after="60"/>
              <w:contextualSpacing/>
              <w:jc w:val="both"/>
              <w:rPr>
                <w:rFonts w:ascii="Georgia" w:hAnsi="Georgia"/>
                <w:sz w:val="24"/>
                <w:szCs w:val="24"/>
                <w:lang w:val="en-US"/>
              </w:rPr>
            </w:pPr>
            <w:r w:rsidRPr="00701592">
              <w:rPr>
                <w:rFonts w:ascii="Georgia" w:hAnsi="Georgia"/>
                <w:b w:val="0"/>
                <w:sz w:val="24"/>
                <w:szCs w:val="24"/>
                <w:lang w:val="en-US"/>
              </w:rPr>
              <w:t>10.30am – 11.00am</w:t>
            </w:r>
          </w:p>
        </w:tc>
        <w:tc>
          <w:tcPr>
            <w:tcW w:w="2585" w:type="pct"/>
          </w:tcPr>
          <w:p w14:paraId="5E76101A" w14:textId="77777777" w:rsidR="00701592" w:rsidRP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Health Break/Photo Session</w:t>
            </w:r>
          </w:p>
        </w:tc>
        <w:tc>
          <w:tcPr>
            <w:tcW w:w="1104" w:type="pct"/>
          </w:tcPr>
          <w:p w14:paraId="725495BA" w14:textId="77777777" w:rsidR="00701592" w:rsidRP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p>
        </w:tc>
      </w:tr>
      <w:tr w:rsidR="00701592" w:rsidRPr="00701592" w14:paraId="04B4ABF4" w14:textId="77777777" w:rsidTr="007C7574">
        <w:trPr>
          <w:trHeight w:val="863"/>
        </w:trPr>
        <w:tc>
          <w:tcPr>
            <w:cnfStyle w:val="001000000000" w:firstRow="0" w:lastRow="0" w:firstColumn="1" w:lastColumn="0" w:oddVBand="0" w:evenVBand="0" w:oddHBand="0" w:evenHBand="0" w:firstRowFirstColumn="0" w:firstRowLastColumn="0" w:lastRowFirstColumn="0" w:lastRowLastColumn="0"/>
            <w:tcW w:w="1311" w:type="pct"/>
          </w:tcPr>
          <w:p w14:paraId="682084C9" w14:textId="77777777" w:rsidR="00701592" w:rsidRPr="00701592" w:rsidRDefault="00701592" w:rsidP="00701592">
            <w:pPr>
              <w:spacing w:after="60"/>
              <w:contextualSpacing/>
              <w:jc w:val="both"/>
              <w:rPr>
                <w:rFonts w:ascii="Georgia" w:hAnsi="Georgia"/>
                <w:b w:val="0"/>
                <w:sz w:val="24"/>
                <w:szCs w:val="24"/>
                <w:lang w:val="en-US"/>
              </w:rPr>
            </w:pPr>
            <w:r w:rsidRPr="00701592">
              <w:rPr>
                <w:rFonts w:ascii="Georgia" w:hAnsi="Georgia"/>
                <w:b w:val="0"/>
                <w:sz w:val="24"/>
                <w:szCs w:val="24"/>
                <w:lang w:val="en-US"/>
              </w:rPr>
              <w:t>11: 00am – 12: 30pm</w:t>
            </w:r>
          </w:p>
        </w:tc>
        <w:tc>
          <w:tcPr>
            <w:tcW w:w="2585" w:type="pct"/>
          </w:tcPr>
          <w:p w14:paraId="42930177" w14:textId="3D603FAD" w:rsidR="00701592" w:rsidRPr="00701592" w:rsidRDefault="00701592" w:rsidP="00701592">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b/>
                <w:color w:val="000000" w:themeColor="text1"/>
                <w:sz w:val="24"/>
                <w:szCs w:val="24"/>
                <w:lang w:val="en-US"/>
              </w:rPr>
            </w:pPr>
            <w:r w:rsidRPr="00701592">
              <w:rPr>
                <w:rFonts w:ascii="Georgia" w:eastAsia="Times New Roman" w:hAnsi="Georgia" w:cs="Calibri"/>
                <w:b/>
                <w:color w:val="000000" w:themeColor="text1"/>
                <w:sz w:val="24"/>
                <w:szCs w:val="24"/>
                <w:lang w:val="en-US"/>
              </w:rPr>
              <w:t>Plenum</w:t>
            </w:r>
            <w:r>
              <w:rPr>
                <w:rFonts w:ascii="Georgia" w:eastAsia="Times New Roman" w:hAnsi="Georgia" w:cs="Calibri"/>
                <w:b/>
                <w:color w:val="000000" w:themeColor="text1"/>
                <w:sz w:val="24"/>
                <w:szCs w:val="24"/>
                <w:lang w:val="en-US"/>
              </w:rPr>
              <w:t>: Discussions of the report; scope, content, and limitations</w:t>
            </w:r>
          </w:p>
          <w:p w14:paraId="1CAC0208" w14:textId="77777777" w:rsidR="00701592" w:rsidRPr="00701592" w:rsidRDefault="00701592" w:rsidP="00701592">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themeColor="text1"/>
                <w:sz w:val="24"/>
                <w:szCs w:val="24"/>
                <w:lang w:val="en-US"/>
              </w:rPr>
            </w:pPr>
            <w:r w:rsidRPr="00701592">
              <w:rPr>
                <w:rFonts w:ascii="Georgia" w:eastAsia="Times New Roman" w:hAnsi="Georgia" w:cs="Calibri"/>
                <w:color w:val="000000" w:themeColor="text1"/>
                <w:sz w:val="24"/>
                <w:szCs w:val="24"/>
                <w:lang w:val="en-US"/>
              </w:rPr>
              <w:t>Commissioner Dr. Margaret Karungaru</w:t>
            </w:r>
          </w:p>
          <w:p w14:paraId="0DD6B18B" w14:textId="77777777" w:rsidR="00701592" w:rsidRPr="00701592" w:rsidRDefault="00701592" w:rsidP="00701592">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themeColor="text1"/>
                <w:sz w:val="24"/>
                <w:szCs w:val="24"/>
                <w:lang w:val="en-US"/>
              </w:rPr>
            </w:pPr>
            <w:r w:rsidRPr="00701592">
              <w:rPr>
                <w:rFonts w:ascii="Georgia" w:eastAsia="Times New Roman" w:hAnsi="Georgia" w:cs="Calibri"/>
                <w:color w:val="000000" w:themeColor="text1"/>
                <w:sz w:val="24"/>
                <w:szCs w:val="24"/>
                <w:lang w:val="en-US"/>
              </w:rPr>
              <w:t>NGEC</w:t>
            </w:r>
          </w:p>
        </w:tc>
        <w:tc>
          <w:tcPr>
            <w:tcW w:w="1104" w:type="pct"/>
            <w:vMerge w:val="restart"/>
          </w:tcPr>
          <w:p w14:paraId="0065E3A9" w14:textId="77777777" w:rsidR="00701592" w:rsidRPr="00701592" w:rsidRDefault="00701592" w:rsidP="00701592">
            <w:pPr>
              <w:spacing w:after="60"/>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de-DE"/>
              </w:rPr>
            </w:pPr>
            <w:r w:rsidRPr="00701592">
              <w:rPr>
                <w:rFonts w:ascii="Georgia" w:hAnsi="Georgia"/>
                <w:sz w:val="24"/>
                <w:szCs w:val="24"/>
                <w:lang w:val="de-DE"/>
              </w:rPr>
              <w:t>Betty Sungura, MBS,NGEC</w:t>
            </w:r>
          </w:p>
          <w:p w14:paraId="5FDB8CC8" w14:textId="77777777" w:rsidR="00701592" w:rsidRPr="00701592" w:rsidRDefault="00701592" w:rsidP="00701592">
            <w:pPr>
              <w:spacing w:after="60"/>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de-DE"/>
              </w:rPr>
            </w:pPr>
          </w:p>
        </w:tc>
      </w:tr>
      <w:tr w:rsidR="00701592" w:rsidRPr="00701592" w14:paraId="1BB7BF38" w14:textId="77777777" w:rsidTr="007C7574">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311" w:type="pct"/>
          </w:tcPr>
          <w:p w14:paraId="22356298" w14:textId="77777777" w:rsidR="00701592" w:rsidRPr="00701592" w:rsidRDefault="00701592" w:rsidP="00701592">
            <w:pPr>
              <w:spacing w:after="60"/>
              <w:contextualSpacing/>
              <w:jc w:val="both"/>
              <w:rPr>
                <w:rFonts w:ascii="Georgia" w:hAnsi="Georgia"/>
                <w:b w:val="0"/>
                <w:sz w:val="24"/>
                <w:szCs w:val="24"/>
                <w:lang w:val="en-US"/>
              </w:rPr>
            </w:pPr>
            <w:r w:rsidRPr="00701592">
              <w:rPr>
                <w:rFonts w:ascii="Georgia" w:hAnsi="Georgia"/>
                <w:b w:val="0"/>
                <w:sz w:val="24"/>
                <w:szCs w:val="24"/>
                <w:lang w:val="en-US"/>
              </w:rPr>
              <w:t>12.30pm –  12.45 pm</w:t>
            </w:r>
          </w:p>
        </w:tc>
        <w:tc>
          <w:tcPr>
            <w:tcW w:w="2585" w:type="pct"/>
          </w:tcPr>
          <w:p w14:paraId="75142879" w14:textId="77777777" w:rsidR="00701592" w:rsidRP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b/>
                <w:color w:val="000000" w:themeColor="text1"/>
                <w:sz w:val="24"/>
                <w:szCs w:val="24"/>
                <w:lang w:val="en-US"/>
              </w:rPr>
            </w:pPr>
            <w:r w:rsidRPr="00701592">
              <w:rPr>
                <w:rFonts w:ascii="Georgia" w:hAnsi="Georgia"/>
                <w:b/>
                <w:color w:val="000000" w:themeColor="text1"/>
                <w:sz w:val="24"/>
                <w:szCs w:val="24"/>
                <w:lang w:val="en-US"/>
              </w:rPr>
              <w:t>Closing Remarks</w:t>
            </w:r>
          </w:p>
          <w:p w14:paraId="2161A032" w14:textId="77777777" w:rsidR="00701592" w:rsidRPr="00701592" w:rsidRDefault="00701592" w:rsidP="00701592">
            <w:pPr>
              <w:spacing w:after="60"/>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Commissioner Thomas Koyier, EBS</w:t>
            </w:r>
          </w:p>
          <w:p w14:paraId="394B69EB" w14:textId="77777777" w:rsidR="00701592" w:rsidRPr="00701592" w:rsidRDefault="00701592" w:rsidP="00701592">
            <w:pPr>
              <w:spacing w:after="6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en-US"/>
              </w:rPr>
            </w:pPr>
            <w:r w:rsidRPr="00701592">
              <w:rPr>
                <w:rFonts w:ascii="Georgia" w:hAnsi="Georgia"/>
                <w:sz w:val="24"/>
                <w:szCs w:val="24"/>
                <w:lang w:val="en-US"/>
              </w:rPr>
              <w:t>NGEC</w:t>
            </w:r>
          </w:p>
        </w:tc>
        <w:tc>
          <w:tcPr>
            <w:tcW w:w="1104" w:type="pct"/>
            <w:vMerge/>
          </w:tcPr>
          <w:p w14:paraId="1D2B285A" w14:textId="77777777" w:rsidR="00701592" w:rsidRPr="00701592" w:rsidRDefault="00701592" w:rsidP="00701592">
            <w:pPr>
              <w:spacing w:after="60"/>
              <w:jc w:val="both"/>
              <w:cnfStyle w:val="000000100000" w:firstRow="0" w:lastRow="0" w:firstColumn="0" w:lastColumn="0" w:oddVBand="0" w:evenVBand="0" w:oddHBand="1" w:evenHBand="0" w:firstRowFirstColumn="0" w:firstRowLastColumn="0" w:lastRowFirstColumn="0" w:lastRowLastColumn="0"/>
              <w:rPr>
                <w:rFonts w:ascii="Georgia" w:hAnsi="Georgia"/>
                <w:sz w:val="24"/>
                <w:szCs w:val="24"/>
                <w:lang w:val="de-DE"/>
              </w:rPr>
            </w:pPr>
          </w:p>
        </w:tc>
      </w:tr>
      <w:tr w:rsidR="00701592" w:rsidRPr="00701592" w14:paraId="56FD5340" w14:textId="77777777" w:rsidTr="007C7574">
        <w:trPr>
          <w:trHeight w:val="50"/>
        </w:trPr>
        <w:tc>
          <w:tcPr>
            <w:cnfStyle w:val="001000000000" w:firstRow="0" w:lastRow="0" w:firstColumn="1" w:lastColumn="0" w:oddVBand="0" w:evenVBand="0" w:oddHBand="0" w:evenHBand="0" w:firstRowFirstColumn="0" w:firstRowLastColumn="0" w:lastRowFirstColumn="0" w:lastRowLastColumn="0"/>
            <w:tcW w:w="1311" w:type="pct"/>
          </w:tcPr>
          <w:p w14:paraId="732F757F" w14:textId="77777777" w:rsidR="00701592" w:rsidRPr="00701592" w:rsidRDefault="00701592" w:rsidP="00701592">
            <w:pPr>
              <w:spacing w:after="60"/>
              <w:contextualSpacing/>
              <w:jc w:val="both"/>
              <w:rPr>
                <w:rFonts w:ascii="Georgia" w:hAnsi="Georgia"/>
                <w:b w:val="0"/>
                <w:sz w:val="24"/>
                <w:szCs w:val="24"/>
                <w:lang w:val="en-US"/>
              </w:rPr>
            </w:pPr>
            <w:r w:rsidRPr="00701592">
              <w:rPr>
                <w:rFonts w:ascii="Georgia" w:hAnsi="Georgia"/>
                <w:b w:val="0"/>
                <w:sz w:val="24"/>
                <w:szCs w:val="24"/>
                <w:lang w:val="en-US"/>
              </w:rPr>
              <w:t>12.45pm</w:t>
            </w:r>
          </w:p>
        </w:tc>
        <w:tc>
          <w:tcPr>
            <w:tcW w:w="2585" w:type="pct"/>
          </w:tcPr>
          <w:p w14:paraId="7EBB8524" w14:textId="77777777" w:rsidR="00701592" w:rsidRPr="00701592" w:rsidRDefault="00701592" w:rsidP="00701592">
            <w:pPr>
              <w:spacing w:after="60"/>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de-DE"/>
              </w:rPr>
            </w:pPr>
            <w:r w:rsidRPr="00701592">
              <w:rPr>
                <w:rFonts w:ascii="Georgia" w:hAnsi="Georgia"/>
                <w:sz w:val="24"/>
                <w:szCs w:val="24"/>
                <w:lang w:val="de-DE"/>
              </w:rPr>
              <w:t>Lunch and Departure</w:t>
            </w:r>
          </w:p>
        </w:tc>
        <w:tc>
          <w:tcPr>
            <w:tcW w:w="1104" w:type="pct"/>
          </w:tcPr>
          <w:p w14:paraId="7AEFA797" w14:textId="77777777" w:rsidR="00701592" w:rsidRPr="00701592" w:rsidRDefault="00701592" w:rsidP="00701592">
            <w:pPr>
              <w:spacing w:after="60"/>
              <w:jc w:val="both"/>
              <w:cnfStyle w:val="000000000000" w:firstRow="0" w:lastRow="0" w:firstColumn="0" w:lastColumn="0" w:oddVBand="0" w:evenVBand="0" w:oddHBand="0" w:evenHBand="0" w:firstRowFirstColumn="0" w:firstRowLastColumn="0" w:lastRowFirstColumn="0" w:lastRowLastColumn="0"/>
              <w:rPr>
                <w:rFonts w:ascii="Georgia" w:hAnsi="Georgia"/>
                <w:sz w:val="24"/>
                <w:szCs w:val="24"/>
                <w:lang w:val="de-DE"/>
              </w:rPr>
            </w:pPr>
          </w:p>
        </w:tc>
      </w:tr>
    </w:tbl>
    <w:p w14:paraId="3C34B1A5" w14:textId="2407A538" w:rsidR="00374188" w:rsidRPr="00374188" w:rsidRDefault="00374188" w:rsidP="00197E28"/>
    <w:sectPr w:rsidR="00374188" w:rsidRPr="00374188" w:rsidSect="00346D1C">
      <w:pgSz w:w="11906" w:h="16838" w:code="9"/>
      <w:pgMar w:top="1008" w:right="1008" w:bottom="1008"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6A84F" w14:textId="77777777" w:rsidR="00D209E4" w:rsidRDefault="00D209E4" w:rsidP="00EF2B26">
      <w:pPr>
        <w:spacing w:after="0" w:line="240" w:lineRule="auto"/>
      </w:pPr>
      <w:r>
        <w:separator/>
      </w:r>
    </w:p>
  </w:endnote>
  <w:endnote w:type="continuationSeparator" w:id="0">
    <w:p w14:paraId="1F5BC588" w14:textId="77777777" w:rsidR="00D209E4" w:rsidRDefault="00D209E4" w:rsidP="00EF2B26">
      <w:pPr>
        <w:spacing w:after="0" w:line="240" w:lineRule="auto"/>
      </w:pPr>
      <w:r>
        <w:continuationSeparator/>
      </w:r>
    </w:p>
  </w:endnote>
  <w:endnote w:type="continuationNotice" w:id="1">
    <w:p w14:paraId="3CD15C6F" w14:textId="77777777" w:rsidR="00D209E4" w:rsidRDefault="00D209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AB786" w14:textId="17850C1D" w:rsidR="003646EB" w:rsidRDefault="003646EB">
    <w:pPr>
      <w:pStyle w:val="Footer"/>
    </w:pPr>
    <w:r>
      <w:rPr>
        <w:noProof/>
        <w:lang w:val="en-US"/>
      </w:rPr>
      <mc:AlternateContent>
        <mc:Choice Requires="wps">
          <w:drawing>
            <wp:anchor distT="0" distB="0" distL="0" distR="0" simplePos="0" relativeHeight="251659264" behindDoc="0" locked="0" layoutInCell="1" allowOverlap="1" wp14:anchorId="662E6756" wp14:editId="46A715E7">
              <wp:simplePos x="635" y="635"/>
              <wp:positionH relativeFrom="page">
                <wp:align>left</wp:align>
              </wp:positionH>
              <wp:positionV relativeFrom="page">
                <wp:align>bottom</wp:align>
              </wp:positionV>
              <wp:extent cx="443865" cy="443865"/>
              <wp:effectExtent l="0" t="0" r="13335" b="0"/>
              <wp:wrapNone/>
              <wp:docPr id="23" name="Text Box 23"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21C9D5" w14:textId="4648DBD3" w:rsidR="003646EB" w:rsidRPr="00E14904" w:rsidRDefault="003646EB" w:rsidP="00E14904">
                          <w:pPr>
                            <w:spacing w:after="0"/>
                            <w:rPr>
                              <w:rFonts w:ascii="Calibri" w:eastAsia="Calibri" w:hAnsi="Calibri" w:cs="Calibri"/>
                              <w:noProof/>
                              <w:color w:val="000000"/>
                              <w:sz w:val="20"/>
                              <w:szCs w:val="20"/>
                            </w:rPr>
                          </w:pPr>
                          <w:r w:rsidRPr="00E14904">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2E6756" id="_x0000_t202" coordsize="21600,21600" o:spt="202" path="m,l,21600r21600,l21600,xe">
              <v:stroke joinstyle="miter"/>
              <v:path gradientshapeok="t" o:connecttype="rect"/>
            </v:shapetype>
            <v:shape id="Text Box 23" o:spid="_x0000_s1092" type="#_x0000_t202" alt="Classification: Intern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" filled="f" stroked="f">
              <v:textbox style="mso-fit-shape-to-text:t" inset="20pt,0,0,15pt">
                <w:txbxContent>
                  <w:p w14:paraId="5721C9D5" w14:textId="4648DBD3" w:rsidR="003646EB" w:rsidRPr="00E14904" w:rsidRDefault="003646EB" w:rsidP="00E14904">
                    <w:pPr>
                      <w:spacing w:after="0"/>
                      <w:rPr>
                        <w:rFonts w:ascii="Calibri" w:eastAsia="Calibri" w:hAnsi="Calibri" w:cs="Calibri"/>
                        <w:noProof/>
                        <w:color w:val="000000"/>
                        <w:sz w:val="20"/>
                        <w:szCs w:val="20"/>
                      </w:rPr>
                    </w:pPr>
                    <w:r w:rsidRPr="00E14904">
                      <w:rPr>
                        <w:rFonts w:ascii="Calibri" w:eastAsia="Calibri" w:hAnsi="Calibri" w:cs="Calibri"/>
                        <w:noProof/>
                        <w:color w:val="000000"/>
                        <w:sz w:val="20"/>
                        <w:szCs w:val="20"/>
                      </w:rPr>
                      <w:t>Classification: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E75F" w14:textId="2748DE69" w:rsidR="003646EB" w:rsidRDefault="003646EB">
    <w:pPr>
      <w:pStyle w:val="Footer"/>
      <w:jc w:val="right"/>
    </w:pPr>
    <w:r>
      <w:rPr>
        <w:noProof/>
        <w:lang w:val="en-US"/>
      </w:rPr>
      <mc:AlternateContent>
        <mc:Choice Requires="wps">
          <w:drawing>
            <wp:anchor distT="0" distB="0" distL="0" distR="0" simplePos="0" relativeHeight="251660288" behindDoc="0" locked="0" layoutInCell="1" allowOverlap="1" wp14:anchorId="40BFC0F2" wp14:editId="5BB18B09">
              <wp:simplePos x="635" y="635"/>
              <wp:positionH relativeFrom="page">
                <wp:align>left</wp:align>
              </wp:positionH>
              <wp:positionV relativeFrom="page">
                <wp:align>bottom</wp:align>
              </wp:positionV>
              <wp:extent cx="443865" cy="443865"/>
              <wp:effectExtent l="0" t="0" r="13335" b="0"/>
              <wp:wrapNone/>
              <wp:docPr id="24" name="Text Box 24"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EED6B" w14:textId="49C71064" w:rsidR="003646EB" w:rsidRPr="00E14904" w:rsidRDefault="003646EB" w:rsidP="00E14904">
                          <w:pPr>
                            <w:spacing w:after="0"/>
                            <w:rPr>
                              <w:rFonts w:ascii="Calibri" w:eastAsia="Calibri" w:hAnsi="Calibri" w:cs="Calibri"/>
                              <w:noProof/>
                              <w:color w:val="000000"/>
                              <w:sz w:val="20"/>
                              <w:szCs w:val="20"/>
                            </w:rPr>
                          </w:pPr>
                          <w:r w:rsidRPr="00E14904">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BFC0F2" id="_x0000_t202" coordsize="21600,21600" o:spt="202" path="m,l,21600r21600,l21600,xe">
              <v:stroke joinstyle="miter"/>
              <v:path gradientshapeok="t" o:connecttype="rect"/>
            </v:shapetype>
            <v:shape id="Text Box 24" o:spid="_x0000_s1093" type="#_x0000_t202" alt="Classification: Intern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" filled="f" stroked="f">
              <v:textbox style="mso-fit-shape-to-text:t" inset="20pt,0,0,15pt">
                <w:txbxContent>
                  <w:p w14:paraId="795EED6B" w14:textId="49C71064" w:rsidR="003646EB" w:rsidRPr="00E14904" w:rsidRDefault="003646EB" w:rsidP="00E14904">
                    <w:pPr>
                      <w:spacing w:after="0"/>
                      <w:rPr>
                        <w:rFonts w:ascii="Calibri" w:eastAsia="Calibri" w:hAnsi="Calibri" w:cs="Calibri"/>
                        <w:noProof/>
                        <w:color w:val="000000"/>
                        <w:sz w:val="20"/>
                        <w:szCs w:val="20"/>
                      </w:rPr>
                    </w:pPr>
                    <w:r w:rsidRPr="00E14904">
                      <w:rPr>
                        <w:rFonts w:ascii="Calibri" w:eastAsia="Calibri" w:hAnsi="Calibri" w:cs="Calibri"/>
                        <w:noProof/>
                        <w:color w:val="000000"/>
                        <w:sz w:val="20"/>
                        <w:szCs w:val="20"/>
                      </w:rPr>
                      <w:t>Classification: Internal</w:t>
                    </w:r>
                  </w:p>
                </w:txbxContent>
              </v:textbox>
              <w10:wrap anchorx="page" anchory="page"/>
            </v:shape>
          </w:pict>
        </mc:Fallback>
      </mc:AlternateContent>
    </w:r>
    <w:sdt>
      <w:sdtPr>
        <w:id w:val="-1028640517"/>
        <w:docPartObj>
          <w:docPartGallery w:val="Page Numbers (Bottom of Page)"/>
          <w:docPartUnique/>
        </w:docPartObj>
      </w:sdtPr>
      <w:sdtEndPr>
        <w:rPr>
          <w:rFonts w:ascii="Times New Roman" w:hAnsi="Times New Roman" w:cs="Times New Roman"/>
        </w:rPr>
      </w:sdtEndPr>
      <w:sdtContent>
        <w:r w:rsidRPr="00EF4F0A">
          <w:rPr>
            <w:rFonts w:ascii="Times New Roman" w:hAnsi="Times New Roman" w:cs="Times New Roman"/>
          </w:rPr>
          <w:fldChar w:fldCharType="begin"/>
        </w:r>
        <w:r w:rsidRPr="00EF4F0A">
          <w:rPr>
            <w:rFonts w:ascii="Times New Roman" w:hAnsi="Times New Roman" w:cs="Times New Roman"/>
          </w:rPr>
          <w:instrText>PAGE   \* MERGEFORMAT</w:instrText>
        </w:r>
        <w:r w:rsidRPr="00EF4F0A">
          <w:rPr>
            <w:rFonts w:ascii="Times New Roman" w:hAnsi="Times New Roman" w:cs="Times New Roman"/>
          </w:rPr>
          <w:fldChar w:fldCharType="separate"/>
        </w:r>
        <w:r w:rsidR="00D50C82" w:rsidRPr="00D50C82">
          <w:rPr>
            <w:rFonts w:ascii="Times New Roman" w:hAnsi="Times New Roman" w:cs="Times New Roman"/>
            <w:noProof/>
            <w:lang w:val="es-ES"/>
          </w:rPr>
          <w:t>II</w:t>
        </w:r>
        <w:r w:rsidRPr="00EF4F0A">
          <w:rPr>
            <w:rFonts w:ascii="Times New Roman" w:hAnsi="Times New Roman" w:cs="Times New Roman"/>
          </w:rPr>
          <w:fldChar w:fldCharType="end"/>
        </w:r>
      </w:sdtContent>
    </w:sdt>
  </w:p>
  <w:p w14:paraId="0400E042" w14:textId="77777777" w:rsidR="003646EB" w:rsidRDefault="00364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D300" w14:textId="185F4CC2" w:rsidR="003646EB" w:rsidRDefault="003646EB">
    <w:pPr>
      <w:pStyle w:val="Footer"/>
      <w:jc w:val="right"/>
    </w:pPr>
  </w:p>
  <w:p w14:paraId="18F6558A" w14:textId="77777777" w:rsidR="003646EB" w:rsidRDefault="003646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27E9" w14:textId="1C3BCCF9" w:rsidR="003646EB" w:rsidRDefault="003646EB">
    <w:pPr>
      <w:pStyle w:val="Footer"/>
    </w:pPr>
    <w:r>
      <w:rPr>
        <w:noProof/>
        <w:lang w:val="en-US"/>
      </w:rPr>
      <mc:AlternateContent>
        <mc:Choice Requires="wps">
          <w:drawing>
            <wp:anchor distT="0" distB="0" distL="0" distR="0" simplePos="0" relativeHeight="251662336" behindDoc="0" locked="0" layoutInCell="1" allowOverlap="1" wp14:anchorId="3D333F67" wp14:editId="6820F45D">
              <wp:simplePos x="635" y="635"/>
              <wp:positionH relativeFrom="page">
                <wp:align>left</wp:align>
              </wp:positionH>
              <wp:positionV relativeFrom="page">
                <wp:align>bottom</wp:align>
              </wp:positionV>
              <wp:extent cx="443865" cy="443865"/>
              <wp:effectExtent l="0" t="0" r="13335" b="0"/>
              <wp:wrapNone/>
              <wp:docPr id="26" name="Text Box 26"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02881" w14:textId="662EC0AA" w:rsidR="003646EB" w:rsidRPr="00E14904" w:rsidRDefault="003646EB" w:rsidP="00E14904">
                          <w:pPr>
                            <w:spacing w:after="0"/>
                            <w:rPr>
                              <w:rFonts w:ascii="Calibri" w:eastAsia="Calibri" w:hAnsi="Calibri" w:cs="Calibri"/>
                              <w:noProof/>
                              <w:color w:val="000000"/>
                              <w:sz w:val="20"/>
                              <w:szCs w:val="20"/>
                            </w:rPr>
                          </w:pPr>
                          <w:r w:rsidRPr="00E14904">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333F67" id="_x0000_t202" coordsize="21600,21600" o:spt="202" path="m,l,21600r21600,l21600,xe">
              <v:stroke joinstyle="miter"/>
              <v:path gradientshapeok="t" o:connecttype="rect"/>
            </v:shapetype>
            <v:shape id="Text Box 26" o:spid="_x0000_s1094" type="#_x0000_t202" alt="Classification: 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" filled="f" stroked="f">
              <v:textbox style="mso-fit-shape-to-text:t" inset="20pt,0,0,15pt">
                <w:txbxContent>
                  <w:p w14:paraId="68502881" w14:textId="662EC0AA" w:rsidR="003646EB" w:rsidRPr="00E14904" w:rsidRDefault="003646EB" w:rsidP="00E14904">
                    <w:pPr>
                      <w:spacing w:after="0"/>
                      <w:rPr>
                        <w:rFonts w:ascii="Calibri" w:eastAsia="Calibri" w:hAnsi="Calibri" w:cs="Calibri"/>
                        <w:noProof/>
                        <w:color w:val="000000"/>
                        <w:sz w:val="20"/>
                        <w:szCs w:val="20"/>
                      </w:rPr>
                    </w:pPr>
                    <w:r w:rsidRPr="00E14904">
                      <w:rPr>
                        <w:rFonts w:ascii="Calibri" w:eastAsia="Calibri" w:hAnsi="Calibri" w:cs="Calibri"/>
                        <w:noProof/>
                        <w:color w:val="000000"/>
                        <w:sz w:val="20"/>
                        <w:szCs w:val="20"/>
                      </w:rPr>
                      <w:t>Classification: 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502343"/>
      <w:docPartObj>
        <w:docPartGallery w:val="Page Numbers (Bottom of Page)"/>
        <w:docPartUnique/>
      </w:docPartObj>
    </w:sdtPr>
    <w:sdtEndPr>
      <w:rPr>
        <w:noProof/>
      </w:rPr>
    </w:sdtEndPr>
    <w:sdtContent>
      <w:p w14:paraId="1AF6A12F" w14:textId="34BDACDF" w:rsidR="003646EB" w:rsidRDefault="003646EB">
        <w:pPr>
          <w:pStyle w:val="Footer"/>
          <w:jc w:val="right"/>
        </w:pPr>
        <w:r>
          <w:fldChar w:fldCharType="begin"/>
        </w:r>
        <w:r>
          <w:instrText xml:space="preserve"> PAGE   \* MERGEFORMAT </w:instrText>
        </w:r>
        <w:r>
          <w:fldChar w:fldCharType="separate"/>
        </w:r>
        <w:r w:rsidR="003F0B18">
          <w:rPr>
            <w:noProof/>
          </w:rPr>
          <w:t>II</w:t>
        </w:r>
        <w:r>
          <w:rPr>
            <w:noProof/>
          </w:rPr>
          <w:fldChar w:fldCharType="end"/>
        </w:r>
      </w:p>
    </w:sdtContent>
  </w:sdt>
  <w:p w14:paraId="146AEEBE" w14:textId="50EFCF75" w:rsidR="003646EB" w:rsidRDefault="003646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2532" w14:textId="13788F32" w:rsidR="003646EB" w:rsidRPr="00EF4F0A" w:rsidRDefault="003646EB">
    <w:pPr>
      <w:pStyle w:val="Footer"/>
      <w:jc w:val="right"/>
      <w:rPr>
        <w:rFonts w:ascii="Times New Roman" w:hAnsi="Times New Roman" w:cs="Times New Roman"/>
      </w:rPr>
    </w:pPr>
    <w:r w:rsidRPr="00EF4F0A">
      <w:rPr>
        <w:rFonts w:ascii="Times New Roman" w:hAnsi="Times New Roman" w:cs="Times New Roman"/>
      </w:rPr>
      <w:fldChar w:fldCharType="begin"/>
    </w:r>
    <w:r w:rsidRPr="00EF4F0A">
      <w:rPr>
        <w:rFonts w:ascii="Times New Roman" w:hAnsi="Times New Roman" w:cs="Times New Roman"/>
      </w:rPr>
      <w:instrText xml:space="preserve"> PAGE   \* MERGEFORMAT </w:instrText>
    </w:r>
    <w:r w:rsidRPr="00EF4F0A">
      <w:rPr>
        <w:rFonts w:ascii="Times New Roman" w:hAnsi="Times New Roman" w:cs="Times New Roman"/>
      </w:rPr>
      <w:fldChar w:fldCharType="separate"/>
    </w:r>
    <w:r w:rsidR="003F0B18">
      <w:rPr>
        <w:rFonts w:ascii="Times New Roman" w:hAnsi="Times New Roman" w:cs="Times New Roman"/>
        <w:noProof/>
      </w:rPr>
      <w:t>I</w:t>
    </w:r>
    <w:r w:rsidRPr="00EF4F0A">
      <w:rPr>
        <w:rFonts w:ascii="Times New Roman" w:hAnsi="Times New Roman" w:cs="Times New Roman"/>
        <w:noProof/>
      </w:rPr>
      <w:fldChar w:fldCharType="end"/>
    </w:r>
  </w:p>
  <w:p w14:paraId="5226E825" w14:textId="77777777" w:rsidR="003646EB" w:rsidRDefault="003646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26A4" w14:textId="2AFAA1B6" w:rsidR="003646EB" w:rsidRDefault="003646EB">
    <w:pPr>
      <w:pStyle w:val="Footer"/>
    </w:pPr>
    <w:r>
      <w:rPr>
        <w:noProof/>
        <w:lang w:val="en-US"/>
      </w:rPr>
      <mc:AlternateContent>
        <mc:Choice Requires="wps">
          <w:drawing>
            <wp:anchor distT="0" distB="0" distL="0" distR="0" simplePos="0" relativeHeight="251665408" behindDoc="0" locked="0" layoutInCell="1" allowOverlap="1" wp14:anchorId="6C1A9935" wp14:editId="6B66DAAA">
              <wp:simplePos x="635" y="635"/>
              <wp:positionH relativeFrom="page">
                <wp:align>left</wp:align>
              </wp:positionH>
              <wp:positionV relativeFrom="page">
                <wp:align>bottom</wp:align>
              </wp:positionV>
              <wp:extent cx="443865" cy="443865"/>
              <wp:effectExtent l="0" t="0" r="13335" b="0"/>
              <wp:wrapNone/>
              <wp:docPr id="29" name="Text Box 29"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90A3F" w14:textId="5CEAF544" w:rsidR="003646EB" w:rsidRPr="00E14904" w:rsidRDefault="003646EB" w:rsidP="00E14904">
                          <w:pPr>
                            <w:spacing w:after="0"/>
                            <w:rPr>
                              <w:rFonts w:ascii="Calibri" w:eastAsia="Calibri" w:hAnsi="Calibri" w:cs="Calibri"/>
                              <w:noProof/>
                              <w:color w:val="000000"/>
                              <w:sz w:val="20"/>
                              <w:szCs w:val="20"/>
                            </w:rPr>
                          </w:pPr>
                          <w:r w:rsidRPr="00E14904">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1A9935" id="_x0000_t202" coordsize="21600,21600" o:spt="202" path="m,l,21600r21600,l21600,xe">
              <v:stroke joinstyle="miter"/>
              <v:path gradientshapeok="t" o:connecttype="rect"/>
            </v:shapetype>
            <v:shape id="Text Box 29" o:spid="_x0000_s1095" type="#_x0000_t202" alt="Classification: Internal" style="position:absolute;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" filled="f" stroked="f">
              <v:textbox style="mso-fit-shape-to-text:t" inset="20pt,0,0,15pt">
                <w:txbxContent>
                  <w:p w14:paraId="72590A3F" w14:textId="5CEAF544" w:rsidR="003646EB" w:rsidRPr="00E14904" w:rsidRDefault="003646EB" w:rsidP="00E14904">
                    <w:pPr>
                      <w:spacing w:after="0"/>
                      <w:rPr>
                        <w:rFonts w:ascii="Calibri" w:eastAsia="Calibri" w:hAnsi="Calibri" w:cs="Calibri"/>
                        <w:noProof/>
                        <w:color w:val="000000"/>
                        <w:sz w:val="20"/>
                        <w:szCs w:val="20"/>
                      </w:rPr>
                    </w:pPr>
                    <w:r w:rsidRPr="00E14904">
                      <w:rPr>
                        <w:rFonts w:ascii="Calibri" w:eastAsia="Calibri" w:hAnsi="Calibri" w:cs="Calibri"/>
                        <w:noProof/>
                        <w:color w:val="000000"/>
                        <w:sz w:val="20"/>
                        <w:szCs w:val="20"/>
                      </w:rPr>
                      <w:t>Classification: Internal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0A3F" w14:textId="4FC09139" w:rsidR="003646EB" w:rsidRDefault="003646EB">
    <w:pPr>
      <w:pStyle w:val="Footer"/>
      <w:jc w:val="right"/>
    </w:pPr>
  </w:p>
  <w:sdt>
    <w:sdtPr>
      <w:id w:val="402883700"/>
      <w:docPartObj>
        <w:docPartGallery w:val="Page Numbers (Bottom of Page)"/>
        <w:docPartUnique/>
      </w:docPartObj>
    </w:sdtPr>
    <w:sdtEndPr>
      <w:rPr>
        <w:rFonts w:ascii="Times New Roman" w:hAnsi="Times New Roman" w:cs="Times New Roman"/>
      </w:rPr>
    </w:sdtEndPr>
    <w:sdtContent>
      <w:p w14:paraId="6EC2F51B" w14:textId="0148DAB5" w:rsidR="003646EB" w:rsidRDefault="003646EB">
        <w:pPr>
          <w:pStyle w:val="Footer"/>
          <w:jc w:val="right"/>
          <w:rPr>
            <w:rFonts w:ascii="Times New Roman" w:hAnsi="Times New Roman" w:cs="Times New Roman"/>
          </w:rPr>
        </w:pPr>
      </w:p>
      <w:p w14:paraId="52E34238" w14:textId="7B24FCBC" w:rsidR="003646EB" w:rsidRDefault="003528F7">
        <w:pPr>
          <w:pStyle w:val="Footer"/>
          <w:jc w:val="right"/>
        </w:pPr>
        <w:r>
          <w:rPr>
            <w:rFonts w:ascii="Times New Roman" w:hAnsi="Times New Roman" w:cs="Times New Roman"/>
          </w:rPr>
          <w:t>=</w:t>
        </w:r>
        <w:r w:rsidR="003646EB" w:rsidRPr="00395FC2">
          <w:rPr>
            <w:rFonts w:ascii="Times New Roman" w:hAnsi="Times New Roman" w:cs="Times New Roman"/>
          </w:rPr>
          <w:fldChar w:fldCharType="begin"/>
        </w:r>
        <w:r w:rsidR="003646EB" w:rsidRPr="00395FC2">
          <w:rPr>
            <w:rFonts w:ascii="Times New Roman" w:hAnsi="Times New Roman" w:cs="Times New Roman"/>
          </w:rPr>
          <w:instrText>PAGE   \* MERGEFORMAT</w:instrText>
        </w:r>
        <w:r w:rsidR="003646EB" w:rsidRPr="00395FC2">
          <w:rPr>
            <w:rFonts w:ascii="Times New Roman" w:hAnsi="Times New Roman" w:cs="Times New Roman"/>
          </w:rPr>
          <w:fldChar w:fldCharType="separate"/>
        </w:r>
        <w:r w:rsidRPr="003528F7">
          <w:rPr>
            <w:rFonts w:ascii="Times New Roman" w:hAnsi="Times New Roman" w:cs="Times New Roman"/>
            <w:noProof/>
            <w:lang w:val="es-ES"/>
          </w:rPr>
          <w:t>32</w:t>
        </w:r>
        <w:r w:rsidR="003646EB" w:rsidRPr="00395FC2">
          <w:rPr>
            <w:rFonts w:ascii="Times New Roman" w:hAnsi="Times New Roman" w:cs="Times New Roman"/>
          </w:rPr>
          <w:fldChar w:fldCharType="end"/>
        </w:r>
        <w:r>
          <w:rPr>
            <w:rFonts w:ascii="Times New Roman" w:hAnsi="Times New Roman" w:cs="Times New Roman"/>
          </w:rPr>
          <w:t>=</w:t>
        </w:r>
      </w:p>
    </w:sdtContent>
  </w:sdt>
  <w:p w14:paraId="73703D20" w14:textId="77777777" w:rsidR="003646EB" w:rsidRDefault="003646E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489438"/>
      <w:docPartObj>
        <w:docPartGallery w:val="Page Numbers (Bottom of Page)"/>
        <w:docPartUnique/>
      </w:docPartObj>
    </w:sdtPr>
    <w:sdtEndPr>
      <w:rPr>
        <w:noProof/>
      </w:rPr>
    </w:sdtEndPr>
    <w:sdtContent>
      <w:p w14:paraId="3AC77016" w14:textId="3C7DC4BA" w:rsidR="003646EB" w:rsidRDefault="003646EB">
        <w:pPr>
          <w:pStyle w:val="Footer"/>
          <w:jc w:val="right"/>
        </w:pPr>
        <w:r>
          <w:fldChar w:fldCharType="begin"/>
        </w:r>
        <w:r>
          <w:instrText xml:space="preserve"> PAGE   \* MERGEFORMAT </w:instrText>
        </w:r>
        <w:r>
          <w:fldChar w:fldCharType="separate"/>
        </w:r>
        <w:r w:rsidR="003528F7">
          <w:rPr>
            <w:noProof/>
          </w:rPr>
          <w:t>1</w:t>
        </w:r>
        <w:r>
          <w:rPr>
            <w:noProof/>
          </w:rPr>
          <w:fldChar w:fldCharType="end"/>
        </w:r>
      </w:p>
    </w:sdtContent>
  </w:sdt>
  <w:p w14:paraId="3DA8EF14" w14:textId="3647D625" w:rsidR="003646EB" w:rsidRDefault="00364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C9F21" w14:textId="77777777" w:rsidR="00D209E4" w:rsidRDefault="00D209E4" w:rsidP="00EF2B26">
      <w:pPr>
        <w:spacing w:after="0" w:line="240" w:lineRule="auto"/>
      </w:pPr>
      <w:r>
        <w:separator/>
      </w:r>
    </w:p>
  </w:footnote>
  <w:footnote w:type="continuationSeparator" w:id="0">
    <w:p w14:paraId="76F4DFF4" w14:textId="77777777" w:rsidR="00D209E4" w:rsidRDefault="00D209E4" w:rsidP="00EF2B26">
      <w:pPr>
        <w:spacing w:after="0" w:line="240" w:lineRule="auto"/>
      </w:pPr>
      <w:r>
        <w:continuationSeparator/>
      </w:r>
    </w:p>
  </w:footnote>
  <w:footnote w:type="continuationNotice" w:id="1">
    <w:p w14:paraId="676ED779" w14:textId="77777777" w:rsidR="00D209E4" w:rsidRDefault="00D209E4">
      <w:pPr>
        <w:spacing w:after="0" w:line="240" w:lineRule="auto"/>
      </w:pPr>
    </w:p>
  </w:footnote>
  <w:footnote w:id="2">
    <w:p w14:paraId="763D84FA" w14:textId="77777777" w:rsidR="003646EB" w:rsidRDefault="003646EB" w:rsidP="00E344B8">
      <w:pPr>
        <w:pStyle w:val="FootnoteText"/>
        <w:jc w:val="both"/>
        <w:rPr>
          <w:rFonts w:ascii="Times New Roman" w:hAnsi="Times New Roman" w:cs="Times New Roman"/>
          <w:sz w:val="16"/>
          <w:szCs w:val="16"/>
          <w:lang w:val="en-GB" w:eastAsia="en-GB"/>
        </w:rPr>
      </w:pPr>
      <w:r>
        <w:rPr>
          <w:rStyle w:val="FootnoteReference"/>
          <w:rFonts w:ascii="Times New Roman" w:hAnsi="Times New Roman" w:cs="Times New Roman"/>
        </w:rPr>
        <w:footnoteRef/>
      </w:r>
      <w:r>
        <w:rPr>
          <w:rFonts w:ascii="Times New Roman" w:hAnsi="Times New Roman" w:cs="Times New Roman"/>
          <w:sz w:val="16"/>
          <w:szCs w:val="16"/>
        </w:rPr>
        <w:t xml:space="preserve"> See UN website on </w:t>
      </w:r>
      <w:hyperlink r:id="rId1" w:history="1">
        <w:r>
          <w:rPr>
            <w:rStyle w:val="Hyperlink"/>
            <w:rFonts w:ascii="Times New Roman" w:hAnsi="Times New Roman" w:cs="Times New Roman"/>
            <w:sz w:val="16"/>
            <w:szCs w:val="16"/>
          </w:rPr>
          <w:t>inequality</w:t>
        </w:r>
      </w:hyperlink>
      <w:r>
        <w:rPr>
          <w:rFonts w:ascii="Times New Roman" w:hAnsi="Times New Roman" w:cs="Times New Roman"/>
          <w:sz w:val="16"/>
          <w:szCs w:val="16"/>
        </w:rPr>
        <w:t>.</w:t>
      </w:r>
    </w:p>
  </w:footnote>
  <w:footnote w:id="3">
    <w:p w14:paraId="5FA72709" w14:textId="77777777" w:rsidR="003646EB" w:rsidRPr="002B2977" w:rsidRDefault="003646EB" w:rsidP="00E344B8">
      <w:pPr>
        <w:pStyle w:val="FootnoteText"/>
        <w:jc w:val="both"/>
        <w:rPr>
          <w:sz w:val="16"/>
          <w:szCs w:val="16"/>
          <w:lang w:val="en-GB"/>
        </w:rPr>
      </w:pPr>
      <w:r w:rsidRPr="002B2977">
        <w:rPr>
          <w:rStyle w:val="FootnoteReference"/>
          <w:rFonts w:ascii="Times New Roman" w:hAnsi="Times New Roman" w:cs="Times New Roman"/>
          <w:sz w:val="16"/>
          <w:szCs w:val="16"/>
          <w:lang w:val="en-GB"/>
        </w:rPr>
        <w:footnoteRef/>
      </w:r>
      <w:r w:rsidRPr="002B2977">
        <w:rPr>
          <w:rFonts w:ascii="Times New Roman" w:hAnsi="Times New Roman" w:cs="Times New Roman"/>
          <w:sz w:val="16"/>
          <w:szCs w:val="16"/>
          <w:lang w:val="en-GB"/>
        </w:rPr>
        <w:t xml:space="preserve"> </w:t>
      </w:r>
      <w:r w:rsidRPr="002B2977">
        <w:rPr>
          <w:rFonts w:ascii="Times New Roman" w:eastAsia="Constantia" w:hAnsi="Times New Roman" w:cs="Times New Roman"/>
          <w:sz w:val="16"/>
          <w:szCs w:val="16"/>
          <w:lang w:val="en-GB"/>
        </w:rPr>
        <w:t>Reliable sources of public data include the World Bank, OECD, United Nations (particularly UNDP) and International Labour Organisation.</w:t>
      </w:r>
    </w:p>
  </w:footnote>
  <w:footnote w:id="4">
    <w:p w14:paraId="04773126" w14:textId="7C23E9E7" w:rsidR="003646EB" w:rsidRPr="00360FF6"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OECD (2002) presented somewhat different growth rates of real GDP for 2000 and 2002 and saw poor governance as ‘a major contributor to the poor economic performance in Kenya’ (https://www.oecd.org/countries/kenya/1825372.pdf). </w:t>
      </w:r>
    </w:p>
  </w:footnote>
  <w:footnote w:id="5">
    <w:p w14:paraId="432D2272" w14:textId="77777777" w:rsidR="003646EB" w:rsidRPr="00360FF6" w:rsidRDefault="003646EB" w:rsidP="005C467B">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The Gini coefficient is a measure of inequality with values ranging from zero (perfect equality) to unity (perfect inequality). Consequently, the value of the Gini index ranges from zero to 100 (or from 0 to 1). The World Bank estimates are based on national survey and World Bank data on incomes that are not corrected for underreporting.</w:t>
      </w:r>
    </w:p>
  </w:footnote>
  <w:footnote w:id="6">
    <w:p w14:paraId="358F3E77" w14:textId="77777777" w:rsidR="003646EB" w:rsidRPr="00360FF6" w:rsidRDefault="003646EB" w:rsidP="005C467B">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The Theil index is a generalized entropy measure of inequality with values ranging between zero and infinity, where lower values represent greater equality. The index gives weight to values in the tails of the distribution, emphasizing inequality at one or both extremes. </w:t>
      </w:r>
    </w:p>
  </w:footnote>
  <w:footnote w:id="7">
    <w:p w14:paraId="535C26E8" w14:textId="77777777" w:rsidR="003646EB" w:rsidRPr="000358BC" w:rsidRDefault="003646EB" w:rsidP="005C467B">
      <w:pPr>
        <w:pStyle w:val="FootnoteText"/>
        <w:jc w:val="both"/>
        <w:rPr>
          <w:rFonts w:ascii="Times New Roman" w:hAnsi="Times New Roman" w:cs="Times New Roman"/>
          <w:sz w:val="16"/>
          <w:szCs w:val="16"/>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The Palma ratio is derived by calculating the ratio of the income shares of the richest 10% and the poorest 40%. This indicator is directly relevant to the UN’s ‘leave no one behind’ (LNOB) principle which focuses on the bottom 40%.</w:t>
      </w:r>
    </w:p>
  </w:footnote>
  <w:footnote w:id="8">
    <w:p w14:paraId="14088972" w14:textId="1F49C29F" w:rsidR="003646EB" w:rsidRPr="00C15D3F" w:rsidRDefault="003646EB" w:rsidP="00891149">
      <w:pPr>
        <w:pStyle w:val="FootnoteText"/>
        <w:rPr>
          <w:rFonts w:ascii="Times New Roman" w:hAnsi="Times New Roman" w:cs="Times New Roman"/>
          <w:sz w:val="16"/>
          <w:szCs w:val="16"/>
        </w:rPr>
      </w:pPr>
      <w:r w:rsidRPr="00C15D3F">
        <w:rPr>
          <w:rStyle w:val="FootnoteReference"/>
          <w:rFonts w:ascii="Times New Roman" w:hAnsi="Times New Roman" w:cs="Times New Roman"/>
          <w:sz w:val="16"/>
          <w:szCs w:val="16"/>
        </w:rPr>
        <w:footnoteRef/>
      </w:r>
      <w:r w:rsidRPr="00C15D3F">
        <w:rPr>
          <w:rFonts w:ascii="Times New Roman" w:hAnsi="Times New Roman" w:cs="Times New Roman"/>
          <w:sz w:val="16"/>
          <w:szCs w:val="16"/>
        </w:rPr>
        <w:t xml:space="preserve"> Comparable estimates for 1992 and 1997 </w:t>
      </w:r>
      <w:r>
        <w:rPr>
          <w:rFonts w:ascii="Times New Roman" w:hAnsi="Times New Roman" w:cs="Times New Roman"/>
          <w:sz w:val="16"/>
          <w:szCs w:val="16"/>
        </w:rPr>
        <w:t>presented in the World Development Indicators are 57</w:t>
      </w:r>
      <w:r w:rsidRPr="00C15D3F">
        <w:rPr>
          <w:rFonts w:ascii="Times New Roman" w:hAnsi="Times New Roman" w:cs="Times New Roman"/>
          <w:sz w:val="16"/>
          <w:szCs w:val="16"/>
        </w:rPr>
        <w:t>% and 5</w:t>
      </w:r>
      <w:r>
        <w:rPr>
          <w:rFonts w:ascii="Times New Roman" w:hAnsi="Times New Roman" w:cs="Times New Roman"/>
          <w:sz w:val="16"/>
          <w:szCs w:val="16"/>
        </w:rPr>
        <w:t>2</w:t>
      </w:r>
      <w:r w:rsidRPr="00C15D3F">
        <w:rPr>
          <w:rFonts w:ascii="Times New Roman" w:hAnsi="Times New Roman" w:cs="Times New Roman"/>
          <w:sz w:val="16"/>
          <w:szCs w:val="16"/>
        </w:rPr>
        <w:t>%.</w:t>
      </w:r>
    </w:p>
  </w:footnote>
  <w:footnote w:id="9">
    <w:p w14:paraId="20EDFA14" w14:textId="6AA9F95F" w:rsidR="003646EB" w:rsidRPr="00A31C11" w:rsidRDefault="003646EB" w:rsidP="00A31C11">
      <w:pPr>
        <w:pStyle w:val="FootnoteText"/>
        <w:jc w:val="both"/>
        <w:rPr>
          <w:rFonts w:ascii="Times New Roman" w:hAnsi="Times New Roman" w:cs="Times New Roman"/>
          <w:sz w:val="16"/>
          <w:szCs w:val="16"/>
        </w:rPr>
      </w:pPr>
      <w:r w:rsidRPr="00A31C11">
        <w:rPr>
          <w:rStyle w:val="FootnoteReference"/>
          <w:rFonts w:ascii="Times New Roman" w:hAnsi="Times New Roman" w:cs="Times New Roman"/>
          <w:sz w:val="16"/>
          <w:szCs w:val="16"/>
        </w:rPr>
        <w:footnoteRef/>
      </w:r>
      <w:r w:rsidRPr="00A31C11">
        <w:rPr>
          <w:rFonts w:ascii="Times New Roman" w:hAnsi="Times New Roman" w:cs="Times New Roman"/>
          <w:sz w:val="16"/>
          <w:szCs w:val="16"/>
        </w:rPr>
        <w:t xml:space="preserve"> Although the data are not fully comparable, the quintile shares of per capita equivalent consumption expenditure were respectively 7.4%, 11.3%, 15.8%, 23.4% and 42.2% in 2021 (KNBS, 2023b: Table 3.3).</w:t>
      </w:r>
    </w:p>
  </w:footnote>
  <w:footnote w:id="10">
    <w:p w14:paraId="297792B9" w14:textId="77777777" w:rsidR="003646EB" w:rsidRPr="00E344B8" w:rsidRDefault="003646EB" w:rsidP="00020E78">
      <w:pPr>
        <w:pStyle w:val="FootnoteText"/>
        <w:jc w:val="both"/>
        <w:rPr>
          <w:rFonts w:ascii="Times New Roman" w:hAnsi="Times New Roman" w:cs="Times New Roman"/>
          <w:sz w:val="16"/>
          <w:szCs w:val="16"/>
        </w:rPr>
      </w:pPr>
      <w:r w:rsidRPr="00E344B8">
        <w:rPr>
          <w:rStyle w:val="FootnoteReference"/>
          <w:rFonts w:ascii="Times New Roman" w:hAnsi="Times New Roman" w:cs="Times New Roman"/>
          <w:sz w:val="16"/>
          <w:szCs w:val="16"/>
        </w:rPr>
        <w:footnoteRef/>
      </w:r>
      <w:r w:rsidRPr="00E344B8">
        <w:rPr>
          <w:rFonts w:ascii="Times New Roman" w:hAnsi="Times New Roman" w:cs="Times New Roman"/>
          <w:sz w:val="16"/>
          <w:szCs w:val="16"/>
        </w:rPr>
        <w:t xml:space="preserve"> Estimates presented in Figure 4.2 of KNBS (2020b) show higher inequality in 2005/06 than the World Development Indicators data suggest, while the opposite was true for 2015/16, </w:t>
      </w:r>
      <w:r>
        <w:rPr>
          <w:rFonts w:ascii="Times New Roman" w:hAnsi="Times New Roman" w:cs="Times New Roman"/>
          <w:sz w:val="16"/>
          <w:szCs w:val="16"/>
        </w:rPr>
        <w:t xml:space="preserve">implying a </w:t>
      </w:r>
      <w:r w:rsidRPr="00E344B8">
        <w:rPr>
          <w:rFonts w:ascii="Times New Roman" w:hAnsi="Times New Roman" w:cs="Times New Roman"/>
          <w:sz w:val="16"/>
          <w:szCs w:val="16"/>
        </w:rPr>
        <w:t>more pronounced</w:t>
      </w:r>
      <w:r>
        <w:rPr>
          <w:rFonts w:ascii="Times New Roman" w:hAnsi="Times New Roman" w:cs="Times New Roman"/>
          <w:sz w:val="16"/>
          <w:szCs w:val="16"/>
        </w:rPr>
        <w:t xml:space="preserve"> </w:t>
      </w:r>
      <w:r w:rsidRPr="00E344B8">
        <w:rPr>
          <w:rFonts w:ascii="Times New Roman" w:hAnsi="Times New Roman" w:cs="Times New Roman"/>
          <w:sz w:val="16"/>
          <w:szCs w:val="16"/>
        </w:rPr>
        <w:t>decline in inequality than that according to the World Development Indicators data.</w:t>
      </w:r>
    </w:p>
  </w:footnote>
  <w:footnote w:id="11">
    <w:p w14:paraId="6B44807F" w14:textId="77777777" w:rsidR="003646EB" w:rsidRPr="00360FF6" w:rsidRDefault="003646EB" w:rsidP="00020E7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https://wid.world/country/kenya/.</w:t>
      </w:r>
    </w:p>
  </w:footnote>
  <w:footnote w:id="12">
    <w:p w14:paraId="3E02784E" w14:textId="77777777" w:rsidR="003646EB" w:rsidRPr="006A6799" w:rsidRDefault="003646EB" w:rsidP="00020E78">
      <w:pPr>
        <w:pStyle w:val="FootnoteText"/>
        <w:jc w:val="both"/>
        <w:rPr>
          <w:rFonts w:ascii="Times New Roman" w:hAnsi="Times New Roman" w:cs="Times New Roman"/>
          <w:sz w:val="16"/>
          <w:szCs w:val="16"/>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The distribution of wealth was even more skewed: the top 1% held 28% of total wealth in Kenya in 2015, compared to over 40% a decade earlier (https://wid.world/country/kenya/).</w:t>
      </w:r>
    </w:p>
  </w:footnote>
  <w:footnote w:id="13">
    <w:p w14:paraId="42DF0FC0" w14:textId="77777777" w:rsidR="003646EB" w:rsidRPr="00634D7A" w:rsidRDefault="003646EB" w:rsidP="008E3DC9">
      <w:pPr>
        <w:pStyle w:val="FootnoteText"/>
        <w:jc w:val="both"/>
        <w:rPr>
          <w:rFonts w:ascii="Times New Roman" w:hAnsi="Times New Roman" w:cs="Times New Roman"/>
          <w:sz w:val="16"/>
          <w:szCs w:val="16"/>
        </w:rPr>
      </w:pPr>
      <w:r w:rsidRPr="00634D7A">
        <w:rPr>
          <w:rStyle w:val="FootnoteReference"/>
          <w:rFonts w:ascii="Times New Roman" w:hAnsi="Times New Roman" w:cs="Times New Roman"/>
          <w:sz w:val="16"/>
          <w:szCs w:val="16"/>
        </w:rPr>
        <w:footnoteRef/>
      </w:r>
      <w:r w:rsidRPr="00634D7A">
        <w:rPr>
          <w:rFonts w:ascii="Times New Roman" w:hAnsi="Times New Roman" w:cs="Times New Roman"/>
          <w:sz w:val="16"/>
          <w:szCs w:val="16"/>
        </w:rPr>
        <w:t xml:space="preserve"> The authors report a decline in the poverty rates for female-headed households from 39% to 33%, compared to a reduction from 30% to 26% for male-headed households.</w:t>
      </w:r>
    </w:p>
  </w:footnote>
  <w:footnote w:id="14">
    <w:p w14:paraId="01DE0CE0" w14:textId="77777777" w:rsidR="003646EB" w:rsidRPr="00F61AD2" w:rsidRDefault="003646EB" w:rsidP="00462FF3">
      <w:pPr>
        <w:pStyle w:val="FootnoteText"/>
        <w:jc w:val="both"/>
        <w:rPr>
          <w:rFonts w:ascii="Times New Roman" w:hAnsi="Times New Roman" w:cs="Times New Roman"/>
          <w:sz w:val="16"/>
          <w:szCs w:val="16"/>
        </w:rPr>
      </w:pPr>
      <w:r w:rsidRPr="00F61AD2">
        <w:rPr>
          <w:rStyle w:val="FootnoteReference"/>
          <w:rFonts w:ascii="Times New Roman" w:hAnsi="Times New Roman" w:cs="Times New Roman"/>
          <w:sz w:val="16"/>
          <w:szCs w:val="16"/>
        </w:rPr>
        <w:footnoteRef/>
      </w:r>
      <w:r w:rsidRPr="00F61AD2">
        <w:rPr>
          <w:rFonts w:ascii="Times New Roman" w:hAnsi="Times New Roman" w:cs="Times New Roman"/>
          <w:sz w:val="16"/>
          <w:szCs w:val="16"/>
        </w:rPr>
        <w:t xml:space="preserve"> As explained before, the Theil coefficient is a measure of inequality that takes a value of zero (in case of perfect equality) or higher. The higher the value of the coefficient, the more unequal is the distribution.</w:t>
      </w:r>
    </w:p>
  </w:footnote>
  <w:footnote w:id="15">
    <w:p w14:paraId="7DD05216" w14:textId="77777777" w:rsidR="003646EB" w:rsidRPr="00785E5F" w:rsidRDefault="003646EB" w:rsidP="006C7F3D">
      <w:pPr>
        <w:tabs>
          <w:tab w:val="left" w:pos="2427"/>
        </w:tabs>
        <w:spacing w:after="120" w:line="240" w:lineRule="auto"/>
        <w:jc w:val="both"/>
        <w:rPr>
          <w:rFonts w:ascii="Times New Roman" w:hAnsi="Times New Roman" w:cs="Times New Roman"/>
          <w:sz w:val="16"/>
          <w:szCs w:val="16"/>
        </w:rPr>
      </w:pPr>
      <w:r w:rsidRPr="00785E5F">
        <w:rPr>
          <w:rStyle w:val="FootnoteReference"/>
          <w:rFonts w:ascii="Times New Roman" w:hAnsi="Times New Roman" w:cs="Times New Roman"/>
          <w:sz w:val="16"/>
          <w:szCs w:val="16"/>
        </w:rPr>
        <w:footnoteRef/>
      </w:r>
      <w:r w:rsidRPr="00785E5F">
        <w:rPr>
          <w:rFonts w:ascii="Times New Roman" w:hAnsi="Times New Roman" w:cs="Times New Roman"/>
          <w:sz w:val="16"/>
          <w:szCs w:val="16"/>
        </w:rPr>
        <w:t xml:space="preserve"> See https://www.brookings.edu/opinions/how-much-do-we-really-know-about-inequality-within-countries-around-the-world/</w:t>
      </w:r>
      <w:r>
        <w:rPr>
          <w:rFonts w:ascii="Times New Roman" w:hAnsi="Times New Roman" w:cs="Times New Roman"/>
          <w:sz w:val="16"/>
          <w:szCs w:val="16"/>
        </w:rPr>
        <w:t>.</w:t>
      </w:r>
    </w:p>
  </w:footnote>
  <w:footnote w:id="16">
    <w:p w14:paraId="5C957647" w14:textId="0A3C8A10" w:rsidR="003646EB" w:rsidRPr="00360FF6"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The modelled estimates are based on observations for the years in which surveys or the census was conducted. </w:t>
      </w:r>
    </w:p>
  </w:footnote>
  <w:footnote w:id="17">
    <w:p w14:paraId="0D5BA54C" w14:textId="46932359" w:rsidR="003646EB" w:rsidRPr="00DF1241" w:rsidRDefault="003646EB" w:rsidP="00E344B8">
      <w:pPr>
        <w:pStyle w:val="FootnoteText"/>
        <w:jc w:val="both"/>
        <w:rPr>
          <w:rFonts w:ascii="Times New Roman" w:hAnsi="Times New Roman" w:cs="Times New Roman"/>
          <w:sz w:val="16"/>
          <w:szCs w:val="16"/>
        </w:rPr>
      </w:pPr>
      <w:r w:rsidRPr="00DF1241">
        <w:rPr>
          <w:rStyle w:val="FootnoteReference"/>
          <w:rFonts w:ascii="Times New Roman" w:hAnsi="Times New Roman" w:cs="Times New Roman"/>
          <w:sz w:val="16"/>
          <w:szCs w:val="16"/>
        </w:rPr>
        <w:footnoteRef/>
      </w:r>
      <w:r w:rsidRPr="00DF1241">
        <w:rPr>
          <w:rFonts w:ascii="Times New Roman" w:hAnsi="Times New Roman" w:cs="Times New Roman"/>
          <w:sz w:val="16"/>
          <w:szCs w:val="16"/>
        </w:rPr>
        <w:t xml:space="preserve"> It is possible that this finding is </w:t>
      </w:r>
      <w:r>
        <w:rPr>
          <w:rFonts w:ascii="Times New Roman" w:hAnsi="Times New Roman" w:cs="Times New Roman"/>
          <w:sz w:val="16"/>
          <w:szCs w:val="16"/>
        </w:rPr>
        <w:t xml:space="preserve">simply </w:t>
      </w:r>
      <w:r w:rsidRPr="00DF1241">
        <w:rPr>
          <w:rFonts w:ascii="Times New Roman" w:hAnsi="Times New Roman" w:cs="Times New Roman"/>
          <w:sz w:val="16"/>
          <w:szCs w:val="16"/>
        </w:rPr>
        <w:t>a result of the way th</w:t>
      </w:r>
      <w:r>
        <w:rPr>
          <w:rFonts w:ascii="Times New Roman" w:hAnsi="Times New Roman" w:cs="Times New Roman"/>
          <w:sz w:val="16"/>
          <w:szCs w:val="16"/>
        </w:rPr>
        <w:t>e ILO modeled t</w:t>
      </w:r>
      <w:r w:rsidRPr="00DF1241">
        <w:rPr>
          <w:rFonts w:ascii="Times New Roman" w:hAnsi="Times New Roman" w:cs="Times New Roman"/>
          <w:sz w:val="16"/>
          <w:szCs w:val="16"/>
        </w:rPr>
        <w:t>he unemployment rates.</w:t>
      </w:r>
    </w:p>
  </w:footnote>
  <w:footnote w:id="18">
    <w:p w14:paraId="7D515CAA" w14:textId="243D6D4F" w:rsidR="003646EB" w:rsidRPr="002301CD" w:rsidRDefault="003646EB" w:rsidP="00E344B8">
      <w:pPr>
        <w:pStyle w:val="FootnoteText"/>
        <w:jc w:val="both"/>
        <w:rPr>
          <w:rFonts w:ascii="Times New Roman" w:hAnsi="Times New Roman" w:cs="Times New Roman"/>
          <w:sz w:val="16"/>
          <w:szCs w:val="16"/>
          <w:lang w:val="en-GB"/>
        </w:rPr>
      </w:pPr>
      <w:r w:rsidRPr="001C0ED1">
        <w:rPr>
          <w:rStyle w:val="FootnoteReference"/>
          <w:rFonts w:ascii="Times New Roman" w:hAnsi="Times New Roman" w:cs="Times New Roman"/>
          <w:sz w:val="16"/>
          <w:szCs w:val="16"/>
        </w:rPr>
        <w:footnoteRef/>
      </w:r>
      <w:r w:rsidRPr="001C0ED1">
        <w:rPr>
          <w:rFonts w:ascii="Times New Roman" w:hAnsi="Times New Roman" w:cs="Times New Roman"/>
          <w:sz w:val="16"/>
          <w:szCs w:val="16"/>
        </w:rPr>
        <w:t xml:space="preserve"> The ILO defines underemployment as the ‘underutilisation of the productive capacity of the employed population In relation to an alternative employment situation in which persons are willing and able to engage’</w:t>
      </w:r>
      <w:r>
        <w:rPr>
          <w:rFonts w:ascii="Times New Roman" w:hAnsi="Times New Roman" w:cs="Times New Roman"/>
          <w:sz w:val="16"/>
          <w:szCs w:val="16"/>
        </w:rPr>
        <w:t>. It furthermore states that ‘t</w:t>
      </w:r>
      <w:r w:rsidRPr="005D41E6">
        <w:rPr>
          <w:rFonts w:ascii="Times New Roman" w:hAnsi="Times New Roman" w:cs="Times New Roman"/>
          <w:sz w:val="16"/>
          <w:szCs w:val="16"/>
        </w:rPr>
        <w:t>ime-related underemployment exists</w:t>
      </w:r>
      <w:r>
        <w:rPr>
          <w:rFonts w:ascii="Times New Roman" w:hAnsi="Times New Roman" w:cs="Times New Roman"/>
          <w:sz w:val="16"/>
          <w:szCs w:val="16"/>
        </w:rPr>
        <w:t xml:space="preserve"> w</w:t>
      </w:r>
      <w:r w:rsidRPr="005D41E6">
        <w:rPr>
          <w:rFonts w:ascii="Times New Roman" w:hAnsi="Times New Roman" w:cs="Times New Roman"/>
          <w:sz w:val="16"/>
          <w:szCs w:val="16"/>
        </w:rPr>
        <w:t>hen the hours of work of an employed</w:t>
      </w:r>
      <w:r>
        <w:rPr>
          <w:rFonts w:ascii="Times New Roman" w:hAnsi="Times New Roman" w:cs="Times New Roman"/>
          <w:sz w:val="16"/>
          <w:szCs w:val="16"/>
        </w:rPr>
        <w:t xml:space="preserve"> </w:t>
      </w:r>
      <w:r w:rsidRPr="005D41E6">
        <w:rPr>
          <w:rFonts w:ascii="Times New Roman" w:hAnsi="Times New Roman" w:cs="Times New Roman"/>
          <w:sz w:val="16"/>
          <w:szCs w:val="16"/>
        </w:rPr>
        <w:t>person are insufficient</w:t>
      </w:r>
      <w:r>
        <w:rPr>
          <w:rFonts w:ascii="Times New Roman" w:hAnsi="Times New Roman" w:cs="Times New Roman"/>
          <w:sz w:val="16"/>
          <w:szCs w:val="16"/>
        </w:rPr>
        <w:t xml:space="preserve"> </w:t>
      </w:r>
      <w:r w:rsidRPr="005D41E6">
        <w:rPr>
          <w:rFonts w:ascii="Times New Roman" w:hAnsi="Times New Roman" w:cs="Times New Roman"/>
          <w:sz w:val="16"/>
          <w:szCs w:val="16"/>
        </w:rPr>
        <w:t>in relation to an alternative employment</w:t>
      </w:r>
      <w:r>
        <w:rPr>
          <w:rFonts w:ascii="Times New Roman" w:hAnsi="Times New Roman" w:cs="Times New Roman"/>
          <w:sz w:val="16"/>
          <w:szCs w:val="16"/>
        </w:rPr>
        <w:t xml:space="preserve"> </w:t>
      </w:r>
      <w:r w:rsidRPr="005D41E6">
        <w:rPr>
          <w:rFonts w:ascii="Times New Roman" w:hAnsi="Times New Roman" w:cs="Times New Roman"/>
          <w:sz w:val="16"/>
          <w:szCs w:val="16"/>
        </w:rPr>
        <w:t>situation</w:t>
      </w:r>
      <w:r>
        <w:rPr>
          <w:rFonts w:ascii="Times New Roman" w:hAnsi="Times New Roman" w:cs="Times New Roman"/>
          <w:sz w:val="16"/>
          <w:szCs w:val="16"/>
        </w:rPr>
        <w:t xml:space="preserve"> </w:t>
      </w:r>
      <w:r w:rsidRPr="005D41E6">
        <w:rPr>
          <w:rFonts w:ascii="Times New Roman" w:hAnsi="Times New Roman" w:cs="Times New Roman"/>
          <w:sz w:val="16"/>
          <w:szCs w:val="16"/>
        </w:rPr>
        <w:t>in which the person is willing and</w:t>
      </w:r>
      <w:r>
        <w:rPr>
          <w:rFonts w:ascii="Times New Roman" w:hAnsi="Times New Roman" w:cs="Times New Roman"/>
          <w:sz w:val="16"/>
          <w:szCs w:val="16"/>
        </w:rPr>
        <w:t xml:space="preserve"> </w:t>
      </w:r>
      <w:r w:rsidRPr="005D41E6">
        <w:rPr>
          <w:rFonts w:ascii="Times New Roman" w:hAnsi="Times New Roman" w:cs="Times New Roman"/>
          <w:sz w:val="16"/>
          <w:szCs w:val="16"/>
        </w:rPr>
        <w:t>available to</w:t>
      </w:r>
      <w:r>
        <w:rPr>
          <w:rFonts w:ascii="Times New Roman" w:hAnsi="Times New Roman" w:cs="Times New Roman"/>
          <w:sz w:val="16"/>
          <w:szCs w:val="16"/>
        </w:rPr>
        <w:t xml:space="preserve"> </w:t>
      </w:r>
      <w:r w:rsidRPr="002301CD">
        <w:rPr>
          <w:rFonts w:ascii="Times New Roman" w:hAnsi="Times New Roman" w:cs="Times New Roman"/>
          <w:sz w:val="16"/>
          <w:szCs w:val="16"/>
          <w:lang w:val="en-GB"/>
        </w:rPr>
        <w:t>engage</w:t>
      </w:r>
      <w:r>
        <w:rPr>
          <w:rFonts w:ascii="Times New Roman" w:hAnsi="Times New Roman" w:cs="Times New Roman"/>
          <w:sz w:val="16"/>
          <w:szCs w:val="16"/>
          <w:lang w:val="en-GB"/>
        </w:rPr>
        <w:t>’</w:t>
      </w:r>
      <w:r w:rsidRPr="002301CD">
        <w:rPr>
          <w:rFonts w:ascii="Times New Roman" w:hAnsi="Times New Roman" w:cs="Times New Roman"/>
          <w:sz w:val="16"/>
          <w:szCs w:val="16"/>
          <w:lang w:val="en-GB"/>
        </w:rPr>
        <w:t xml:space="preserve"> (https://www.ilo.org/wcmsp5/groups/public/---dgreports/---stat/documents/presentation/wcms_210979.pdf).</w:t>
      </w:r>
    </w:p>
  </w:footnote>
  <w:footnote w:id="19">
    <w:p w14:paraId="468DAF0E" w14:textId="4AC08FCA" w:rsidR="003646EB" w:rsidRPr="00D15DBC" w:rsidRDefault="003646EB">
      <w:pPr>
        <w:pStyle w:val="FootnoteText"/>
        <w:rPr>
          <w:rFonts w:ascii="Times New Roman" w:hAnsi="Times New Roman" w:cs="Times New Roman"/>
          <w:sz w:val="16"/>
          <w:szCs w:val="16"/>
        </w:rPr>
      </w:pPr>
      <w:r w:rsidRPr="00D15DBC">
        <w:rPr>
          <w:rStyle w:val="FootnoteReference"/>
          <w:rFonts w:ascii="Times New Roman" w:hAnsi="Times New Roman" w:cs="Times New Roman"/>
          <w:sz w:val="16"/>
          <w:szCs w:val="16"/>
        </w:rPr>
        <w:footnoteRef/>
      </w:r>
      <w:r w:rsidRPr="00D15DBC">
        <w:rPr>
          <w:rFonts w:ascii="Times New Roman" w:hAnsi="Times New Roman" w:cs="Times New Roman"/>
          <w:sz w:val="16"/>
          <w:szCs w:val="16"/>
        </w:rPr>
        <w:t xml:space="preserve"> </w:t>
      </w:r>
      <w:r w:rsidRPr="00AD72B2">
        <w:rPr>
          <w:rFonts w:ascii="Times New Roman" w:hAnsi="Times New Roman" w:cs="Times New Roman"/>
          <w:sz w:val="16"/>
          <w:szCs w:val="16"/>
        </w:rPr>
        <w:t xml:space="preserve">The </w:t>
      </w:r>
      <w:r>
        <w:rPr>
          <w:rFonts w:ascii="Times New Roman" w:hAnsi="Times New Roman" w:cs="Times New Roman"/>
          <w:sz w:val="16"/>
          <w:szCs w:val="16"/>
        </w:rPr>
        <w:t xml:space="preserve">estimated </w:t>
      </w:r>
      <w:r w:rsidRPr="00AD72B2">
        <w:rPr>
          <w:rFonts w:ascii="Times New Roman" w:hAnsi="Times New Roman" w:cs="Times New Roman"/>
          <w:sz w:val="16"/>
          <w:szCs w:val="16"/>
        </w:rPr>
        <w:t xml:space="preserve">share </w:t>
      </w:r>
      <w:r>
        <w:rPr>
          <w:rFonts w:ascii="Times New Roman" w:hAnsi="Times New Roman" w:cs="Times New Roman"/>
          <w:sz w:val="16"/>
          <w:szCs w:val="16"/>
        </w:rPr>
        <w:t xml:space="preserve">was </w:t>
      </w:r>
      <w:r w:rsidRPr="00AD72B2">
        <w:rPr>
          <w:rFonts w:ascii="Times New Roman" w:hAnsi="Times New Roman" w:cs="Times New Roman"/>
          <w:sz w:val="16"/>
          <w:szCs w:val="16"/>
        </w:rPr>
        <w:t>83.4% in 2022</w:t>
      </w:r>
      <w:r>
        <w:rPr>
          <w:rFonts w:ascii="Times New Roman" w:hAnsi="Times New Roman" w:cs="Times New Roman"/>
          <w:sz w:val="16"/>
          <w:szCs w:val="16"/>
        </w:rPr>
        <w:t xml:space="preserve"> (o</w:t>
      </w:r>
      <w:r w:rsidRPr="00D15DBC">
        <w:rPr>
          <w:rFonts w:ascii="Times New Roman" w:hAnsi="Times New Roman" w:cs="Times New Roman"/>
          <w:sz w:val="16"/>
          <w:szCs w:val="16"/>
        </w:rPr>
        <w:t>wn calculation based on data from KNBS</w:t>
      </w:r>
      <w:r>
        <w:rPr>
          <w:rFonts w:ascii="Times New Roman" w:hAnsi="Times New Roman" w:cs="Times New Roman"/>
          <w:sz w:val="16"/>
          <w:szCs w:val="16"/>
        </w:rPr>
        <w:t>,</w:t>
      </w:r>
      <w:r w:rsidRPr="00D15DBC">
        <w:rPr>
          <w:rFonts w:ascii="Times New Roman" w:hAnsi="Times New Roman" w:cs="Times New Roman"/>
          <w:sz w:val="16"/>
          <w:szCs w:val="16"/>
        </w:rPr>
        <w:t xml:space="preserve"> 2023a: Table 3.1).</w:t>
      </w:r>
    </w:p>
  </w:footnote>
  <w:footnote w:id="20">
    <w:p w14:paraId="7A39D16C" w14:textId="77777777" w:rsidR="003646EB" w:rsidRPr="00360FF6" w:rsidRDefault="003646EB" w:rsidP="00502AE6">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https://labourmarket.go.ke/klmis/informal-sector-skills/.</w:t>
      </w:r>
    </w:p>
  </w:footnote>
  <w:footnote w:id="21">
    <w:p w14:paraId="352FCC2E" w14:textId="75212FB0" w:rsidR="003646EB" w:rsidRPr="001B7B52" w:rsidRDefault="003646EB" w:rsidP="001B7B52">
      <w:pPr>
        <w:pStyle w:val="FootnoteText"/>
        <w:jc w:val="both"/>
        <w:rPr>
          <w:rFonts w:ascii="Times New Roman" w:hAnsi="Times New Roman" w:cs="Times New Roman"/>
          <w:sz w:val="16"/>
          <w:szCs w:val="16"/>
        </w:rPr>
      </w:pPr>
      <w:r w:rsidRPr="001B7B52">
        <w:rPr>
          <w:rStyle w:val="FootnoteReference"/>
          <w:rFonts w:ascii="Times New Roman" w:hAnsi="Times New Roman" w:cs="Times New Roman"/>
          <w:sz w:val="16"/>
          <w:szCs w:val="16"/>
        </w:rPr>
        <w:footnoteRef/>
      </w:r>
      <w:r w:rsidRPr="001B7B52">
        <w:rPr>
          <w:rFonts w:ascii="Times New Roman" w:hAnsi="Times New Roman" w:cs="Times New Roman"/>
          <w:sz w:val="16"/>
          <w:szCs w:val="16"/>
        </w:rPr>
        <w:t xml:space="preserve"> Overall, the Gini index of earnings inequality was 60 in 2015/16, compared to 70 in 2005/06 and 50 at the end of the 1990s. Earnings were somewhat more unequally distributed among women than among men (KNBS, 2020b: 69).</w:t>
      </w:r>
    </w:p>
  </w:footnote>
  <w:footnote w:id="22">
    <w:p w14:paraId="79D58B54" w14:textId="68E2E564" w:rsidR="003646EB" w:rsidRPr="00360FF6"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Using the same data, Pape and Lange (2018) also found that the VAT was ‘mildly progressive but close to neutral’. Their explanation is that poorer people disproportionately consume exempt and zero-rated items and that consumption instead of income is used as the relevant welfare indicator, given that VAT is clearly regressive if ‘measured against a welfare indicator based on actual household income’.</w:t>
      </w:r>
    </w:p>
  </w:footnote>
  <w:footnote w:id="23">
    <w:p w14:paraId="45AC7792" w14:textId="3E2B89BD" w:rsidR="003646EB" w:rsidRPr="00360FF6"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Pape and Lange (2018) also found that excise taxes were progressive in 2015/16, except for tobacco products.</w:t>
      </w:r>
    </w:p>
  </w:footnote>
  <w:footnote w:id="24">
    <w:p w14:paraId="78EC7864" w14:textId="1935E12C" w:rsidR="003646EB" w:rsidRPr="00360FF6"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There are no consistent figures of overall public social expenditure. OHCHR (2021: 2) reports that it amounted to only 3% of GDP in 2018-2021, but this cannot be correct, given that spending on education alone already exceeded 5% of GDP in most years. </w:t>
      </w:r>
    </w:p>
  </w:footnote>
  <w:footnote w:id="25">
    <w:p w14:paraId="7A55F299" w14:textId="5ABE30C6" w:rsidR="003646EB" w:rsidRPr="00360FF6"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The World Development Indicators of November 2022 report a figure of 4.8% in 2021.</w:t>
      </w:r>
    </w:p>
  </w:footnote>
  <w:footnote w:id="26">
    <w:p w14:paraId="4E611B3D" w14:textId="2D062EC9" w:rsidR="003646EB" w:rsidRPr="00152575" w:rsidRDefault="003646EB" w:rsidP="00E344B8">
      <w:pPr>
        <w:spacing w:after="0" w:line="240" w:lineRule="auto"/>
        <w:jc w:val="both"/>
        <w:rPr>
          <w:rFonts w:ascii="Times New Roman" w:hAnsi="Times New Roman" w:cs="Times New Roman"/>
          <w:sz w:val="16"/>
          <w:szCs w:val="16"/>
        </w:rPr>
      </w:pPr>
      <w:r w:rsidRPr="00360FF6">
        <w:rPr>
          <w:rStyle w:val="FootnoteReference"/>
          <w:rFonts w:ascii="Times New Roman" w:hAnsi="Times New Roman" w:cs="Times New Roman"/>
          <w:sz w:val="16"/>
          <w:szCs w:val="16"/>
        </w:rPr>
        <w:footnoteRef/>
      </w:r>
      <w:r w:rsidRPr="00360FF6">
        <w:rPr>
          <w:rFonts w:ascii="Times New Roman" w:hAnsi="Times New Roman" w:cs="Times New Roman"/>
          <w:sz w:val="16"/>
          <w:szCs w:val="16"/>
        </w:rPr>
        <w:t xml:space="preserve"> </w:t>
      </w:r>
      <w:hyperlink r:id="rId2" w:history="1">
        <w:r w:rsidRPr="00360FF6">
          <w:rPr>
            <w:rStyle w:val="Hyperlink"/>
            <w:rFonts w:ascii="Times New Roman" w:hAnsi="Times New Roman" w:cs="Times New Roman"/>
            <w:sz w:val="16"/>
            <w:szCs w:val="16"/>
          </w:rPr>
          <w:t>https://www.oxfam.org/en/kenya-extreme-inequality-numbers</w:t>
        </w:r>
      </w:hyperlink>
      <w:r w:rsidRPr="00360FF6">
        <w:rPr>
          <w:rStyle w:val="Hyperlink"/>
          <w:rFonts w:ascii="Times New Roman" w:hAnsi="Times New Roman" w:cs="Times New Roman"/>
          <w:sz w:val="16"/>
          <w:szCs w:val="16"/>
        </w:rPr>
        <w:t>.</w:t>
      </w:r>
    </w:p>
  </w:footnote>
  <w:footnote w:id="27">
    <w:p w14:paraId="741611EB" w14:textId="33E548EF" w:rsidR="003646EB" w:rsidRPr="00360FF6"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A small part of the domestic general government health expenditure concerns capital formation. The government health expenditure rose especially between 2012/13 and 2015/16, which has been attributed to the creation of county governments in 2012 (MoH, 2020: 18). </w:t>
      </w:r>
    </w:p>
  </w:footnote>
  <w:footnote w:id="28">
    <w:p w14:paraId="68A5B72F" w14:textId="008C4849" w:rsidR="003646EB" w:rsidRPr="00360FF6"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The subsidy part constitutes public spending on social protection.</w:t>
      </w:r>
    </w:p>
  </w:footnote>
  <w:footnote w:id="29">
    <w:p w14:paraId="14C1B3EA" w14:textId="732F7429" w:rsidR="003646EB" w:rsidRPr="002C0591"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w:t>
      </w:r>
      <w:hyperlink r:id="rId3" w:history="1">
        <w:r w:rsidRPr="0022209F">
          <w:rPr>
            <w:rStyle w:val="Hyperlink"/>
            <w:rFonts w:ascii="Times New Roman" w:hAnsi="Times New Roman" w:cs="Times New Roman"/>
            <w:sz w:val="16"/>
            <w:szCs w:val="16"/>
            <w:lang w:val="en-GB"/>
          </w:rPr>
          <w:t>https://www.ohchr.org/sites/default/files/Documents/Countries/KE/Human_Rights-Based-Analysis-Kenya-Budget-2021-2022.pdf</w:t>
        </w:r>
      </w:hyperlink>
      <w:r w:rsidRPr="00360FF6">
        <w:rPr>
          <w:rFonts w:ascii="Times New Roman" w:hAnsi="Times New Roman" w:cs="Times New Roman"/>
          <w:sz w:val="16"/>
          <w:szCs w:val="16"/>
          <w:lang w:val="en-GB"/>
        </w:rPr>
        <w:t>.</w:t>
      </w:r>
      <w:r>
        <w:rPr>
          <w:rFonts w:ascii="Times New Roman" w:hAnsi="Times New Roman" w:cs="Times New Roman"/>
          <w:sz w:val="16"/>
          <w:szCs w:val="16"/>
          <w:lang w:val="en-GB"/>
        </w:rPr>
        <w:t xml:space="preserve"> </w:t>
      </w:r>
      <w:r w:rsidRPr="00934611">
        <w:rPr>
          <w:rFonts w:ascii="Times New Roman" w:hAnsi="Times New Roman" w:cs="Times New Roman"/>
          <w:sz w:val="16"/>
          <w:szCs w:val="16"/>
          <w:lang w:val="en-GB"/>
        </w:rPr>
        <w:t>The National Treasury and Planning (2020</w:t>
      </w:r>
      <w:r>
        <w:rPr>
          <w:rFonts w:ascii="Times New Roman" w:hAnsi="Times New Roman" w:cs="Times New Roman"/>
          <w:sz w:val="16"/>
          <w:szCs w:val="16"/>
          <w:lang w:val="en-GB"/>
        </w:rPr>
        <w:t>, Annex III</w:t>
      </w:r>
      <w:r w:rsidRPr="00934611">
        <w:rPr>
          <w:rFonts w:ascii="Times New Roman" w:hAnsi="Times New Roman" w:cs="Times New Roman"/>
          <w:sz w:val="16"/>
          <w:szCs w:val="16"/>
          <w:lang w:val="en-GB"/>
        </w:rPr>
        <w:t>)</w:t>
      </w:r>
      <w:r>
        <w:rPr>
          <w:rFonts w:ascii="Times New Roman" w:hAnsi="Times New Roman" w:cs="Times New Roman"/>
          <w:sz w:val="16"/>
          <w:szCs w:val="16"/>
          <w:lang w:val="en-GB"/>
        </w:rPr>
        <w:t xml:space="preserve"> show the proportions of total government spending on education, health and social protection, which suggest that the proportion for social protection is of the same order of magnitude as that for health</w:t>
      </w:r>
      <w:r w:rsidRPr="00934611">
        <w:rPr>
          <w:rFonts w:ascii="Times New Roman" w:hAnsi="Times New Roman" w:cs="Times New Roman"/>
          <w:sz w:val="16"/>
          <w:szCs w:val="16"/>
          <w:lang w:val="en-GB"/>
        </w:rPr>
        <w:t>.</w:t>
      </w:r>
      <w:r>
        <w:rPr>
          <w:rFonts w:ascii="Times New Roman" w:hAnsi="Times New Roman" w:cs="Times New Roman"/>
          <w:sz w:val="16"/>
          <w:szCs w:val="16"/>
          <w:lang w:val="en-GB"/>
        </w:rPr>
        <w:t xml:space="preserve"> It is possible, however, that that </w:t>
      </w:r>
      <w:r w:rsidRPr="002C0591">
        <w:rPr>
          <w:rFonts w:ascii="Times New Roman" w:hAnsi="Times New Roman" w:cs="Times New Roman"/>
          <w:sz w:val="16"/>
          <w:szCs w:val="16"/>
          <w:lang w:val="en-GB"/>
        </w:rPr>
        <w:t>proportion spent on social protection includes the earlier-mentioned insurance subsidies for the poor and vulnerable.</w:t>
      </w:r>
    </w:p>
  </w:footnote>
  <w:footnote w:id="30">
    <w:p w14:paraId="544EEEBC" w14:textId="7FAEE408" w:rsidR="003646EB" w:rsidRDefault="003646EB">
      <w:pPr>
        <w:pStyle w:val="FootnoteText"/>
      </w:pPr>
      <w:r w:rsidRPr="00916125">
        <w:rPr>
          <w:rStyle w:val="FootnoteReference"/>
          <w:rFonts w:ascii="Times New Roman" w:hAnsi="Times New Roman" w:cs="Times New Roman"/>
          <w:sz w:val="16"/>
          <w:szCs w:val="16"/>
        </w:rPr>
        <w:footnoteRef/>
      </w:r>
      <w:r w:rsidRPr="00916125">
        <w:rPr>
          <w:rFonts w:ascii="Times New Roman" w:hAnsi="Times New Roman" w:cs="Times New Roman"/>
          <w:sz w:val="16"/>
          <w:szCs w:val="16"/>
        </w:rPr>
        <w:t xml:space="preserve"> https://www.standardmedia.co.ke/article/2001472097/ruto-reduces-nhif-contributions-for-low-income-earners.</w:t>
      </w:r>
    </w:p>
  </w:footnote>
  <w:footnote w:id="31">
    <w:p w14:paraId="6B82878A" w14:textId="77777777" w:rsidR="003646EB" w:rsidRPr="00102AFD" w:rsidRDefault="003646EB" w:rsidP="00E344B8">
      <w:pPr>
        <w:pStyle w:val="FootnoteText"/>
        <w:jc w:val="both"/>
        <w:rPr>
          <w:rFonts w:ascii="Times New Roman" w:hAnsi="Times New Roman" w:cs="Times New Roman"/>
          <w:sz w:val="16"/>
          <w:szCs w:val="16"/>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Adequacy is expressed as a percentage of the welfare of the beneficiary population.</w:t>
      </w:r>
      <w:r w:rsidRPr="00102AFD">
        <w:rPr>
          <w:rFonts w:ascii="Times New Roman" w:hAnsi="Times New Roman" w:cs="Times New Roman"/>
          <w:sz w:val="16"/>
          <w:szCs w:val="16"/>
        </w:rPr>
        <w:t xml:space="preserve"> </w:t>
      </w:r>
    </w:p>
  </w:footnote>
  <w:footnote w:id="32">
    <w:p w14:paraId="5E7079A0" w14:textId="7298DE27" w:rsidR="003646EB" w:rsidRPr="00360FF6" w:rsidRDefault="003646EB" w:rsidP="00E344B8">
      <w:pPr>
        <w:pStyle w:val="FootnoteText"/>
        <w:jc w:val="both"/>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The benefit incidence is measured as a percentage of total safety net benefits.</w:t>
      </w:r>
    </w:p>
  </w:footnote>
  <w:footnote w:id="33">
    <w:p w14:paraId="14679B93" w14:textId="1B23765E" w:rsidR="003646EB" w:rsidRPr="00682B75" w:rsidRDefault="003646EB">
      <w:pPr>
        <w:pStyle w:val="FootnoteText"/>
        <w:rPr>
          <w:lang w:val="en-GB"/>
        </w:rPr>
      </w:pPr>
      <w:r>
        <w:rPr>
          <w:rStyle w:val="FootnoteReference"/>
        </w:rPr>
        <w:footnoteRef/>
      </w:r>
      <w:r w:rsidRPr="00682B75">
        <w:rPr>
          <w:rFonts w:ascii="Times New Roman" w:hAnsi="Times New Roman" w:cs="Times New Roman"/>
          <w:sz w:val="16"/>
          <w:szCs w:val="16"/>
          <w:lang w:val="en-GB"/>
        </w:rPr>
        <w:t xml:space="preserve"> https://www.unwomen.org/en/news/in-focus/csw59/feature-stories.</w:t>
      </w:r>
    </w:p>
  </w:footnote>
  <w:footnote w:id="34">
    <w:p w14:paraId="2E17621E" w14:textId="5B43675A" w:rsidR="003646EB" w:rsidRPr="00EC512A" w:rsidRDefault="003646EB">
      <w:pPr>
        <w:pStyle w:val="FootnoteText"/>
        <w:rPr>
          <w:rFonts w:ascii="Times New Roman" w:hAnsi="Times New Roman" w:cs="Times New Roman"/>
          <w:sz w:val="16"/>
          <w:szCs w:val="16"/>
        </w:rPr>
      </w:pPr>
      <w:r w:rsidRPr="00EC512A">
        <w:rPr>
          <w:rStyle w:val="FootnoteReference"/>
          <w:rFonts w:ascii="Times New Roman" w:hAnsi="Times New Roman" w:cs="Times New Roman"/>
          <w:sz w:val="16"/>
          <w:szCs w:val="16"/>
        </w:rPr>
        <w:footnoteRef/>
      </w:r>
      <w:r w:rsidRPr="00EC512A">
        <w:rPr>
          <w:rFonts w:ascii="Times New Roman" w:hAnsi="Times New Roman" w:cs="Times New Roman"/>
          <w:sz w:val="16"/>
          <w:szCs w:val="16"/>
        </w:rPr>
        <w:t xml:space="preserve"> Own calculations based on ENA</w:t>
      </w:r>
      <w:r>
        <w:rPr>
          <w:rFonts w:ascii="Times New Roman" w:hAnsi="Times New Roman" w:cs="Times New Roman"/>
          <w:sz w:val="16"/>
          <w:szCs w:val="16"/>
        </w:rPr>
        <w:t xml:space="preserve"> (</w:t>
      </w:r>
      <w:r w:rsidRPr="00EC512A">
        <w:rPr>
          <w:rFonts w:ascii="Times New Roman" w:hAnsi="Times New Roman" w:cs="Times New Roman"/>
          <w:sz w:val="16"/>
          <w:szCs w:val="16"/>
        </w:rPr>
        <w:t>2023: Table 1).</w:t>
      </w:r>
      <w:r>
        <w:rPr>
          <w:rFonts w:ascii="Times New Roman" w:hAnsi="Times New Roman" w:cs="Times New Roman"/>
          <w:sz w:val="16"/>
          <w:szCs w:val="16"/>
        </w:rPr>
        <w:t xml:space="preserve"> The numbers of elected women among the 290 directly elected National Assembly members were 16, 23 and 29 in the general elections of 2013, 2017 and 2022, respectively. In addition, in 2017 there were 6 female Nominated members to the National Assembly (out of 12 in total) and 47 exclusively women elected as County Women members to the National Parliament, zero female governors (out of total of 47 governors (ibid.). The percentage female member of among a total of 350 members of the National Assembly was  </w:t>
      </w:r>
    </w:p>
  </w:footnote>
  <w:footnote w:id="35">
    <w:p w14:paraId="4024F371" w14:textId="79DB6FE0" w:rsidR="003646EB" w:rsidRPr="00BC0A82" w:rsidRDefault="003646EB">
      <w:pPr>
        <w:pStyle w:val="FootnoteText"/>
        <w:rPr>
          <w:rFonts w:ascii="Times New Roman" w:hAnsi="Times New Roman" w:cs="Times New Roman"/>
          <w:sz w:val="16"/>
          <w:szCs w:val="16"/>
        </w:rPr>
      </w:pPr>
      <w:r w:rsidRPr="00BC0A82">
        <w:rPr>
          <w:rStyle w:val="FootnoteReference"/>
          <w:rFonts w:ascii="Times New Roman" w:hAnsi="Times New Roman" w:cs="Times New Roman"/>
          <w:sz w:val="16"/>
          <w:szCs w:val="16"/>
        </w:rPr>
        <w:footnoteRef/>
      </w:r>
      <w:r w:rsidRPr="00BC0A82">
        <w:rPr>
          <w:rFonts w:ascii="Times New Roman" w:hAnsi="Times New Roman" w:cs="Times New Roman"/>
          <w:sz w:val="16"/>
          <w:szCs w:val="16"/>
        </w:rPr>
        <w:t xml:space="preserve"> Ibid.</w:t>
      </w:r>
      <w:r>
        <w:rPr>
          <w:rFonts w:ascii="Times New Roman" w:hAnsi="Times New Roman" w:cs="Times New Roman"/>
          <w:sz w:val="16"/>
          <w:szCs w:val="16"/>
        </w:rPr>
        <w:t xml:space="preserve"> The numbers of elected women among in the County Assembles were, respectively, 82 (out of a total of 1450 members), 96 (out of a total of 1430) and 114 (out of a total of 1450) in the three election years. Including these numbers, the proportions of women in the National Assembly are 20%, 22% and 23% in these years.</w:t>
      </w:r>
    </w:p>
  </w:footnote>
  <w:footnote w:id="36">
    <w:p w14:paraId="25F4CBE0" w14:textId="08AFC9F8" w:rsidR="003646EB" w:rsidRPr="00634D7A" w:rsidRDefault="003646EB" w:rsidP="009F5DA5">
      <w:pPr>
        <w:pStyle w:val="FootnoteText"/>
        <w:jc w:val="both"/>
        <w:rPr>
          <w:rFonts w:ascii="Times New Roman" w:hAnsi="Times New Roman" w:cs="Times New Roman"/>
          <w:sz w:val="16"/>
          <w:szCs w:val="16"/>
        </w:rPr>
      </w:pPr>
      <w:r w:rsidRPr="00634D7A">
        <w:rPr>
          <w:rStyle w:val="FootnoteReference"/>
          <w:rFonts w:ascii="Times New Roman" w:hAnsi="Times New Roman" w:cs="Times New Roman"/>
          <w:sz w:val="16"/>
          <w:szCs w:val="16"/>
        </w:rPr>
        <w:footnoteRef/>
      </w:r>
      <w:r w:rsidRPr="00634D7A">
        <w:rPr>
          <w:rFonts w:ascii="Times New Roman" w:hAnsi="Times New Roman" w:cs="Times New Roman"/>
          <w:sz w:val="16"/>
          <w:szCs w:val="16"/>
        </w:rPr>
        <w:t xml:space="preserve"> The authors report a decline in the poverty rates for female-headed households from 39% to 33%, compared to a reduction from 30% to 26% for male-headed households.</w:t>
      </w:r>
      <w:r>
        <w:rPr>
          <w:rFonts w:ascii="Times New Roman" w:hAnsi="Times New Roman" w:cs="Times New Roman"/>
          <w:sz w:val="16"/>
          <w:szCs w:val="16"/>
        </w:rPr>
        <w:t xml:space="preserve"> They conducted m</w:t>
      </w:r>
      <w:r w:rsidRPr="0053077F">
        <w:rPr>
          <w:rFonts w:ascii="Times New Roman" w:hAnsi="Times New Roman" w:cs="Times New Roman"/>
          <w:sz w:val="16"/>
          <w:szCs w:val="16"/>
        </w:rPr>
        <w:t>ulti-variate analysis combined with a Oaxaca-Blinder decomposition analysis</w:t>
      </w:r>
      <w:r>
        <w:rPr>
          <w:rFonts w:ascii="Times New Roman" w:hAnsi="Times New Roman" w:cs="Times New Roman"/>
          <w:sz w:val="16"/>
          <w:szCs w:val="16"/>
        </w:rPr>
        <w:t xml:space="preserve"> to assess gender inequality in poverty.</w:t>
      </w:r>
    </w:p>
  </w:footnote>
  <w:footnote w:id="37">
    <w:p w14:paraId="2B3AD363" w14:textId="77777777" w:rsidR="003646EB" w:rsidRPr="00EE7A2D" w:rsidRDefault="003646EB" w:rsidP="00E56D63">
      <w:pPr>
        <w:pStyle w:val="FootnoteText"/>
        <w:rPr>
          <w:rFonts w:ascii="Times New Roman" w:hAnsi="Times New Roman" w:cs="Times New Roman"/>
          <w:sz w:val="16"/>
          <w:szCs w:val="16"/>
        </w:rPr>
      </w:pPr>
      <w:r w:rsidRPr="00EE7A2D">
        <w:rPr>
          <w:rStyle w:val="FootnoteReference"/>
          <w:rFonts w:ascii="Times New Roman" w:hAnsi="Times New Roman" w:cs="Times New Roman"/>
          <w:sz w:val="16"/>
          <w:szCs w:val="16"/>
        </w:rPr>
        <w:footnoteRef/>
      </w:r>
      <w:r w:rsidRPr="00EE7A2D">
        <w:rPr>
          <w:rFonts w:ascii="Times New Roman" w:hAnsi="Times New Roman" w:cs="Times New Roman"/>
          <w:sz w:val="16"/>
          <w:szCs w:val="16"/>
        </w:rPr>
        <w:t xml:space="preserve"> https://www.equalmeasures2030.org/story/silent-suffering-kenyan-girls-missing-out-on-education/.</w:t>
      </w:r>
    </w:p>
  </w:footnote>
  <w:footnote w:id="38">
    <w:p w14:paraId="2940EA00" w14:textId="5C4D5158" w:rsidR="003646EB" w:rsidRPr="00232826" w:rsidRDefault="003646EB">
      <w:pPr>
        <w:pStyle w:val="FootnoteText"/>
        <w:rPr>
          <w:rFonts w:ascii="Times New Roman" w:hAnsi="Times New Roman" w:cs="Times New Roman"/>
          <w:sz w:val="16"/>
          <w:szCs w:val="16"/>
        </w:rPr>
      </w:pPr>
      <w:r w:rsidRPr="00232826">
        <w:rPr>
          <w:rStyle w:val="FootnoteReference"/>
          <w:rFonts w:ascii="Times New Roman" w:hAnsi="Times New Roman" w:cs="Times New Roman"/>
          <w:sz w:val="16"/>
          <w:szCs w:val="16"/>
        </w:rPr>
        <w:footnoteRef/>
      </w:r>
      <w:r w:rsidRPr="00232826">
        <w:rPr>
          <w:rFonts w:ascii="Times New Roman" w:hAnsi="Times New Roman" w:cs="Times New Roman"/>
          <w:sz w:val="16"/>
          <w:szCs w:val="16"/>
        </w:rPr>
        <w:t xml:space="preserve"> A year later it launched county guidelines for GRB.</w:t>
      </w:r>
    </w:p>
  </w:footnote>
  <w:footnote w:id="39">
    <w:p w14:paraId="112422DD" w14:textId="77777777" w:rsidR="003646EB" w:rsidRPr="00360FF6" w:rsidRDefault="003646EB" w:rsidP="000C3C4B">
      <w:pPr>
        <w:pStyle w:val="FootnoteText"/>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https://vision2030.go.ke/about-vision-2030/.</w:t>
      </w:r>
    </w:p>
  </w:footnote>
  <w:footnote w:id="40">
    <w:p w14:paraId="325A33A1" w14:textId="77777777" w:rsidR="003646EB" w:rsidRPr="00360FF6" w:rsidRDefault="003646EB" w:rsidP="000C3C4B">
      <w:pPr>
        <w:pStyle w:val="FootnoteText"/>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w:t>
      </w:r>
      <w:hyperlink r:id="rId4" w:history="1">
        <w:r w:rsidRPr="00360FF6">
          <w:rPr>
            <w:rStyle w:val="Hyperlink"/>
            <w:rFonts w:ascii="Times New Roman" w:hAnsi="Times New Roman" w:cs="Times New Roman"/>
            <w:sz w:val="16"/>
            <w:szCs w:val="16"/>
            <w:lang w:val="en-GB"/>
          </w:rPr>
          <w:t>https://www.treasury.go.ke/kenya-economy/</w:t>
        </w:r>
      </w:hyperlink>
      <w:r w:rsidRPr="00360FF6">
        <w:rPr>
          <w:rFonts w:ascii="Times New Roman" w:hAnsi="Times New Roman" w:cs="Times New Roman"/>
          <w:sz w:val="16"/>
          <w:szCs w:val="16"/>
          <w:lang w:val="en-GB"/>
        </w:rPr>
        <w:t xml:space="preserve">; </w:t>
      </w:r>
      <w:hyperlink r:id="rId5" w:history="1">
        <w:r w:rsidRPr="00360FF6">
          <w:rPr>
            <w:rStyle w:val="Hyperlink"/>
            <w:rFonts w:ascii="Times New Roman" w:hAnsi="Times New Roman" w:cs="Times New Roman"/>
            <w:sz w:val="16"/>
            <w:szCs w:val="16"/>
            <w:lang w:val="en-GB"/>
          </w:rPr>
          <w:t>https://vision2030.go.ke/towards-2030/</w:t>
        </w:r>
      </w:hyperlink>
      <w:r w:rsidRPr="00360FF6">
        <w:rPr>
          <w:rFonts w:ascii="Times New Roman" w:hAnsi="Times New Roman" w:cs="Times New Roman"/>
          <w:sz w:val="16"/>
          <w:szCs w:val="16"/>
          <w:lang w:val="en-GB"/>
        </w:rPr>
        <w:t>; https://big4.delivery.go.ke/.</w:t>
      </w:r>
    </w:p>
  </w:footnote>
  <w:footnote w:id="41">
    <w:p w14:paraId="497B7BEF" w14:textId="361D8A0B" w:rsidR="003646EB" w:rsidRPr="00F37840" w:rsidRDefault="003646EB" w:rsidP="00F833D0">
      <w:pPr>
        <w:pStyle w:val="FootnoteText"/>
        <w:jc w:val="both"/>
        <w:rPr>
          <w:rFonts w:ascii="Times New Roman" w:hAnsi="Times New Roman" w:cs="Times New Roman"/>
          <w:sz w:val="16"/>
          <w:szCs w:val="16"/>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In speeches, the President mentioned inequality explicitly that his government programme ‘is about not leaving anyone behind’ </w:t>
      </w:r>
      <w:r>
        <w:rPr>
          <w:rFonts w:ascii="Times New Roman" w:hAnsi="Times New Roman" w:cs="Times New Roman"/>
          <w:sz w:val="16"/>
          <w:szCs w:val="16"/>
          <w:lang w:val="en-GB"/>
        </w:rPr>
        <w:t>He</w:t>
      </w:r>
      <w:r w:rsidRPr="00360FF6">
        <w:rPr>
          <w:rFonts w:ascii="Times New Roman" w:hAnsi="Times New Roman" w:cs="Times New Roman"/>
          <w:sz w:val="16"/>
          <w:szCs w:val="16"/>
          <w:lang w:val="en-GB"/>
        </w:rPr>
        <w:t xml:space="preserve"> furthermore noted that ‘inequality breeds suspicion’ (</w:t>
      </w:r>
      <w:hyperlink r:id="rId6" w:history="1">
        <w:r w:rsidRPr="00360FF6">
          <w:rPr>
            <w:rStyle w:val="Hyperlink"/>
            <w:rFonts w:ascii="Times New Roman" w:hAnsi="Times New Roman" w:cs="Times New Roman"/>
            <w:sz w:val="16"/>
            <w:szCs w:val="16"/>
            <w:lang w:val="en-GB"/>
          </w:rPr>
          <w:t>https://ke.opera.news/ke/en/others/5a5bd0e9cdcb6743a77c71346a715a94</w:t>
        </w:r>
      </w:hyperlink>
      <w:r w:rsidRPr="00360FF6">
        <w:rPr>
          <w:rFonts w:ascii="Times New Roman" w:hAnsi="Times New Roman" w:cs="Times New Roman"/>
          <w:sz w:val="16"/>
          <w:szCs w:val="16"/>
          <w:lang w:val="en-GB"/>
        </w:rPr>
        <w:t>). He also referred to the tax system to be reformed …. to reduce inequality (</w:t>
      </w:r>
      <w:hyperlink r:id="rId7" w:history="1">
        <w:r w:rsidRPr="00360FF6">
          <w:rPr>
            <w:rStyle w:val="Hyperlink"/>
            <w:rFonts w:ascii="Times New Roman" w:hAnsi="Times New Roman" w:cs="Times New Roman"/>
            <w:sz w:val="16"/>
            <w:szCs w:val="16"/>
            <w:lang w:val="en-GB"/>
          </w:rPr>
          <w:t>https://www.africanews.com/2022/09/30/kenya-president-ruto-wants-to-reform-tax-system-to-reduce-inequality/</w:t>
        </w:r>
      </w:hyperlink>
      <w:r w:rsidRPr="00360FF6">
        <w:rPr>
          <w:rFonts w:ascii="Times New Roman" w:hAnsi="Times New Roman" w:cs="Times New Roman"/>
          <w:sz w:val="16"/>
          <w:szCs w:val="16"/>
          <w:lang w:val="en-GB"/>
        </w:rPr>
        <w:t>).</w:t>
      </w:r>
    </w:p>
  </w:footnote>
  <w:footnote w:id="42">
    <w:p w14:paraId="5AA9D995" w14:textId="77777777" w:rsidR="003646EB" w:rsidRPr="00360FF6" w:rsidRDefault="003646EB" w:rsidP="00682930">
      <w:pPr>
        <w:pStyle w:val="FootnoteText"/>
        <w:rPr>
          <w:rFonts w:ascii="Times New Roman" w:hAnsi="Times New Roman" w:cs="Times New Roman"/>
          <w:sz w:val="16"/>
          <w:szCs w:val="16"/>
          <w:lang w:val="en-GB"/>
        </w:rPr>
      </w:pPr>
      <w:r w:rsidRPr="00360FF6">
        <w:rPr>
          <w:rStyle w:val="FootnoteReference"/>
          <w:rFonts w:ascii="Times New Roman" w:hAnsi="Times New Roman" w:cs="Times New Roman"/>
          <w:sz w:val="16"/>
          <w:szCs w:val="16"/>
          <w:lang w:val="en-GB"/>
        </w:rPr>
        <w:footnoteRef/>
      </w:r>
      <w:r w:rsidRPr="00360FF6">
        <w:rPr>
          <w:rFonts w:ascii="Times New Roman" w:hAnsi="Times New Roman" w:cs="Times New Roman"/>
          <w:sz w:val="16"/>
          <w:szCs w:val="16"/>
          <w:lang w:val="en-GB"/>
        </w:rPr>
        <w:t xml:space="preserve"> https://www.eeas.europa.eu/sites/default/files/joint_cooperation_strategy_2018_-2022_1.pdf.</w:t>
      </w:r>
    </w:p>
  </w:footnote>
  <w:footnote w:id="43">
    <w:p w14:paraId="410D1986" w14:textId="77777777" w:rsidR="003646EB" w:rsidRPr="00730C30" w:rsidRDefault="003646EB" w:rsidP="00682930">
      <w:pPr>
        <w:pStyle w:val="FootnoteText"/>
        <w:rPr>
          <w:rFonts w:ascii="Times New Roman" w:hAnsi="Times New Roman" w:cs="Times New Roman"/>
          <w:sz w:val="16"/>
          <w:szCs w:val="16"/>
          <w:lang w:val="es-CO"/>
        </w:rPr>
      </w:pPr>
      <w:r w:rsidRPr="00360FF6">
        <w:rPr>
          <w:rStyle w:val="FootnoteReference"/>
          <w:rFonts w:ascii="Times New Roman" w:hAnsi="Times New Roman" w:cs="Times New Roman"/>
          <w:sz w:val="16"/>
          <w:szCs w:val="16"/>
          <w:lang w:val="en-GB"/>
        </w:rPr>
        <w:footnoteRef/>
      </w:r>
      <w:r w:rsidRPr="00417601">
        <w:rPr>
          <w:rFonts w:ascii="Times New Roman" w:hAnsi="Times New Roman" w:cs="Times New Roman"/>
          <w:sz w:val="16"/>
          <w:szCs w:val="16"/>
          <w:lang w:val="es-CO"/>
        </w:rPr>
        <w:t xml:space="preserve"> Ibid.</w:t>
      </w:r>
    </w:p>
  </w:footnote>
  <w:footnote w:id="44">
    <w:p w14:paraId="2E98EED7" w14:textId="77777777" w:rsidR="003646EB" w:rsidRPr="00417601" w:rsidRDefault="003646EB" w:rsidP="00682930">
      <w:pPr>
        <w:pStyle w:val="FootnoteText"/>
        <w:rPr>
          <w:rFonts w:ascii="Times New Roman" w:hAnsi="Times New Roman" w:cs="Times New Roman"/>
          <w:sz w:val="16"/>
          <w:szCs w:val="16"/>
          <w:lang w:val="es-CO"/>
        </w:rPr>
      </w:pPr>
      <w:r w:rsidRPr="00360FF6">
        <w:rPr>
          <w:rStyle w:val="FootnoteReference"/>
          <w:rFonts w:ascii="Times New Roman" w:hAnsi="Times New Roman" w:cs="Times New Roman"/>
          <w:sz w:val="16"/>
          <w:szCs w:val="16"/>
          <w:lang w:val="en-GB"/>
        </w:rPr>
        <w:footnoteRef/>
      </w:r>
      <w:r w:rsidRPr="00417601">
        <w:rPr>
          <w:rFonts w:ascii="Times New Roman" w:hAnsi="Times New Roman" w:cs="Times New Roman"/>
          <w:sz w:val="16"/>
          <w:szCs w:val="16"/>
          <w:lang w:val="es-CO"/>
        </w:rPr>
        <w:t xml:space="preserve"> https://international-partnerships.ec.europa.eu/system/files/2022-01/mip-2021-c2021-9088-kenya-annex_en.pdf.</w:t>
      </w:r>
    </w:p>
  </w:footnote>
  <w:footnote w:id="45">
    <w:p w14:paraId="3C0F7AAF" w14:textId="77777777" w:rsidR="003646EB" w:rsidRPr="00417601" w:rsidRDefault="003646EB" w:rsidP="00682930">
      <w:pPr>
        <w:pStyle w:val="FootnoteText"/>
        <w:rPr>
          <w:rFonts w:ascii="Times New Roman" w:hAnsi="Times New Roman" w:cs="Times New Roman"/>
          <w:sz w:val="16"/>
          <w:szCs w:val="16"/>
          <w:lang w:val="es-CO"/>
        </w:rPr>
      </w:pPr>
      <w:r w:rsidRPr="00360FF6">
        <w:rPr>
          <w:rStyle w:val="FootnoteReference"/>
          <w:rFonts w:ascii="Times New Roman" w:hAnsi="Times New Roman" w:cs="Times New Roman"/>
          <w:sz w:val="16"/>
          <w:szCs w:val="16"/>
          <w:lang w:val="en-GB"/>
        </w:rPr>
        <w:footnoteRef/>
      </w:r>
      <w:r w:rsidRPr="00417601">
        <w:rPr>
          <w:rFonts w:ascii="Times New Roman" w:hAnsi="Times New Roman" w:cs="Times New Roman"/>
          <w:sz w:val="16"/>
          <w:szCs w:val="16"/>
          <w:lang w:val="es-CO"/>
        </w:rPr>
        <w:t xml:space="preserve"> https://foreignassistance.gov/cd/kenya/2020/disbursements/1.</w:t>
      </w:r>
    </w:p>
  </w:footnote>
  <w:footnote w:id="46">
    <w:p w14:paraId="38E2577A" w14:textId="77777777" w:rsidR="003646EB" w:rsidRPr="00417601" w:rsidRDefault="003646EB" w:rsidP="00682930">
      <w:pPr>
        <w:pStyle w:val="FootnoteText"/>
        <w:rPr>
          <w:rFonts w:ascii="Times New Roman" w:hAnsi="Times New Roman" w:cs="Times New Roman"/>
          <w:sz w:val="16"/>
          <w:szCs w:val="16"/>
          <w:lang w:val="es-CO"/>
        </w:rPr>
      </w:pPr>
      <w:r w:rsidRPr="00360FF6">
        <w:rPr>
          <w:rStyle w:val="FootnoteReference"/>
          <w:rFonts w:ascii="Times New Roman" w:hAnsi="Times New Roman" w:cs="Times New Roman"/>
          <w:sz w:val="16"/>
          <w:szCs w:val="16"/>
          <w:lang w:val="en-GB"/>
        </w:rPr>
        <w:footnoteRef/>
      </w:r>
      <w:r w:rsidRPr="00417601">
        <w:rPr>
          <w:rFonts w:ascii="Times New Roman" w:hAnsi="Times New Roman" w:cs="Times New Roman"/>
          <w:sz w:val="16"/>
          <w:szCs w:val="16"/>
          <w:lang w:val="es-CO"/>
        </w:rPr>
        <w:t xml:space="preserve"> https://www.usaid.gov/sites/default/files/2022-05/Kenya_CDCS_External_Sept_2021.pdf.</w:t>
      </w:r>
    </w:p>
  </w:footnote>
  <w:footnote w:id="47">
    <w:p w14:paraId="5E42BD3C" w14:textId="77777777" w:rsidR="003646EB" w:rsidRPr="00417601" w:rsidRDefault="003646EB" w:rsidP="00682930">
      <w:pPr>
        <w:pStyle w:val="FootnoteText"/>
        <w:rPr>
          <w:rFonts w:ascii="Times New Roman" w:hAnsi="Times New Roman" w:cs="Times New Roman"/>
          <w:sz w:val="16"/>
          <w:szCs w:val="16"/>
          <w:lang w:val="es-CO"/>
        </w:rPr>
      </w:pPr>
      <w:r w:rsidRPr="00360FF6">
        <w:rPr>
          <w:rStyle w:val="FootnoteReference"/>
          <w:rFonts w:ascii="Times New Roman" w:hAnsi="Times New Roman" w:cs="Times New Roman"/>
          <w:sz w:val="16"/>
          <w:szCs w:val="16"/>
          <w:lang w:val="en-GB"/>
        </w:rPr>
        <w:footnoteRef/>
      </w:r>
      <w:r w:rsidRPr="00417601">
        <w:rPr>
          <w:rFonts w:ascii="Times New Roman" w:hAnsi="Times New Roman" w:cs="Times New Roman"/>
          <w:sz w:val="16"/>
          <w:szCs w:val="16"/>
          <w:lang w:val="es-CO"/>
        </w:rPr>
        <w:t xml:space="preserve"> https://www.usaid.gov/kenya.</w:t>
      </w:r>
    </w:p>
  </w:footnote>
  <w:footnote w:id="48">
    <w:p w14:paraId="41627F70" w14:textId="77777777" w:rsidR="003646EB" w:rsidRPr="00417601" w:rsidRDefault="003646EB" w:rsidP="00682930">
      <w:pPr>
        <w:pStyle w:val="FootnoteText"/>
        <w:rPr>
          <w:rFonts w:ascii="Times New Roman" w:hAnsi="Times New Roman" w:cs="Times New Roman"/>
          <w:sz w:val="16"/>
          <w:szCs w:val="16"/>
          <w:lang w:val="es-CO"/>
        </w:rPr>
      </w:pPr>
      <w:r w:rsidRPr="00360FF6">
        <w:rPr>
          <w:rStyle w:val="FootnoteReference"/>
          <w:rFonts w:ascii="Times New Roman" w:hAnsi="Times New Roman" w:cs="Times New Roman"/>
          <w:sz w:val="16"/>
          <w:szCs w:val="16"/>
          <w:lang w:val="en-GB"/>
        </w:rPr>
        <w:footnoteRef/>
      </w:r>
      <w:r w:rsidRPr="00417601">
        <w:rPr>
          <w:rFonts w:ascii="Times New Roman" w:hAnsi="Times New Roman" w:cs="Times New Roman"/>
          <w:sz w:val="16"/>
          <w:szCs w:val="16"/>
          <w:lang w:val="es-CO"/>
        </w:rPr>
        <w:t xml:space="preserve"> https://kenya.un.org/en/sdgs.</w:t>
      </w:r>
    </w:p>
  </w:footnote>
  <w:footnote w:id="49">
    <w:p w14:paraId="7ABFC0F4" w14:textId="77777777" w:rsidR="003646EB" w:rsidRPr="00544057" w:rsidRDefault="003646EB" w:rsidP="00682930">
      <w:pPr>
        <w:pStyle w:val="FootnoteText"/>
        <w:rPr>
          <w:rFonts w:ascii="Times New Roman" w:hAnsi="Times New Roman" w:cs="Times New Roman"/>
          <w:sz w:val="16"/>
          <w:szCs w:val="16"/>
          <w:lang w:val="es-CO"/>
        </w:rPr>
      </w:pPr>
      <w:r w:rsidRPr="00360FF6">
        <w:rPr>
          <w:rStyle w:val="FootnoteReference"/>
          <w:rFonts w:ascii="Times New Roman" w:hAnsi="Times New Roman" w:cs="Times New Roman"/>
          <w:sz w:val="16"/>
          <w:szCs w:val="16"/>
          <w:lang w:val="en-GB"/>
        </w:rPr>
        <w:footnoteRef/>
      </w:r>
      <w:r w:rsidRPr="00417601">
        <w:rPr>
          <w:rFonts w:ascii="Times New Roman" w:hAnsi="Times New Roman" w:cs="Times New Roman"/>
          <w:sz w:val="16"/>
          <w:szCs w:val="16"/>
          <w:shd w:val="clear" w:color="auto" w:fill="FFFFFF"/>
          <w:lang w:val="es-CO"/>
        </w:rPr>
        <w:t xml:space="preserve"> http://documents.worldbank.org/curated/en/099421512052241562/SECBOS01bdb49b00208e1f0d132ef1fbe94.</w:t>
      </w:r>
    </w:p>
  </w:footnote>
  <w:footnote w:id="50">
    <w:p w14:paraId="295A459B" w14:textId="77777777" w:rsidR="003646EB" w:rsidRPr="00364A7E" w:rsidRDefault="003646EB" w:rsidP="00682930">
      <w:pPr>
        <w:pStyle w:val="FootnoteText"/>
        <w:rPr>
          <w:rFonts w:ascii="Times New Roman" w:hAnsi="Times New Roman" w:cs="Times New Roman"/>
          <w:sz w:val="16"/>
          <w:szCs w:val="16"/>
          <w:lang w:val="es-CO"/>
        </w:rPr>
      </w:pPr>
      <w:r w:rsidRPr="005B7664">
        <w:rPr>
          <w:rStyle w:val="FootnoteReference"/>
          <w:rFonts w:ascii="Times New Roman" w:hAnsi="Times New Roman" w:cs="Times New Roman"/>
          <w:sz w:val="16"/>
          <w:szCs w:val="16"/>
        </w:rPr>
        <w:footnoteRef/>
      </w:r>
      <w:r w:rsidRPr="005B7664">
        <w:rPr>
          <w:rFonts w:ascii="Times New Roman" w:hAnsi="Times New Roman" w:cs="Times New Roman"/>
          <w:sz w:val="16"/>
          <w:szCs w:val="16"/>
          <w:lang w:val="es-CO"/>
        </w:rPr>
        <w:t xml:space="preserve"> https://www.afdb.org/en/documents/document/kenya-bank-group-country-strategy-paper-2019-2023-and-country-portfolio-performance-</w:t>
      </w:r>
      <w:r w:rsidRPr="00364A7E">
        <w:rPr>
          <w:rFonts w:ascii="Times New Roman" w:hAnsi="Times New Roman" w:cs="Times New Roman"/>
          <w:sz w:val="16"/>
          <w:szCs w:val="16"/>
          <w:lang w:val="es-CO"/>
        </w:rPr>
        <w:t>review-109105.</w:t>
      </w:r>
    </w:p>
  </w:footnote>
  <w:footnote w:id="51">
    <w:p w14:paraId="072D139E" w14:textId="77777777" w:rsidR="003646EB" w:rsidRPr="00364A7E" w:rsidRDefault="003646EB" w:rsidP="00682930">
      <w:pPr>
        <w:pStyle w:val="FootnoteText"/>
        <w:rPr>
          <w:lang w:val="es-CO"/>
        </w:rPr>
      </w:pPr>
      <w:r w:rsidRPr="00364A7E">
        <w:rPr>
          <w:rStyle w:val="FootnoteReference"/>
          <w:rFonts w:ascii="Times New Roman" w:hAnsi="Times New Roman" w:cs="Times New Roman"/>
          <w:sz w:val="16"/>
          <w:szCs w:val="16"/>
        </w:rPr>
        <w:footnoteRef/>
      </w:r>
      <w:r w:rsidRPr="00364A7E">
        <w:rPr>
          <w:rFonts w:ascii="Times New Roman" w:hAnsi="Times New Roman" w:cs="Times New Roman"/>
          <w:sz w:val="16"/>
          <w:szCs w:val="16"/>
          <w:lang w:val="es-CO"/>
        </w:rPr>
        <w:t xml:space="preserve"> https://www.afdb.org/en/documents/kenya-country-strategy-paper-2019-2023-mid-term-review-and-country-portfolio-performance-review-cppr.</w:t>
      </w:r>
    </w:p>
  </w:footnote>
  <w:footnote w:id="52">
    <w:p w14:paraId="37DDAB8D" w14:textId="77777777" w:rsidR="003646EB" w:rsidRPr="00701423" w:rsidRDefault="003646EB" w:rsidP="00EC51E2">
      <w:pPr>
        <w:pStyle w:val="FootnoteText"/>
        <w:rPr>
          <w:rFonts w:ascii="Times New Roman" w:hAnsi="Times New Roman" w:cs="Times New Roman"/>
          <w:sz w:val="16"/>
          <w:szCs w:val="16"/>
          <w:lang w:val="nl-NL"/>
        </w:rPr>
      </w:pPr>
      <w:r w:rsidRPr="00701423">
        <w:rPr>
          <w:rStyle w:val="FootnoteReference"/>
          <w:rFonts w:ascii="Times New Roman" w:hAnsi="Times New Roman" w:cs="Times New Roman"/>
          <w:sz w:val="16"/>
          <w:szCs w:val="16"/>
        </w:rPr>
        <w:footnoteRef/>
      </w:r>
      <w:r w:rsidRPr="00701423">
        <w:rPr>
          <w:rFonts w:ascii="Times New Roman" w:hAnsi="Times New Roman" w:cs="Times New Roman"/>
          <w:sz w:val="16"/>
          <w:szCs w:val="16"/>
          <w:lang w:val="nl-NL"/>
        </w:rPr>
        <w:t xml:space="preserve"> </w:t>
      </w:r>
      <w:hyperlink r:id="rId8" w:history="1">
        <w:r w:rsidRPr="00417601">
          <w:rPr>
            <w:rStyle w:val="Hyperlink"/>
            <w:rFonts w:ascii="Times New Roman" w:hAnsi="Times New Roman" w:cs="Times New Roman"/>
            <w:sz w:val="16"/>
            <w:szCs w:val="16"/>
            <w:lang w:val="nl-NL"/>
          </w:rPr>
          <w:t>https://www.ohchr.org/sites/default/files/Documents/Countries/KE/Human_Rights-Based-Analysis-Kenya-Budget-2021-2022.pdf</w:t>
        </w:r>
      </w:hyperlink>
      <w:r w:rsidRPr="00417601">
        <w:rPr>
          <w:rFonts w:ascii="Times New Roman" w:hAnsi="Times New Roman" w:cs="Times New Roman"/>
          <w:sz w:val="16"/>
          <w:szCs w:val="16"/>
          <w:lang w:val="nl-NL"/>
        </w:rPr>
        <w:t>, page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B064" w14:textId="4A51436B" w:rsidR="003646EB" w:rsidRDefault="00000000">
    <w:pPr>
      <w:pStyle w:val="Header"/>
    </w:pPr>
    <w:r>
      <w:rPr>
        <w:noProof/>
      </w:rPr>
      <w:pict w14:anchorId="40E27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431829" o:spid="_x0000_s1026" type="#_x0000_t136" style="position:absolute;margin-left:0;margin-top:0;width:639pt;height:58.05pt;rotation:315;z-index:-251646976;mso-position-horizontal:center;mso-position-horizontal-relative:margin;mso-position-vertical:center;mso-position-vertical-relative:margin" o:allowincell="f" fillcolor="silver" stroked="f">
          <v:fill opacity=".5"/>
          <v:textpath style="font-family:&quot;Georgia&quot;;font-size:1pt" string="Awaiting Your Commen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7BCA" w14:textId="3021C857" w:rsidR="003646EB" w:rsidRDefault="00000000">
    <w:pPr>
      <w:pStyle w:val="Header"/>
    </w:pPr>
    <w:r>
      <w:rPr>
        <w:noProof/>
      </w:rPr>
      <w:pict w14:anchorId="024F1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431830" o:spid="_x0000_s1027" type="#_x0000_t136" style="position:absolute;margin-left:0;margin-top:0;width:639pt;height:58.05pt;rotation:315;z-index:-251644928;mso-position-horizontal:center;mso-position-horizontal-relative:margin;mso-position-vertical:center;mso-position-vertical-relative:margin" o:allowincell="f" fillcolor="silver" stroked="f">
          <v:fill opacity=".5"/>
          <v:textpath style="font-family:&quot;Georgia&quot;;font-size:1pt" string="Awaiting Your Comment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3DA6" w14:textId="11B7903F" w:rsidR="003646EB" w:rsidRDefault="00000000">
    <w:pPr>
      <w:pStyle w:val="Header"/>
    </w:pPr>
    <w:r>
      <w:rPr>
        <w:noProof/>
      </w:rPr>
      <w:pict w14:anchorId="5D7CA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431828" o:spid="_x0000_s1025" type="#_x0000_t136" style="position:absolute;margin-left:0;margin-top:0;width:639pt;height:58.05pt;rotation:315;z-index:-251649024;mso-position-horizontal:center;mso-position-horizontal-relative:margin;mso-position-vertical:center;mso-position-vertical-relative:margin" o:allowincell="f" fillcolor="silver" stroked="f">
          <v:fill opacity=".5"/>
          <v:textpath style="font-family:&quot;Georgia&quot;;font-size:1pt" string="Awaiting Your Comment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B7C7B" w14:textId="3DCE1B2D" w:rsidR="003646EB" w:rsidRDefault="00000000">
    <w:pPr>
      <w:pStyle w:val="Header"/>
    </w:pPr>
    <w:r>
      <w:rPr>
        <w:noProof/>
      </w:rPr>
      <w:pict w14:anchorId="7D72F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431832" o:spid="_x0000_s1029" type="#_x0000_t136" style="position:absolute;margin-left:0;margin-top:0;width:639pt;height:58.05pt;rotation:315;z-index:-251640832;mso-position-horizontal:center;mso-position-horizontal-relative:margin;mso-position-vertical:center;mso-position-vertical-relative:margin" o:allowincell="f" fillcolor="silver" stroked="f">
          <v:fill opacity=".5"/>
          <v:textpath style="font-family:&quot;Georgia&quot;;font-size:1pt" string="Awaiting Your Comment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7C98" w14:textId="3C1CC1DE" w:rsidR="003646EB" w:rsidRDefault="00000000">
    <w:pPr>
      <w:pStyle w:val="Header"/>
    </w:pPr>
    <w:r>
      <w:rPr>
        <w:noProof/>
      </w:rPr>
      <w:pict w14:anchorId="047CA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431833" o:spid="_x0000_s1030" type="#_x0000_t136" style="position:absolute;margin-left:0;margin-top:0;width:639pt;height:58.05pt;rotation:315;z-index:-251638784;mso-position-horizontal:center;mso-position-horizontal-relative:margin;mso-position-vertical:center;mso-position-vertical-relative:margin" o:allowincell="f" fillcolor="silver" stroked="f">
          <v:fill opacity=".5"/>
          <v:textpath style="font-family:&quot;Georgia&quot;;font-size:1pt" string="Awaiting Your Comment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1BE6" w14:textId="103B5F9B" w:rsidR="003646EB" w:rsidRDefault="00000000">
    <w:pPr>
      <w:pStyle w:val="Header"/>
    </w:pPr>
    <w:r>
      <w:rPr>
        <w:noProof/>
      </w:rPr>
      <w:pict w14:anchorId="071D7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431831" o:spid="_x0000_s1028" type="#_x0000_t136" style="position:absolute;margin-left:0;margin-top:0;width:639pt;height:58.05pt;rotation:315;z-index:-251642880;mso-position-horizontal:center;mso-position-horizontal-relative:margin;mso-position-vertical:center;mso-position-vertical-relative:margin" o:allowincell="f" fillcolor="silver" stroked="f">
          <v:fill opacity=".5"/>
          <v:textpath style="font-family:&quot;Georgia&quot;;font-size:1pt" string="Awaiting Your Comment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FB060" w14:textId="7287A339" w:rsidR="003646EB" w:rsidRDefault="00000000">
    <w:pPr>
      <w:pStyle w:val="Header"/>
    </w:pPr>
    <w:r>
      <w:rPr>
        <w:noProof/>
      </w:rPr>
      <w:pict w14:anchorId="6EEF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431835" o:spid="_x0000_s1032" type="#_x0000_t136" style="position:absolute;margin-left:0;margin-top:0;width:639pt;height:58.05pt;rotation:315;z-index:-251634688;mso-position-horizontal:center;mso-position-horizontal-relative:margin;mso-position-vertical:center;mso-position-vertical-relative:margin" o:allowincell="f" fillcolor="silver" stroked="f">
          <v:fill opacity=".5"/>
          <v:textpath style="font-family:&quot;Georgia&quot;;font-size:1pt" string="Awaiting Your Comment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E9F2" w14:textId="65B20463" w:rsidR="003646EB" w:rsidRDefault="00000000">
    <w:pPr>
      <w:pStyle w:val="Header"/>
    </w:pPr>
    <w:r>
      <w:rPr>
        <w:noProof/>
      </w:rPr>
      <w:pict w14:anchorId="786C1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431836" o:spid="_x0000_s1033" type="#_x0000_t136" style="position:absolute;margin-left:0;margin-top:0;width:639pt;height:58.05pt;rotation:315;z-index:-251632640;mso-position-horizontal:center;mso-position-horizontal-relative:margin;mso-position-vertical:center;mso-position-vertical-relative:margin" o:allowincell="f" fillcolor="silver" stroked="f">
          <v:fill opacity=".5"/>
          <v:textpath style="font-family:&quot;Georgia&quot;;font-size:1pt" string="Awaiting Your Comments"/>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D5A0" w14:textId="7F6994D3" w:rsidR="003646EB" w:rsidRDefault="00000000">
    <w:pPr>
      <w:pStyle w:val="Header"/>
    </w:pPr>
    <w:r>
      <w:rPr>
        <w:noProof/>
      </w:rPr>
      <w:pict w14:anchorId="2EC61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431834" o:spid="_x0000_s1031" type="#_x0000_t136" style="position:absolute;margin-left:0;margin-top:0;width:639pt;height:58.05pt;rotation:315;z-index:-251636736;mso-position-horizontal:center;mso-position-horizontal-relative:margin;mso-position-vertical:center;mso-position-vertical-relative:margin" o:allowincell="f" fillcolor="silver" stroked="f">
          <v:fill opacity=".5"/>
          <v:textpath style="font-family:&quot;Georgia&quot;;font-size:1pt" string="Awaiting Your Commen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60E13"/>
    <w:multiLevelType w:val="hybridMultilevel"/>
    <w:tmpl w:val="BB706682"/>
    <w:lvl w:ilvl="0" w:tplc="5D92FF6E">
      <w:start w:val="2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30F78"/>
    <w:multiLevelType w:val="hybridMultilevel"/>
    <w:tmpl w:val="3B3862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D522EC8"/>
    <w:multiLevelType w:val="hybridMultilevel"/>
    <w:tmpl w:val="DBA6FD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2185C2F"/>
    <w:multiLevelType w:val="hybridMultilevel"/>
    <w:tmpl w:val="818AF438"/>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D53BEC"/>
    <w:multiLevelType w:val="hybridMultilevel"/>
    <w:tmpl w:val="882C8AE8"/>
    <w:lvl w:ilvl="0" w:tplc="0C603F9A">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777AED"/>
    <w:multiLevelType w:val="hybridMultilevel"/>
    <w:tmpl w:val="16B8E672"/>
    <w:lvl w:ilvl="0" w:tplc="F7287A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DF2B24"/>
    <w:multiLevelType w:val="hybridMultilevel"/>
    <w:tmpl w:val="BA420DEE"/>
    <w:lvl w:ilvl="0" w:tplc="04103DF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E64B6"/>
    <w:multiLevelType w:val="hybridMultilevel"/>
    <w:tmpl w:val="D0CA5DCC"/>
    <w:lvl w:ilvl="0" w:tplc="82BE42A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D4126C"/>
    <w:multiLevelType w:val="hybridMultilevel"/>
    <w:tmpl w:val="820EB3BC"/>
    <w:lvl w:ilvl="0" w:tplc="E1006D0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883FA5"/>
    <w:multiLevelType w:val="hybridMultilevel"/>
    <w:tmpl w:val="B6988F0C"/>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DC559F"/>
    <w:multiLevelType w:val="hybridMultilevel"/>
    <w:tmpl w:val="10A4A2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15B5823"/>
    <w:multiLevelType w:val="multilevel"/>
    <w:tmpl w:val="9DD0D836"/>
    <w:lvl w:ilvl="0">
      <w:start w:val="1"/>
      <w:numFmt w:val="decimal"/>
      <w:lvlText w:val="%1."/>
      <w:lvlJc w:val="left"/>
      <w:pPr>
        <w:ind w:left="360" w:hanging="360"/>
      </w:pPr>
      <w:rPr>
        <w:rFonts w:hint="default"/>
        <w:b/>
        <w:color w:val="000000" w:themeColor="text1"/>
        <w:sz w:val="28"/>
        <w:szCs w:val="28"/>
      </w:rPr>
    </w:lvl>
    <w:lvl w:ilvl="1">
      <w:start w:val="2"/>
      <w:numFmt w:val="decima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6DC037F"/>
    <w:multiLevelType w:val="hybridMultilevel"/>
    <w:tmpl w:val="A9E06A68"/>
    <w:lvl w:ilvl="0" w:tplc="D6088F8E">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B395EA1"/>
    <w:multiLevelType w:val="hybridMultilevel"/>
    <w:tmpl w:val="19BA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416381"/>
    <w:multiLevelType w:val="hybridMultilevel"/>
    <w:tmpl w:val="977A8B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9F1B13"/>
    <w:multiLevelType w:val="hybridMultilevel"/>
    <w:tmpl w:val="B93CE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BB0A06"/>
    <w:multiLevelType w:val="hybridMultilevel"/>
    <w:tmpl w:val="615E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E4D02"/>
    <w:multiLevelType w:val="hybridMultilevel"/>
    <w:tmpl w:val="96804CF2"/>
    <w:lvl w:ilvl="0" w:tplc="61E612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246C2"/>
    <w:multiLevelType w:val="hybridMultilevel"/>
    <w:tmpl w:val="AEEE81CC"/>
    <w:lvl w:ilvl="0" w:tplc="EC1EEF6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CDC0728"/>
    <w:multiLevelType w:val="hybridMultilevel"/>
    <w:tmpl w:val="4E64A9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93573E"/>
    <w:multiLevelType w:val="hybridMultilevel"/>
    <w:tmpl w:val="483A3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B233D8"/>
    <w:multiLevelType w:val="hybridMultilevel"/>
    <w:tmpl w:val="4EFC8970"/>
    <w:lvl w:ilvl="0" w:tplc="ED2A0A54">
      <w:start w:val="1"/>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810C35"/>
    <w:multiLevelType w:val="multilevel"/>
    <w:tmpl w:val="93A0E5B2"/>
    <w:lvl w:ilvl="0">
      <w:start w:val="1"/>
      <w:numFmt w:val="decimal"/>
      <w:lvlText w:val="%1."/>
      <w:lvlJc w:val="left"/>
      <w:pPr>
        <w:ind w:left="360" w:hanging="360"/>
      </w:pPr>
      <w:rPr>
        <w:rFonts w:hint="default"/>
        <w:b/>
        <w:bCs/>
        <w:color w:val="auto"/>
      </w:rPr>
    </w:lvl>
    <w:lvl w:ilvl="1">
      <w:start w:val="1"/>
      <w:numFmt w:val="decimal"/>
      <w:lvlText w:val="%1.%2"/>
      <w:lvlJc w:val="left"/>
      <w:pPr>
        <w:ind w:left="4680" w:hanging="36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AA5595E"/>
    <w:multiLevelType w:val="hybridMultilevel"/>
    <w:tmpl w:val="E328F8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13A74E1"/>
    <w:multiLevelType w:val="hybridMultilevel"/>
    <w:tmpl w:val="4AB6837A"/>
    <w:lvl w:ilvl="0" w:tplc="4314C3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F7340B"/>
    <w:multiLevelType w:val="hybridMultilevel"/>
    <w:tmpl w:val="6922A08C"/>
    <w:lvl w:ilvl="0" w:tplc="9560013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AB67EA"/>
    <w:multiLevelType w:val="hybridMultilevel"/>
    <w:tmpl w:val="04EAD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0A1565"/>
    <w:multiLevelType w:val="hybridMultilevel"/>
    <w:tmpl w:val="877657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D652D74"/>
    <w:multiLevelType w:val="hybridMultilevel"/>
    <w:tmpl w:val="CDBA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968CE"/>
    <w:multiLevelType w:val="hybridMultilevel"/>
    <w:tmpl w:val="2E7E1FE6"/>
    <w:lvl w:ilvl="0" w:tplc="DDD84A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54D7D09"/>
    <w:multiLevelType w:val="hybridMultilevel"/>
    <w:tmpl w:val="371EC6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E02439"/>
    <w:multiLevelType w:val="hybridMultilevel"/>
    <w:tmpl w:val="AA421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AD96348"/>
    <w:multiLevelType w:val="multilevel"/>
    <w:tmpl w:val="5B22B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A55190"/>
    <w:multiLevelType w:val="hybridMultilevel"/>
    <w:tmpl w:val="3230BF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45F22B1"/>
    <w:multiLevelType w:val="hybridMultilevel"/>
    <w:tmpl w:val="0DD4E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75132D6"/>
    <w:multiLevelType w:val="hybridMultilevel"/>
    <w:tmpl w:val="019C31B6"/>
    <w:lvl w:ilvl="0" w:tplc="FD5071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D87667A"/>
    <w:multiLevelType w:val="hybridMultilevel"/>
    <w:tmpl w:val="86EA52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0610999">
    <w:abstractNumId w:val="22"/>
  </w:num>
  <w:num w:numId="2" w16cid:durableId="248197691">
    <w:abstractNumId w:val="21"/>
  </w:num>
  <w:num w:numId="3" w16cid:durableId="1842112757">
    <w:abstractNumId w:val="5"/>
  </w:num>
  <w:num w:numId="4" w16cid:durableId="1467965375">
    <w:abstractNumId w:val="29"/>
  </w:num>
  <w:num w:numId="5" w16cid:durableId="1783763321">
    <w:abstractNumId w:val="35"/>
  </w:num>
  <w:num w:numId="6" w16cid:durableId="982395920">
    <w:abstractNumId w:val="11"/>
  </w:num>
  <w:num w:numId="7" w16cid:durableId="470829276">
    <w:abstractNumId w:val="7"/>
  </w:num>
  <w:num w:numId="8" w16cid:durableId="1453402448">
    <w:abstractNumId w:val="32"/>
  </w:num>
  <w:num w:numId="9" w16cid:durableId="382214526">
    <w:abstractNumId w:val="8"/>
  </w:num>
  <w:num w:numId="10" w16cid:durableId="437602641">
    <w:abstractNumId w:val="3"/>
  </w:num>
  <w:num w:numId="11" w16cid:durableId="327490175">
    <w:abstractNumId w:val="4"/>
  </w:num>
  <w:num w:numId="12" w16cid:durableId="386102844">
    <w:abstractNumId w:val="33"/>
  </w:num>
  <w:num w:numId="13" w16cid:durableId="546601314">
    <w:abstractNumId w:val="9"/>
  </w:num>
  <w:num w:numId="14" w16cid:durableId="1385249571">
    <w:abstractNumId w:val="12"/>
  </w:num>
  <w:num w:numId="15" w16cid:durableId="518012501">
    <w:abstractNumId w:val="23"/>
  </w:num>
  <w:num w:numId="16" w16cid:durableId="48577541">
    <w:abstractNumId w:val="31"/>
  </w:num>
  <w:num w:numId="17" w16cid:durableId="1521044312">
    <w:abstractNumId w:val="27"/>
  </w:num>
  <w:num w:numId="18" w16cid:durableId="816998078">
    <w:abstractNumId w:val="2"/>
  </w:num>
  <w:num w:numId="19" w16cid:durableId="134303749">
    <w:abstractNumId w:val="10"/>
  </w:num>
  <w:num w:numId="20" w16cid:durableId="1036084590">
    <w:abstractNumId w:val="1"/>
  </w:num>
  <w:num w:numId="21" w16cid:durableId="1656758793">
    <w:abstractNumId w:val="34"/>
  </w:num>
  <w:num w:numId="22" w16cid:durableId="1011446016">
    <w:abstractNumId w:val="15"/>
  </w:num>
  <w:num w:numId="23" w16cid:durableId="858276874">
    <w:abstractNumId w:val="30"/>
  </w:num>
  <w:num w:numId="24" w16cid:durableId="619145103">
    <w:abstractNumId w:val="36"/>
  </w:num>
  <w:num w:numId="25" w16cid:durableId="2011760642">
    <w:abstractNumId w:val="18"/>
  </w:num>
  <w:num w:numId="26" w16cid:durableId="89088267">
    <w:abstractNumId w:val="0"/>
  </w:num>
  <w:num w:numId="27" w16cid:durableId="599030668">
    <w:abstractNumId w:val="17"/>
  </w:num>
  <w:num w:numId="28" w16cid:durableId="2022122983">
    <w:abstractNumId w:val="25"/>
  </w:num>
  <w:num w:numId="29" w16cid:durableId="48767816">
    <w:abstractNumId w:val="6"/>
  </w:num>
  <w:num w:numId="30" w16cid:durableId="869294501">
    <w:abstractNumId w:val="16"/>
  </w:num>
  <w:num w:numId="31" w16cid:durableId="1876775665">
    <w:abstractNumId w:val="28"/>
  </w:num>
  <w:num w:numId="32" w16cid:durableId="1444836281">
    <w:abstractNumId w:val="14"/>
  </w:num>
  <w:num w:numId="33" w16cid:durableId="1961112283">
    <w:abstractNumId w:val="19"/>
  </w:num>
  <w:num w:numId="34" w16cid:durableId="1231161022">
    <w:abstractNumId w:val="24"/>
  </w:num>
  <w:num w:numId="35" w16cid:durableId="929922957">
    <w:abstractNumId w:val="13"/>
  </w:num>
  <w:num w:numId="36" w16cid:durableId="1217010609">
    <w:abstractNumId w:val="20"/>
  </w:num>
  <w:num w:numId="37" w16cid:durableId="874276389">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NLc0sbS0MDE1MzJU0lEKTi0uzszPAykwrAUAe+Z/jywAAAA="/>
  </w:docVars>
  <w:rsids>
    <w:rsidRoot w:val="00EF2B26"/>
    <w:rsid w:val="00000315"/>
    <w:rsid w:val="0000071B"/>
    <w:rsid w:val="000010D8"/>
    <w:rsid w:val="00001144"/>
    <w:rsid w:val="000012F0"/>
    <w:rsid w:val="00001665"/>
    <w:rsid w:val="000019AF"/>
    <w:rsid w:val="00001A5E"/>
    <w:rsid w:val="00001C43"/>
    <w:rsid w:val="00002034"/>
    <w:rsid w:val="00002854"/>
    <w:rsid w:val="00002D12"/>
    <w:rsid w:val="000032D1"/>
    <w:rsid w:val="00003463"/>
    <w:rsid w:val="000036EB"/>
    <w:rsid w:val="0000373A"/>
    <w:rsid w:val="0000393A"/>
    <w:rsid w:val="00003DF9"/>
    <w:rsid w:val="00004035"/>
    <w:rsid w:val="0000412A"/>
    <w:rsid w:val="00004FC8"/>
    <w:rsid w:val="0000516F"/>
    <w:rsid w:val="00005238"/>
    <w:rsid w:val="000054E2"/>
    <w:rsid w:val="000066D2"/>
    <w:rsid w:val="00006DDA"/>
    <w:rsid w:val="00006E75"/>
    <w:rsid w:val="00006ED8"/>
    <w:rsid w:val="0000715B"/>
    <w:rsid w:val="000072BD"/>
    <w:rsid w:val="0000744E"/>
    <w:rsid w:val="00007608"/>
    <w:rsid w:val="0000772B"/>
    <w:rsid w:val="0000788A"/>
    <w:rsid w:val="00007C3E"/>
    <w:rsid w:val="000102D8"/>
    <w:rsid w:val="00010AF6"/>
    <w:rsid w:val="00011478"/>
    <w:rsid w:val="000119C8"/>
    <w:rsid w:val="00011E1B"/>
    <w:rsid w:val="000122C1"/>
    <w:rsid w:val="0001258E"/>
    <w:rsid w:val="0001272F"/>
    <w:rsid w:val="00013283"/>
    <w:rsid w:val="00013326"/>
    <w:rsid w:val="00013738"/>
    <w:rsid w:val="00013C65"/>
    <w:rsid w:val="00013E41"/>
    <w:rsid w:val="0001420C"/>
    <w:rsid w:val="00014559"/>
    <w:rsid w:val="00014A31"/>
    <w:rsid w:val="00014EE0"/>
    <w:rsid w:val="000152C0"/>
    <w:rsid w:val="00015D03"/>
    <w:rsid w:val="00016629"/>
    <w:rsid w:val="00016AAC"/>
    <w:rsid w:val="00016B81"/>
    <w:rsid w:val="000171F3"/>
    <w:rsid w:val="00017202"/>
    <w:rsid w:val="000174C0"/>
    <w:rsid w:val="00017A30"/>
    <w:rsid w:val="00020B7B"/>
    <w:rsid w:val="00020E78"/>
    <w:rsid w:val="00021693"/>
    <w:rsid w:val="0002198F"/>
    <w:rsid w:val="00022020"/>
    <w:rsid w:val="000229A7"/>
    <w:rsid w:val="00022C1F"/>
    <w:rsid w:val="00022DA3"/>
    <w:rsid w:val="000231B3"/>
    <w:rsid w:val="000237B7"/>
    <w:rsid w:val="00023805"/>
    <w:rsid w:val="00023A45"/>
    <w:rsid w:val="00023D8B"/>
    <w:rsid w:val="00024C03"/>
    <w:rsid w:val="00024FAC"/>
    <w:rsid w:val="00025441"/>
    <w:rsid w:val="00025B2D"/>
    <w:rsid w:val="0002605C"/>
    <w:rsid w:val="000263EF"/>
    <w:rsid w:val="0002653E"/>
    <w:rsid w:val="0002674D"/>
    <w:rsid w:val="00026852"/>
    <w:rsid w:val="00026A55"/>
    <w:rsid w:val="00026AD1"/>
    <w:rsid w:val="00027C41"/>
    <w:rsid w:val="000306D2"/>
    <w:rsid w:val="00030713"/>
    <w:rsid w:val="000307C4"/>
    <w:rsid w:val="00030BC2"/>
    <w:rsid w:val="00030E58"/>
    <w:rsid w:val="00030E85"/>
    <w:rsid w:val="00030F00"/>
    <w:rsid w:val="0003165A"/>
    <w:rsid w:val="00031B66"/>
    <w:rsid w:val="00031C17"/>
    <w:rsid w:val="000325F7"/>
    <w:rsid w:val="0003298C"/>
    <w:rsid w:val="00032DD9"/>
    <w:rsid w:val="00033035"/>
    <w:rsid w:val="0003356B"/>
    <w:rsid w:val="00033819"/>
    <w:rsid w:val="00033B15"/>
    <w:rsid w:val="00033B40"/>
    <w:rsid w:val="000341B8"/>
    <w:rsid w:val="00034488"/>
    <w:rsid w:val="000350CD"/>
    <w:rsid w:val="00035211"/>
    <w:rsid w:val="0003562F"/>
    <w:rsid w:val="000358AE"/>
    <w:rsid w:val="00035F8F"/>
    <w:rsid w:val="00036141"/>
    <w:rsid w:val="0003641D"/>
    <w:rsid w:val="00036641"/>
    <w:rsid w:val="000371B5"/>
    <w:rsid w:val="000373D2"/>
    <w:rsid w:val="00040902"/>
    <w:rsid w:val="00040BE6"/>
    <w:rsid w:val="00040C74"/>
    <w:rsid w:val="00040D90"/>
    <w:rsid w:val="00041058"/>
    <w:rsid w:val="000417F9"/>
    <w:rsid w:val="00041894"/>
    <w:rsid w:val="0004254A"/>
    <w:rsid w:val="00042619"/>
    <w:rsid w:val="000426FE"/>
    <w:rsid w:val="00042729"/>
    <w:rsid w:val="00042A7A"/>
    <w:rsid w:val="00043AA4"/>
    <w:rsid w:val="00043CB2"/>
    <w:rsid w:val="00044AC7"/>
    <w:rsid w:val="00044DBD"/>
    <w:rsid w:val="00045167"/>
    <w:rsid w:val="000451A5"/>
    <w:rsid w:val="000455C3"/>
    <w:rsid w:val="0004591D"/>
    <w:rsid w:val="00045DD3"/>
    <w:rsid w:val="0004603E"/>
    <w:rsid w:val="00046452"/>
    <w:rsid w:val="000464E3"/>
    <w:rsid w:val="00046702"/>
    <w:rsid w:val="00046BF0"/>
    <w:rsid w:val="00046C3A"/>
    <w:rsid w:val="00046F14"/>
    <w:rsid w:val="00047033"/>
    <w:rsid w:val="000471C4"/>
    <w:rsid w:val="0004750E"/>
    <w:rsid w:val="00047699"/>
    <w:rsid w:val="00047884"/>
    <w:rsid w:val="00050769"/>
    <w:rsid w:val="000507CA"/>
    <w:rsid w:val="00050C15"/>
    <w:rsid w:val="00050DD3"/>
    <w:rsid w:val="00050EA0"/>
    <w:rsid w:val="000511F1"/>
    <w:rsid w:val="00051F2B"/>
    <w:rsid w:val="00052940"/>
    <w:rsid w:val="00052CF2"/>
    <w:rsid w:val="0005376D"/>
    <w:rsid w:val="000537F0"/>
    <w:rsid w:val="000541AD"/>
    <w:rsid w:val="0005490C"/>
    <w:rsid w:val="00054953"/>
    <w:rsid w:val="000550BA"/>
    <w:rsid w:val="00055820"/>
    <w:rsid w:val="00055986"/>
    <w:rsid w:val="00055A59"/>
    <w:rsid w:val="00055A7F"/>
    <w:rsid w:val="00055E21"/>
    <w:rsid w:val="00056665"/>
    <w:rsid w:val="00056A76"/>
    <w:rsid w:val="00056D4C"/>
    <w:rsid w:val="00056EE7"/>
    <w:rsid w:val="00056F4C"/>
    <w:rsid w:val="0005710E"/>
    <w:rsid w:val="00057BD8"/>
    <w:rsid w:val="00057C25"/>
    <w:rsid w:val="00057DF2"/>
    <w:rsid w:val="00057FD6"/>
    <w:rsid w:val="000604E4"/>
    <w:rsid w:val="00060DEA"/>
    <w:rsid w:val="000617E0"/>
    <w:rsid w:val="000618B8"/>
    <w:rsid w:val="00061CB0"/>
    <w:rsid w:val="00061DD0"/>
    <w:rsid w:val="000620BE"/>
    <w:rsid w:val="00062156"/>
    <w:rsid w:val="000625D2"/>
    <w:rsid w:val="00062D12"/>
    <w:rsid w:val="00062F08"/>
    <w:rsid w:val="0006309C"/>
    <w:rsid w:val="000635DC"/>
    <w:rsid w:val="00063629"/>
    <w:rsid w:val="00063DCA"/>
    <w:rsid w:val="00064204"/>
    <w:rsid w:val="000642A6"/>
    <w:rsid w:val="00064A3B"/>
    <w:rsid w:val="00064BC9"/>
    <w:rsid w:val="00064C3A"/>
    <w:rsid w:val="000655E5"/>
    <w:rsid w:val="000656F0"/>
    <w:rsid w:val="000656FA"/>
    <w:rsid w:val="0006573F"/>
    <w:rsid w:val="000659BF"/>
    <w:rsid w:val="00065C86"/>
    <w:rsid w:val="00066167"/>
    <w:rsid w:val="000668BC"/>
    <w:rsid w:val="00066C2A"/>
    <w:rsid w:val="00066E9C"/>
    <w:rsid w:val="00066EE7"/>
    <w:rsid w:val="00066F98"/>
    <w:rsid w:val="000677F0"/>
    <w:rsid w:val="00067A27"/>
    <w:rsid w:val="00070179"/>
    <w:rsid w:val="000703D2"/>
    <w:rsid w:val="00070F33"/>
    <w:rsid w:val="00071CC5"/>
    <w:rsid w:val="000725A8"/>
    <w:rsid w:val="000725BB"/>
    <w:rsid w:val="00072B6F"/>
    <w:rsid w:val="00072BAF"/>
    <w:rsid w:val="00072EAB"/>
    <w:rsid w:val="00072F97"/>
    <w:rsid w:val="00073853"/>
    <w:rsid w:val="00073B1A"/>
    <w:rsid w:val="00073E95"/>
    <w:rsid w:val="000740E9"/>
    <w:rsid w:val="00074731"/>
    <w:rsid w:val="00074928"/>
    <w:rsid w:val="00074AE1"/>
    <w:rsid w:val="00074CAF"/>
    <w:rsid w:val="00075103"/>
    <w:rsid w:val="0007531C"/>
    <w:rsid w:val="00075D85"/>
    <w:rsid w:val="00076505"/>
    <w:rsid w:val="00077D20"/>
    <w:rsid w:val="000801D4"/>
    <w:rsid w:val="0008022A"/>
    <w:rsid w:val="000810AE"/>
    <w:rsid w:val="00081574"/>
    <w:rsid w:val="0008184D"/>
    <w:rsid w:val="00081896"/>
    <w:rsid w:val="00081CA4"/>
    <w:rsid w:val="00081E81"/>
    <w:rsid w:val="00081F49"/>
    <w:rsid w:val="00082A0D"/>
    <w:rsid w:val="00082B0A"/>
    <w:rsid w:val="0008337F"/>
    <w:rsid w:val="00083749"/>
    <w:rsid w:val="00083B19"/>
    <w:rsid w:val="00084098"/>
    <w:rsid w:val="00084507"/>
    <w:rsid w:val="000858AC"/>
    <w:rsid w:val="00085FE3"/>
    <w:rsid w:val="0008632E"/>
    <w:rsid w:val="00086426"/>
    <w:rsid w:val="00086630"/>
    <w:rsid w:val="0008677E"/>
    <w:rsid w:val="000869CE"/>
    <w:rsid w:val="00086DB6"/>
    <w:rsid w:val="00086E38"/>
    <w:rsid w:val="00086E9E"/>
    <w:rsid w:val="00086FBD"/>
    <w:rsid w:val="0008726A"/>
    <w:rsid w:val="000874D4"/>
    <w:rsid w:val="00087BB8"/>
    <w:rsid w:val="0009006C"/>
    <w:rsid w:val="000904AF"/>
    <w:rsid w:val="000905C3"/>
    <w:rsid w:val="000905CD"/>
    <w:rsid w:val="00090A90"/>
    <w:rsid w:val="00090DF7"/>
    <w:rsid w:val="00091204"/>
    <w:rsid w:val="00091509"/>
    <w:rsid w:val="00091B86"/>
    <w:rsid w:val="00091BD0"/>
    <w:rsid w:val="00091F17"/>
    <w:rsid w:val="00091FFE"/>
    <w:rsid w:val="0009201E"/>
    <w:rsid w:val="0009214C"/>
    <w:rsid w:val="000926C4"/>
    <w:rsid w:val="00092714"/>
    <w:rsid w:val="00092927"/>
    <w:rsid w:val="00094052"/>
    <w:rsid w:val="00094819"/>
    <w:rsid w:val="00094A61"/>
    <w:rsid w:val="00094C5A"/>
    <w:rsid w:val="00094CC4"/>
    <w:rsid w:val="00094D27"/>
    <w:rsid w:val="00095327"/>
    <w:rsid w:val="0009546D"/>
    <w:rsid w:val="00095878"/>
    <w:rsid w:val="00095A63"/>
    <w:rsid w:val="00095B8E"/>
    <w:rsid w:val="000960CE"/>
    <w:rsid w:val="00096257"/>
    <w:rsid w:val="000966E9"/>
    <w:rsid w:val="000969C0"/>
    <w:rsid w:val="00096BE5"/>
    <w:rsid w:val="00096C5E"/>
    <w:rsid w:val="00097448"/>
    <w:rsid w:val="0009754E"/>
    <w:rsid w:val="000978BB"/>
    <w:rsid w:val="000A018B"/>
    <w:rsid w:val="000A0647"/>
    <w:rsid w:val="000A0AD8"/>
    <w:rsid w:val="000A0D45"/>
    <w:rsid w:val="000A11B8"/>
    <w:rsid w:val="000A124A"/>
    <w:rsid w:val="000A2511"/>
    <w:rsid w:val="000A2ABB"/>
    <w:rsid w:val="000A2CCF"/>
    <w:rsid w:val="000A3C6A"/>
    <w:rsid w:val="000A408F"/>
    <w:rsid w:val="000A487B"/>
    <w:rsid w:val="000A4B29"/>
    <w:rsid w:val="000A4B49"/>
    <w:rsid w:val="000A4CAC"/>
    <w:rsid w:val="000A50EA"/>
    <w:rsid w:val="000A5444"/>
    <w:rsid w:val="000A5575"/>
    <w:rsid w:val="000A5CE4"/>
    <w:rsid w:val="000A5CE8"/>
    <w:rsid w:val="000A5F1C"/>
    <w:rsid w:val="000A60D2"/>
    <w:rsid w:val="000A65F0"/>
    <w:rsid w:val="000A796D"/>
    <w:rsid w:val="000A79D1"/>
    <w:rsid w:val="000B058F"/>
    <w:rsid w:val="000B0971"/>
    <w:rsid w:val="000B0B49"/>
    <w:rsid w:val="000B0BC2"/>
    <w:rsid w:val="000B0F28"/>
    <w:rsid w:val="000B178B"/>
    <w:rsid w:val="000B1DC3"/>
    <w:rsid w:val="000B274B"/>
    <w:rsid w:val="000B2915"/>
    <w:rsid w:val="000B3045"/>
    <w:rsid w:val="000B342E"/>
    <w:rsid w:val="000B3522"/>
    <w:rsid w:val="000B36BE"/>
    <w:rsid w:val="000B3A4B"/>
    <w:rsid w:val="000B42EE"/>
    <w:rsid w:val="000B44D0"/>
    <w:rsid w:val="000B4555"/>
    <w:rsid w:val="000B4915"/>
    <w:rsid w:val="000B4AEF"/>
    <w:rsid w:val="000B4F17"/>
    <w:rsid w:val="000B5548"/>
    <w:rsid w:val="000B5756"/>
    <w:rsid w:val="000B59B0"/>
    <w:rsid w:val="000B60DB"/>
    <w:rsid w:val="000B61FD"/>
    <w:rsid w:val="000B6E7E"/>
    <w:rsid w:val="000B7074"/>
    <w:rsid w:val="000B70B2"/>
    <w:rsid w:val="000B71EF"/>
    <w:rsid w:val="000B71F9"/>
    <w:rsid w:val="000B75CB"/>
    <w:rsid w:val="000B7D4B"/>
    <w:rsid w:val="000C08BC"/>
    <w:rsid w:val="000C09ED"/>
    <w:rsid w:val="000C0A13"/>
    <w:rsid w:val="000C0B18"/>
    <w:rsid w:val="000C0C42"/>
    <w:rsid w:val="000C1541"/>
    <w:rsid w:val="000C1976"/>
    <w:rsid w:val="000C1ADB"/>
    <w:rsid w:val="000C1B11"/>
    <w:rsid w:val="000C285D"/>
    <w:rsid w:val="000C28C6"/>
    <w:rsid w:val="000C2A31"/>
    <w:rsid w:val="000C2A55"/>
    <w:rsid w:val="000C3AA2"/>
    <w:rsid w:val="000C3B12"/>
    <w:rsid w:val="000C3C4B"/>
    <w:rsid w:val="000C4465"/>
    <w:rsid w:val="000C4761"/>
    <w:rsid w:val="000C4783"/>
    <w:rsid w:val="000C4926"/>
    <w:rsid w:val="000C4A62"/>
    <w:rsid w:val="000C4B6E"/>
    <w:rsid w:val="000C4BC3"/>
    <w:rsid w:val="000C4F7F"/>
    <w:rsid w:val="000C5789"/>
    <w:rsid w:val="000C57B0"/>
    <w:rsid w:val="000C5959"/>
    <w:rsid w:val="000C5CA0"/>
    <w:rsid w:val="000C5CFE"/>
    <w:rsid w:val="000C5E7A"/>
    <w:rsid w:val="000C61AF"/>
    <w:rsid w:val="000C633C"/>
    <w:rsid w:val="000C635C"/>
    <w:rsid w:val="000C65BF"/>
    <w:rsid w:val="000C67AD"/>
    <w:rsid w:val="000C6A03"/>
    <w:rsid w:val="000C6A2E"/>
    <w:rsid w:val="000C6DD4"/>
    <w:rsid w:val="000C6EC5"/>
    <w:rsid w:val="000C7DDF"/>
    <w:rsid w:val="000D047D"/>
    <w:rsid w:val="000D0DCA"/>
    <w:rsid w:val="000D1015"/>
    <w:rsid w:val="000D1643"/>
    <w:rsid w:val="000D1854"/>
    <w:rsid w:val="000D1B94"/>
    <w:rsid w:val="000D2049"/>
    <w:rsid w:val="000D227F"/>
    <w:rsid w:val="000D22BD"/>
    <w:rsid w:val="000D2901"/>
    <w:rsid w:val="000D2914"/>
    <w:rsid w:val="000D2A7E"/>
    <w:rsid w:val="000D316B"/>
    <w:rsid w:val="000D41DF"/>
    <w:rsid w:val="000D4540"/>
    <w:rsid w:val="000D4A6C"/>
    <w:rsid w:val="000D4CFB"/>
    <w:rsid w:val="000D52B4"/>
    <w:rsid w:val="000D57A8"/>
    <w:rsid w:val="000D6350"/>
    <w:rsid w:val="000D63C1"/>
    <w:rsid w:val="000D6F9F"/>
    <w:rsid w:val="000D70B6"/>
    <w:rsid w:val="000D7263"/>
    <w:rsid w:val="000D78CC"/>
    <w:rsid w:val="000D79A7"/>
    <w:rsid w:val="000E0018"/>
    <w:rsid w:val="000E050B"/>
    <w:rsid w:val="000E05F0"/>
    <w:rsid w:val="000E0840"/>
    <w:rsid w:val="000E0D83"/>
    <w:rsid w:val="000E1502"/>
    <w:rsid w:val="000E169B"/>
    <w:rsid w:val="000E1E23"/>
    <w:rsid w:val="000E1E61"/>
    <w:rsid w:val="000E208E"/>
    <w:rsid w:val="000E23C0"/>
    <w:rsid w:val="000E2B99"/>
    <w:rsid w:val="000E2B9B"/>
    <w:rsid w:val="000E3674"/>
    <w:rsid w:val="000E3ABA"/>
    <w:rsid w:val="000E3C44"/>
    <w:rsid w:val="000E3D6A"/>
    <w:rsid w:val="000E408F"/>
    <w:rsid w:val="000E5C95"/>
    <w:rsid w:val="000E651F"/>
    <w:rsid w:val="000E6727"/>
    <w:rsid w:val="000E6C23"/>
    <w:rsid w:val="000E6CB5"/>
    <w:rsid w:val="000E7099"/>
    <w:rsid w:val="000E70F7"/>
    <w:rsid w:val="000E7233"/>
    <w:rsid w:val="000E73C4"/>
    <w:rsid w:val="000E7C0F"/>
    <w:rsid w:val="000E7EA0"/>
    <w:rsid w:val="000E7F3A"/>
    <w:rsid w:val="000E7FED"/>
    <w:rsid w:val="000F0022"/>
    <w:rsid w:val="000F0112"/>
    <w:rsid w:val="000F0498"/>
    <w:rsid w:val="000F08A5"/>
    <w:rsid w:val="000F0CF8"/>
    <w:rsid w:val="000F12D8"/>
    <w:rsid w:val="000F14D1"/>
    <w:rsid w:val="000F1692"/>
    <w:rsid w:val="000F253B"/>
    <w:rsid w:val="000F2A7A"/>
    <w:rsid w:val="000F2CCA"/>
    <w:rsid w:val="000F2D3F"/>
    <w:rsid w:val="000F2D8D"/>
    <w:rsid w:val="000F36D5"/>
    <w:rsid w:val="000F405A"/>
    <w:rsid w:val="000F4386"/>
    <w:rsid w:val="000F476A"/>
    <w:rsid w:val="000F4C08"/>
    <w:rsid w:val="000F52AB"/>
    <w:rsid w:val="000F593F"/>
    <w:rsid w:val="000F67C6"/>
    <w:rsid w:val="000F68B1"/>
    <w:rsid w:val="000F6B1B"/>
    <w:rsid w:val="000F6B8E"/>
    <w:rsid w:val="000F6DD7"/>
    <w:rsid w:val="000F7494"/>
    <w:rsid w:val="000F74A8"/>
    <w:rsid w:val="000F7526"/>
    <w:rsid w:val="000F752F"/>
    <w:rsid w:val="000F783D"/>
    <w:rsid w:val="000F7C7F"/>
    <w:rsid w:val="0010087E"/>
    <w:rsid w:val="00100986"/>
    <w:rsid w:val="00101803"/>
    <w:rsid w:val="001022FF"/>
    <w:rsid w:val="00102831"/>
    <w:rsid w:val="00102AFD"/>
    <w:rsid w:val="00102C0D"/>
    <w:rsid w:val="00102D5F"/>
    <w:rsid w:val="00102F69"/>
    <w:rsid w:val="00103CDF"/>
    <w:rsid w:val="0010433F"/>
    <w:rsid w:val="001048B5"/>
    <w:rsid w:val="001057C6"/>
    <w:rsid w:val="00105A6D"/>
    <w:rsid w:val="00105BB6"/>
    <w:rsid w:val="00105F1F"/>
    <w:rsid w:val="0010606C"/>
    <w:rsid w:val="0010612F"/>
    <w:rsid w:val="00106138"/>
    <w:rsid w:val="001061D4"/>
    <w:rsid w:val="001064E6"/>
    <w:rsid w:val="00106973"/>
    <w:rsid w:val="00106B38"/>
    <w:rsid w:val="00106F87"/>
    <w:rsid w:val="00107251"/>
    <w:rsid w:val="001072A9"/>
    <w:rsid w:val="00107B6D"/>
    <w:rsid w:val="00107FC3"/>
    <w:rsid w:val="00110C4A"/>
    <w:rsid w:val="00110D65"/>
    <w:rsid w:val="00111464"/>
    <w:rsid w:val="0011147C"/>
    <w:rsid w:val="0011171C"/>
    <w:rsid w:val="0011199F"/>
    <w:rsid w:val="001121A2"/>
    <w:rsid w:val="00112484"/>
    <w:rsid w:val="001125B6"/>
    <w:rsid w:val="00112670"/>
    <w:rsid w:val="0011279C"/>
    <w:rsid w:val="00112A81"/>
    <w:rsid w:val="00112F5F"/>
    <w:rsid w:val="00114256"/>
    <w:rsid w:val="00114EBE"/>
    <w:rsid w:val="0011529D"/>
    <w:rsid w:val="001155BF"/>
    <w:rsid w:val="00115C06"/>
    <w:rsid w:val="00115CEB"/>
    <w:rsid w:val="00115E83"/>
    <w:rsid w:val="00115F1A"/>
    <w:rsid w:val="00116C40"/>
    <w:rsid w:val="00116D60"/>
    <w:rsid w:val="00116FAF"/>
    <w:rsid w:val="00117DB0"/>
    <w:rsid w:val="001204D8"/>
    <w:rsid w:val="0012055F"/>
    <w:rsid w:val="0012059D"/>
    <w:rsid w:val="00120C92"/>
    <w:rsid w:val="00120D0E"/>
    <w:rsid w:val="00121E5D"/>
    <w:rsid w:val="001220C2"/>
    <w:rsid w:val="00122356"/>
    <w:rsid w:val="001224FE"/>
    <w:rsid w:val="00122654"/>
    <w:rsid w:val="00122A3F"/>
    <w:rsid w:val="00122F40"/>
    <w:rsid w:val="001233F3"/>
    <w:rsid w:val="00123543"/>
    <w:rsid w:val="0012370F"/>
    <w:rsid w:val="00123760"/>
    <w:rsid w:val="00123C8D"/>
    <w:rsid w:val="00123E33"/>
    <w:rsid w:val="001243DC"/>
    <w:rsid w:val="001243E2"/>
    <w:rsid w:val="001244D4"/>
    <w:rsid w:val="0012474F"/>
    <w:rsid w:val="00124CF5"/>
    <w:rsid w:val="001255D9"/>
    <w:rsid w:val="001264A1"/>
    <w:rsid w:val="001265FC"/>
    <w:rsid w:val="00126F34"/>
    <w:rsid w:val="001270B5"/>
    <w:rsid w:val="00127674"/>
    <w:rsid w:val="00127822"/>
    <w:rsid w:val="00127912"/>
    <w:rsid w:val="0013047A"/>
    <w:rsid w:val="001309FE"/>
    <w:rsid w:val="00131196"/>
    <w:rsid w:val="0013124D"/>
    <w:rsid w:val="0013141B"/>
    <w:rsid w:val="001315A3"/>
    <w:rsid w:val="00131BBD"/>
    <w:rsid w:val="0013261B"/>
    <w:rsid w:val="00132AAE"/>
    <w:rsid w:val="0013358B"/>
    <w:rsid w:val="00133A5A"/>
    <w:rsid w:val="00133D17"/>
    <w:rsid w:val="00133FF1"/>
    <w:rsid w:val="00134588"/>
    <w:rsid w:val="0013461A"/>
    <w:rsid w:val="00135520"/>
    <w:rsid w:val="0013560E"/>
    <w:rsid w:val="00135DF2"/>
    <w:rsid w:val="00135EF6"/>
    <w:rsid w:val="0013648A"/>
    <w:rsid w:val="001370EE"/>
    <w:rsid w:val="001373A3"/>
    <w:rsid w:val="00137677"/>
    <w:rsid w:val="001377AE"/>
    <w:rsid w:val="0014001E"/>
    <w:rsid w:val="0014006D"/>
    <w:rsid w:val="00140292"/>
    <w:rsid w:val="00140462"/>
    <w:rsid w:val="00140630"/>
    <w:rsid w:val="001412D4"/>
    <w:rsid w:val="00141448"/>
    <w:rsid w:val="00141831"/>
    <w:rsid w:val="00141D08"/>
    <w:rsid w:val="001421F5"/>
    <w:rsid w:val="001422BF"/>
    <w:rsid w:val="00142A36"/>
    <w:rsid w:val="00142B40"/>
    <w:rsid w:val="00142B67"/>
    <w:rsid w:val="001430CF"/>
    <w:rsid w:val="00143198"/>
    <w:rsid w:val="0014320F"/>
    <w:rsid w:val="0014362C"/>
    <w:rsid w:val="00143931"/>
    <w:rsid w:val="00143E5F"/>
    <w:rsid w:val="001440CD"/>
    <w:rsid w:val="0014442F"/>
    <w:rsid w:val="00144637"/>
    <w:rsid w:val="001458BB"/>
    <w:rsid w:val="0014593B"/>
    <w:rsid w:val="001459E6"/>
    <w:rsid w:val="00146EE6"/>
    <w:rsid w:val="00147626"/>
    <w:rsid w:val="001501C5"/>
    <w:rsid w:val="00150ABE"/>
    <w:rsid w:val="00150C21"/>
    <w:rsid w:val="00151466"/>
    <w:rsid w:val="001515C4"/>
    <w:rsid w:val="00151A7B"/>
    <w:rsid w:val="0015231A"/>
    <w:rsid w:val="00152575"/>
    <w:rsid w:val="0015259A"/>
    <w:rsid w:val="00152879"/>
    <w:rsid w:val="00152ADC"/>
    <w:rsid w:val="00152ED9"/>
    <w:rsid w:val="00153092"/>
    <w:rsid w:val="0015311A"/>
    <w:rsid w:val="0015330B"/>
    <w:rsid w:val="0015352F"/>
    <w:rsid w:val="001536D9"/>
    <w:rsid w:val="001539FA"/>
    <w:rsid w:val="00153BA5"/>
    <w:rsid w:val="001540A4"/>
    <w:rsid w:val="001542CF"/>
    <w:rsid w:val="001545C9"/>
    <w:rsid w:val="00155BFF"/>
    <w:rsid w:val="00155DAB"/>
    <w:rsid w:val="0015619F"/>
    <w:rsid w:val="00156344"/>
    <w:rsid w:val="00156350"/>
    <w:rsid w:val="001565C6"/>
    <w:rsid w:val="001576D7"/>
    <w:rsid w:val="00157C60"/>
    <w:rsid w:val="00157CB4"/>
    <w:rsid w:val="00157D0E"/>
    <w:rsid w:val="00157FE9"/>
    <w:rsid w:val="001602C1"/>
    <w:rsid w:val="00160338"/>
    <w:rsid w:val="001604FC"/>
    <w:rsid w:val="00160C8E"/>
    <w:rsid w:val="001616A6"/>
    <w:rsid w:val="00161972"/>
    <w:rsid w:val="00161DA8"/>
    <w:rsid w:val="0016211A"/>
    <w:rsid w:val="001623C4"/>
    <w:rsid w:val="001625B5"/>
    <w:rsid w:val="001631EA"/>
    <w:rsid w:val="001635C8"/>
    <w:rsid w:val="00163951"/>
    <w:rsid w:val="00163A52"/>
    <w:rsid w:val="0016402D"/>
    <w:rsid w:val="00164250"/>
    <w:rsid w:val="00164A27"/>
    <w:rsid w:val="00164C65"/>
    <w:rsid w:val="00164CA6"/>
    <w:rsid w:val="0016506A"/>
    <w:rsid w:val="0016557F"/>
    <w:rsid w:val="001658EA"/>
    <w:rsid w:val="00166F68"/>
    <w:rsid w:val="0016700A"/>
    <w:rsid w:val="00167223"/>
    <w:rsid w:val="001672E0"/>
    <w:rsid w:val="001705FC"/>
    <w:rsid w:val="00170B7D"/>
    <w:rsid w:val="00170FEF"/>
    <w:rsid w:val="00171651"/>
    <w:rsid w:val="00172515"/>
    <w:rsid w:val="001728E6"/>
    <w:rsid w:val="001728EA"/>
    <w:rsid w:val="00172C49"/>
    <w:rsid w:val="00172C7E"/>
    <w:rsid w:val="00172FC0"/>
    <w:rsid w:val="00173001"/>
    <w:rsid w:val="0017356A"/>
    <w:rsid w:val="0017394D"/>
    <w:rsid w:val="00173A8B"/>
    <w:rsid w:val="00173D48"/>
    <w:rsid w:val="00173EBF"/>
    <w:rsid w:val="00173F23"/>
    <w:rsid w:val="00173F61"/>
    <w:rsid w:val="00174E66"/>
    <w:rsid w:val="001751A4"/>
    <w:rsid w:val="001751EA"/>
    <w:rsid w:val="00175F45"/>
    <w:rsid w:val="00175FC0"/>
    <w:rsid w:val="00176378"/>
    <w:rsid w:val="001763C7"/>
    <w:rsid w:val="00176508"/>
    <w:rsid w:val="001765AE"/>
    <w:rsid w:val="00176DA9"/>
    <w:rsid w:val="00176EFD"/>
    <w:rsid w:val="00176F3F"/>
    <w:rsid w:val="00176F6E"/>
    <w:rsid w:val="00177189"/>
    <w:rsid w:val="0017719D"/>
    <w:rsid w:val="00177FA3"/>
    <w:rsid w:val="001800E8"/>
    <w:rsid w:val="001802FA"/>
    <w:rsid w:val="0018033A"/>
    <w:rsid w:val="00180347"/>
    <w:rsid w:val="001804F5"/>
    <w:rsid w:val="00180A93"/>
    <w:rsid w:val="00180EBC"/>
    <w:rsid w:val="00181409"/>
    <w:rsid w:val="001815D5"/>
    <w:rsid w:val="00181F60"/>
    <w:rsid w:val="00182A9C"/>
    <w:rsid w:val="00182B99"/>
    <w:rsid w:val="00182E3E"/>
    <w:rsid w:val="001831E2"/>
    <w:rsid w:val="00183400"/>
    <w:rsid w:val="0018430C"/>
    <w:rsid w:val="00184386"/>
    <w:rsid w:val="00184E4B"/>
    <w:rsid w:val="0018654B"/>
    <w:rsid w:val="00186A13"/>
    <w:rsid w:val="00186DC1"/>
    <w:rsid w:val="0018738D"/>
    <w:rsid w:val="00190C26"/>
    <w:rsid w:val="00190EDC"/>
    <w:rsid w:val="00191075"/>
    <w:rsid w:val="001910C0"/>
    <w:rsid w:val="001914C5"/>
    <w:rsid w:val="001919EC"/>
    <w:rsid w:val="00191B4B"/>
    <w:rsid w:val="00191BC2"/>
    <w:rsid w:val="00191F73"/>
    <w:rsid w:val="0019219D"/>
    <w:rsid w:val="001923CD"/>
    <w:rsid w:val="001926FD"/>
    <w:rsid w:val="001927A2"/>
    <w:rsid w:val="001927C6"/>
    <w:rsid w:val="00192E82"/>
    <w:rsid w:val="001930A5"/>
    <w:rsid w:val="0019392C"/>
    <w:rsid w:val="00193AF6"/>
    <w:rsid w:val="00193EB9"/>
    <w:rsid w:val="001941F4"/>
    <w:rsid w:val="001947A4"/>
    <w:rsid w:val="0019493C"/>
    <w:rsid w:val="00194EAB"/>
    <w:rsid w:val="001950C5"/>
    <w:rsid w:val="001957AC"/>
    <w:rsid w:val="00196155"/>
    <w:rsid w:val="00196205"/>
    <w:rsid w:val="00196275"/>
    <w:rsid w:val="001968A0"/>
    <w:rsid w:val="00196ACF"/>
    <w:rsid w:val="0019748B"/>
    <w:rsid w:val="00197E28"/>
    <w:rsid w:val="001A04AE"/>
    <w:rsid w:val="001A04DA"/>
    <w:rsid w:val="001A0595"/>
    <w:rsid w:val="001A0703"/>
    <w:rsid w:val="001A09DC"/>
    <w:rsid w:val="001A0B0C"/>
    <w:rsid w:val="001A0F1F"/>
    <w:rsid w:val="001A1156"/>
    <w:rsid w:val="001A135E"/>
    <w:rsid w:val="001A13FB"/>
    <w:rsid w:val="001A154F"/>
    <w:rsid w:val="001A17D6"/>
    <w:rsid w:val="001A1A64"/>
    <w:rsid w:val="001A1DAC"/>
    <w:rsid w:val="001A1E0E"/>
    <w:rsid w:val="001A2003"/>
    <w:rsid w:val="001A2954"/>
    <w:rsid w:val="001A2CAC"/>
    <w:rsid w:val="001A2E77"/>
    <w:rsid w:val="001A38D0"/>
    <w:rsid w:val="001A3D65"/>
    <w:rsid w:val="001A4017"/>
    <w:rsid w:val="001A430D"/>
    <w:rsid w:val="001A4A16"/>
    <w:rsid w:val="001A4F41"/>
    <w:rsid w:val="001A5338"/>
    <w:rsid w:val="001A536A"/>
    <w:rsid w:val="001A597A"/>
    <w:rsid w:val="001A5F4A"/>
    <w:rsid w:val="001A6198"/>
    <w:rsid w:val="001A66C2"/>
    <w:rsid w:val="001A6AAB"/>
    <w:rsid w:val="001A6CB8"/>
    <w:rsid w:val="001A6F25"/>
    <w:rsid w:val="001A7133"/>
    <w:rsid w:val="001A737C"/>
    <w:rsid w:val="001A73BD"/>
    <w:rsid w:val="001A75F0"/>
    <w:rsid w:val="001A7E02"/>
    <w:rsid w:val="001B0D1D"/>
    <w:rsid w:val="001B0EE2"/>
    <w:rsid w:val="001B1332"/>
    <w:rsid w:val="001B15AC"/>
    <w:rsid w:val="001B2010"/>
    <w:rsid w:val="001B2342"/>
    <w:rsid w:val="001B2A74"/>
    <w:rsid w:val="001B30B1"/>
    <w:rsid w:val="001B33D6"/>
    <w:rsid w:val="001B392C"/>
    <w:rsid w:val="001B3F09"/>
    <w:rsid w:val="001B3F0C"/>
    <w:rsid w:val="001B494D"/>
    <w:rsid w:val="001B4BDC"/>
    <w:rsid w:val="001B5109"/>
    <w:rsid w:val="001B54C8"/>
    <w:rsid w:val="001B56E7"/>
    <w:rsid w:val="001B5C3E"/>
    <w:rsid w:val="001B65E8"/>
    <w:rsid w:val="001B6796"/>
    <w:rsid w:val="001B68BD"/>
    <w:rsid w:val="001B7316"/>
    <w:rsid w:val="001B7613"/>
    <w:rsid w:val="001B7B15"/>
    <w:rsid w:val="001B7B52"/>
    <w:rsid w:val="001B7D8C"/>
    <w:rsid w:val="001B7EEF"/>
    <w:rsid w:val="001C039E"/>
    <w:rsid w:val="001C0C4D"/>
    <w:rsid w:val="001C0DEF"/>
    <w:rsid w:val="001C0ED1"/>
    <w:rsid w:val="001C1725"/>
    <w:rsid w:val="001C19E3"/>
    <w:rsid w:val="001C2EB0"/>
    <w:rsid w:val="001C2FE4"/>
    <w:rsid w:val="001C38F6"/>
    <w:rsid w:val="001C3D4E"/>
    <w:rsid w:val="001C4010"/>
    <w:rsid w:val="001C4136"/>
    <w:rsid w:val="001C4816"/>
    <w:rsid w:val="001C4910"/>
    <w:rsid w:val="001C49C1"/>
    <w:rsid w:val="001C4ED9"/>
    <w:rsid w:val="001C4F16"/>
    <w:rsid w:val="001C5546"/>
    <w:rsid w:val="001C6212"/>
    <w:rsid w:val="001C6844"/>
    <w:rsid w:val="001C6A23"/>
    <w:rsid w:val="001C6BFB"/>
    <w:rsid w:val="001C7FF5"/>
    <w:rsid w:val="001D09D2"/>
    <w:rsid w:val="001D110B"/>
    <w:rsid w:val="001D121B"/>
    <w:rsid w:val="001D1CE7"/>
    <w:rsid w:val="001D1DD0"/>
    <w:rsid w:val="001D2163"/>
    <w:rsid w:val="001D243C"/>
    <w:rsid w:val="001D26AA"/>
    <w:rsid w:val="001D2940"/>
    <w:rsid w:val="001D31FE"/>
    <w:rsid w:val="001D322D"/>
    <w:rsid w:val="001D335F"/>
    <w:rsid w:val="001D3606"/>
    <w:rsid w:val="001D3A88"/>
    <w:rsid w:val="001D3C50"/>
    <w:rsid w:val="001D3D46"/>
    <w:rsid w:val="001D3D90"/>
    <w:rsid w:val="001D470D"/>
    <w:rsid w:val="001D4837"/>
    <w:rsid w:val="001D4A29"/>
    <w:rsid w:val="001D5072"/>
    <w:rsid w:val="001D524B"/>
    <w:rsid w:val="001D5645"/>
    <w:rsid w:val="001D5840"/>
    <w:rsid w:val="001D5ABD"/>
    <w:rsid w:val="001D6131"/>
    <w:rsid w:val="001D6355"/>
    <w:rsid w:val="001D66C2"/>
    <w:rsid w:val="001D6B5D"/>
    <w:rsid w:val="001D6F1E"/>
    <w:rsid w:val="001D724C"/>
    <w:rsid w:val="001D7586"/>
    <w:rsid w:val="001D7744"/>
    <w:rsid w:val="001D78EC"/>
    <w:rsid w:val="001D7F28"/>
    <w:rsid w:val="001E0163"/>
    <w:rsid w:val="001E07F6"/>
    <w:rsid w:val="001E0D0E"/>
    <w:rsid w:val="001E0D2A"/>
    <w:rsid w:val="001E1534"/>
    <w:rsid w:val="001E18AC"/>
    <w:rsid w:val="001E19EE"/>
    <w:rsid w:val="001E1EAD"/>
    <w:rsid w:val="001E24F4"/>
    <w:rsid w:val="001E26A2"/>
    <w:rsid w:val="001E289B"/>
    <w:rsid w:val="001E2B50"/>
    <w:rsid w:val="001E2C1A"/>
    <w:rsid w:val="001E3688"/>
    <w:rsid w:val="001E436E"/>
    <w:rsid w:val="001E46BE"/>
    <w:rsid w:val="001E4843"/>
    <w:rsid w:val="001E48AB"/>
    <w:rsid w:val="001E4C7B"/>
    <w:rsid w:val="001E5848"/>
    <w:rsid w:val="001E5F03"/>
    <w:rsid w:val="001E618D"/>
    <w:rsid w:val="001E6277"/>
    <w:rsid w:val="001E7B98"/>
    <w:rsid w:val="001E7DE1"/>
    <w:rsid w:val="001F04B5"/>
    <w:rsid w:val="001F04C4"/>
    <w:rsid w:val="001F0DB3"/>
    <w:rsid w:val="001F0F2D"/>
    <w:rsid w:val="001F12F4"/>
    <w:rsid w:val="001F18B3"/>
    <w:rsid w:val="001F280D"/>
    <w:rsid w:val="001F29E0"/>
    <w:rsid w:val="001F2D83"/>
    <w:rsid w:val="001F3903"/>
    <w:rsid w:val="001F3B4A"/>
    <w:rsid w:val="001F4285"/>
    <w:rsid w:val="001F4A0A"/>
    <w:rsid w:val="001F4C5C"/>
    <w:rsid w:val="001F594B"/>
    <w:rsid w:val="001F59E8"/>
    <w:rsid w:val="001F5FA9"/>
    <w:rsid w:val="001F6CDE"/>
    <w:rsid w:val="001F6D9E"/>
    <w:rsid w:val="001F6E05"/>
    <w:rsid w:val="001F7355"/>
    <w:rsid w:val="001F747A"/>
    <w:rsid w:val="001F7552"/>
    <w:rsid w:val="001F791E"/>
    <w:rsid w:val="001F795F"/>
    <w:rsid w:val="001F7D32"/>
    <w:rsid w:val="001F7D4B"/>
    <w:rsid w:val="00200479"/>
    <w:rsid w:val="0020114F"/>
    <w:rsid w:val="00201158"/>
    <w:rsid w:val="002016E3"/>
    <w:rsid w:val="00201911"/>
    <w:rsid w:val="00202248"/>
    <w:rsid w:val="00202A9A"/>
    <w:rsid w:val="00202B64"/>
    <w:rsid w:val="0020305E"/>
    <w:rsid w:val="00203386"/>
    <w:rsid w:val="0020348F"/>
    <w:rsid w:val="00203BED"/>
    <w:rsid w:val="00203EEE"/>
    <w:rsid w:val="00204033"/>
    <w:rsid w:val="00204BEF"/>
    <w:rsid w:val="00204EEF"/>
    <w:rsid w:val="0020560F"/>
    <w:rsid w:val="002057BA"/>
    <w:rsid w:val="002058D0"/>
    <w:rsid w:val="00205E61"/>
    <w:rsid w:val="00205E88"/>
    <w:rsid w:val="00206100"/>
    <w:rsid w:val="0020677A"/>
    <w:rsid w:val="002068C3"/>
    <w:rsid w:val="00206E6D"/>
    <w:rsid w:val="00207550"/>
    <w:rsid w:val="002075AF"/>
    <w:rsid w:val="0020799F"/>
    <w:rsid w:val="00207ABB"/>
    <w:rsid w:val="002100BF"/>
    <w:rsid w:val="00210423"/>
    <w:rsid w:val="00210627"/>
    <w:rsid w:val="002108AA"/>
    <w:rsid w:val="002108EB"/>
    <w:rsid w:val="00210A8E"/>
    <w:rsid w:val="00211251"/>
    <w:rsid w:val="00211501"/>
    <w:rsid w:val="00211EDF"/>
    <w:rsid w:val="00212237"/>
    <w:rsid w:val="00212399"/>
    <w:rsid w:val="00212A61"/>
    <w:rsid w:val="00212DA8"/>
    <w:rsid w:val="002130AE"/>
    <w:rsid w:val="002134C1"/>
    <w:rsid w:val="002135CE"/>
    <w:rsid w:val="00213870"/>
    <w:rsid w:val="002149AE"/>
    <w:rsid w:val="00214AE8"/>
    <w:rsid w:val="00214D40"/>
    <w:rsid w:val="00215784"/>
    <w:rsid w:val="00215B5D"/>
    <w:rsid w:val="00215CC3"/>
    <w:rsid w:val="00215EBD"/>
    <w:rsid w:val="00216639"/>
    <w:rsid w:val="00216B6D"/>
    <w:rsid w:val="00216F00"/>
    <w:rsid w:val="00217130"/>
    <w:rsid w:val="00217592"/>
    <w:rsid w:val="00217837"/>
    <w:rsid w:val="00217B3F"/>
    <w:rsid w:val="00217B57"/>
    <w:rsid w:val="00220A36"/>
    <w:rsid w:val="002210B4"/>
    <w:rsid w:val="00221509"/>
    <w:rsid w:val="002217EC"/>
    <w:rsid w:val="00221B66"/>
    <w:rsid w:val="00222790"/>
    <w:rsid w:val="002229F8"/>
    <w:rsid w:val="00222A6A"/>
    <w:rsid w:val="00222D5E"/>
    <w:rsid w:val="00222FD0"/>
    <w:rsid w:val="002233F5"/>
    <w:rsid w:val="002237A3"/>
    <w:rsid w:val="00223953"/>
    <w:rsid w:val="00224594"/>
    <w:rsid w:val="00224E8B"/>
    <w:rsid w:val="00225C7A"/>
    <w:rsid w:val="00225FB9"/>
    <w:rsid w:val="00226193"/>
    <w:rsid w:val="002261F9"/>
    <w:rsid w:val="002263C0"/>
    <w:rsid w:val="002267B4"/>
    <w:rsid w:val="0022695F"/>
    <w:rsid w:val="00226B55"/>
    <w:rsid w:val="0022715D"/>
    <w:rsid w:val="002274DB"/>
    <w:rsid w:val="00230192"/>
    <w:rsid w:val="002301CD"/>
    <w:rsid w:val="00230410"/>
    <w:rsid w:val="00230539"/>
    <w:rsid w:val="0023085B"/>
    <w:rsid w:val="0023128C"/>
    <w:rsid w:val="00231464"/>
    <w:rsid w:val="00232763"/>
    <w:rsid w:val="00232826"/>
    <w:rsid w:val="00232A68"/>
    <w:rsid w:val="00232B29"/>
    <w:rsid w:val="00232E41"/>
    <w:rsid w:val="00233D2E"/>
    <w:rsid w:val="0023426A"/>
    <w:rsid w:val="002345C4"/>
    <w:rsid w:val="00235027"/>
    <w:rsid w:val="00235D20"/>
    <w:rsid w:val="00235F76"/>
    <w:rsid w:val="002362CA"/>
    <w:rsid w:val="00236314"/>
    <w:rsid w:val="002366C5"/>
    <w:rsid w:val="00236D35"/>
    <w:rsid w:val="002376DA"/>
    <w:rsid w:val="00237770"/>
    <w:rsid w:val="00237C5F"/>
    <w:rsid w:val="002402C9"/>
    <w:rsid w:val="002405ED"/>
    <w:rsid w:val="002406AA"/>
    <w:rsid w:val="00240858"/>
    <w:rsid w:val="00240E33"/>
    <w:rsid w:val="00241016"/>
    <w:rsid w:val="00241051"/>
    <w:rsid w:val="002411D8"/>
    <w:rsid w:val="00241342"/>
    <w:rsid w:val="00241F0F"/>
    <w:rsid w:val="002422B3"/>
    <w:rsid w:val="002430B7"/>
    <w:rsid w:val="00243496"/>
    <w:rsid w:val="00243745"/>
    <w:rsid w:val="00243EDC"/>
    <w:rsid w:val="0024409A"/>
    <w:rsid w:val="002441E2"/>
    <w:rsid w:val="00244228"/>
    <w:rsid w:val="00244395"/>
    <w:rsid w:val="00244B24"/>
    <w:rsid w:val="0024512F"/>
    <w:rsid w:val="002453B2"/>
    <w:rsid w:val="0024558B"/>
    <w:rsid w:val="00245A73"/>
    <w:rsid w:val="00245EB8"/>
    <w:rsid w:val="00246695"/>
    <w:rsid w:val="00246BF0"/>
    <w:rsid w:val="00246F5B"/>
    <w:rsid w:val="002478AA"/>
    <w:rsid w:val="00247D71"/>
    <w:rsid w:val="00247E61"/>
    <w:rsid w:val="00250591"/>
    <w:rsid w:val="00250A93"/>
    <w:rsid w:val="00250E0D"/>
    <w:rsid w:val="00250E70"/>
    <w:rsid w:val="00250FBE"/>
    <w:rsid w:val="002513AE"/>
    <w:rsid w:val="00251667"/>
    <w:rsid w:val="00251B74"/>
    <w:rsid w:val="00252583"/>
    <w:rsid w:val="00252B81"/>
    <w:rsid w:val="00252C93"/>
    <w:rsid w:val="00252DE4"/>
    <w:rsid w:val="00252E1E"/>
    <w:rsid w:val="002542D4"/>
    <w:rsid w:val="00254810"/>
    <w:rsid w:val="002549BF"/>
    <w:rsid w:val="002549F8"/>
    <w:rsid w:val="00254A0D"/>
    <w:rsid w:val="002554CC"/>
    <w:rsid w:val="00255908"/>
    <w:rsid w:val="002563CA"/>
    <w:rsid w:val="0025657E"/>
    <w:rsid w:val="00256F30"/>
    <w:rsid w:val="002573C7"/>
    <w:rsid w:val="002574D0"/>
    <w:rsid w:val="002576A2"/>
    <w:rsid w:val="00257A73"/>
    <w:rsid w:val="00257B6A"/>
    <w:rsid w:val="00257D9A"/>
    <w:rsid w:val="00257DAF"/>
    <w:rsid w:val="00257DE5"/>
    <w:rsid w:val="002612AB"/>
    <w:rsid w:val="00261E9B"/>
    <w:rsid w:val="00261F89"/>
    <w:rsid w:val="00262326"/>
    <w:rsid w:val="0026266A"/>
    <w:rsid w:val="00262946"/>
    <w:rsid w:val="0026294A"/>
    <w:rsid w:val="002631EF"/>
    <w:rsid w:val="00264CFA"/>
    <w:rsid w:val="002662D8"/>
    <w:rsid w:val="00266CC2"/>
    <w:rsid w:val="002675C5"/>
    <w:rsid w:val="00267916"/>
    <w:rsid w:val="00267A53"/>
    <w:rsid w:val="00267E5E"/>
    <w:rsid w:val="00270010"/>
    <w:rsid w:val="0027049B"/>
    <w:rsid w:val="00270A56"/>
    <w:rsid w:val="00270AF3"/>
    <w:rsid w:val="00270E3B"/>
    <w:rsid w:val="00271307"/>
    <w:rsid w:val="00271C13"/>
    <w:rsid w:val="00272004"/>
    <w:rsid w:val="002721A2"/>
    <w:rsid w:val="00272265"/>
    <w:rsid w:val="0027237A"/>
    <w:rsid w:val="0027242F"/>
    <w:rsid w:val="002726B4"/>
    <w:rsid w:val="002726CE"/>
    <w:rsid w:val="00272B76"/>
    <w:rsid w:val="00273C50"/>
    <w:rsid w:val="00273D72"/>
    <w:rsid w:val="00273FBC"/>
    <w:rsid w:val="0027459B"/>
    <w:rsid w:val="00274AFA"/>
    <w:rsid w:val="00274FBB"/>
    <w:rsid w:val="00275050"/>
    <w:rsid w:val="00275234"/>
    <w:rsid w:val="00275459"/>
    <w:rsid w:val="0027584A"/>
    <w:rsid w:val="0027594F"/>
    <w:rsid w:val="00275C81"/>
    <w:rsid w:val="0027607D"/>
    <w:rsid w:val="0027690C"/>
    <w:rsid w:val="002775F7"/>
    <w:rsid w:val="002779D1"/>
    <w:rsid w:val="00277B13"/>
    <w:rsid w:val="00280045"/>
    <w:rsid w:val="0028118F"/>
    <w:rsid w:val="002815A2"/>
    <w:rsid w:val="002815AF"/>
    <w:rsid w:val="00281BA0"/>
    <w:rsid w:val="00282C2E"/>
    <w:rsid w:val="00283548"/>
    <w:rsid w:val="0028355F"/>
    <w:rsid w:val="002836D0"/>
    <w:rsid w:val="00283B8F"/>
    <w:rsid w:val="00283DDA"/>
    <w:rsid w:val="00283F2F"/>
    <w:rsid w:val="00284656"/>
    <w:rsid w:val="00284A62"/>
    <w:rsid w:val="00284A9C"/>
    <w:rsid w:val="00284BCE"/>
    <w:rsid w:val="00284D6D"/>
    <w:rsid w:val="00285135"/>
    <w:rsid w:val="00285BF2"/>
    <w:rsid w:val="00285F18"/>
    <w:rsid w:val="00286338"/>
    <w:rsid w:val="0028665B"/>
    <w:rsid w:val="0028680C"/>
    <w:rsid w:val="00286DBC"/>
    <w:rsid w:val="00286F78"/>
    <w:rsid w:val="00287CF1"/>
    <w:rsid w:val="00287DB8"/>
    <w:rsid w:val="0028F01C"/>
    <w:rsid w:val="0029057C"/>
    <w:rsid w:val="0029059A"/>
    <w:rsid w:val="00290AED"/>
    <w:rsid w:val="002916CC"/>
    <w:rsid w:val="00291ECE"/>
    <w:rsid w:val="00291ED1"/>
    <w:rsid w:val="00291F44"/>
    <w:rsid w:val="00292237"/>
    <w:rsid w:val="00292870"/>
    <w:rsid w:val="002928BA"/>
    <w:rsid w:val="00292C36"/>
    <w:rsid w:val="00292DA1"/>
    <w:rsid w:val="00292FFC"/>
    <w:rsid w:val="002935EC"/>
    <w:rsid w:val="00293921"/>
    <w:rsid w:val="00293BC5"/>
    <w:rsid w:val="002941EC"/>
    <w:rsid w:val="00294241"/>
    <w:rsid w:val="0029443F"/>
    <w:rsid w:val="00295579"/>
    <w:rsid w:val="00295688"/>
    <w:rsid w:val="002956DE"/>
    <w:rsid w:val="0029593E"/>
    <w:rsid w:val="00295B2F"/>
    <w:rsid w:val="00295DB9"/>
    <w:rsid w:val="00295EAE"/>
    <w:rsid w:val="00296267"/>
    <w:rsid w:val="002969ED"/>
    <w:rsid w:val="0029740C"/>
    <w:rsid w:val="00297415"/>
    <w:rsid w:val="00297530"/>
    <w:rsid w:val="002975AA"/>
    <w:rsid w:val="00297623"/>
    <w:rsid w:val="002977C7"/>
    <w:rsid w:val="002A0413"/>
    <w:rsid w:val="002A0792"/>
    <w:rsid w:val="002A0997"/>
    <w:rsid w:val="002A113C"/>
    <w:rsid w:val="002A132F"/>
    <w:rsid w:val="002A1A71"/>
    <w:rsid w:val="002A1C8F"/>
    <w:rsid w:val="002A2141"/>
    <w:rsid w:val="002A2ECC"/>
    <w:rsid w:val="002A31D8"/>
    <w:rsid w:val="002A3F43"/>
    <w:rsid w:val="002A4920"/>
    <w:rsid w:val="002A49CB"/>
    <w:rsid w:val="002A517F"/>
    <w:rsid w:val="002A525D"/>
    <w:rsid w:val="002A5469"/>
    <w:rsid w:val="002A6368"/>
    <w:rsid w:val="002A638D"/>
    <w:rsid w:val="002A65DA"/>
    <w:rsid w:val="002A6C2E"/>
    <w:rsid w:val="002A6C6C"/>
    <w:rsid w:val="002A7578"/>
    <w:rsid w:val="002A776D"/>
    <w:rsid w:val="002A7879"/>
    <w:rsid w:val="002B054B"/>
    <w:rsid w:val="002B11CA"/>
    <w:rsid w:val="002B12DA"/>
    <w:rsid w:val="002B21B4"/>
    <w:rsid w:val="002B22BD"/>
    <w:rsid w:val="002B26C9"/>
    <w:rsid w:val="002B29A9"/>
    <w:rsid w:val="002B36A4"/>
    <w:rsid w:val="002B3CBB"/>
    <w:rsid w:val="002B43B2"/>
    <w:rsid w:val="002B44A7"/>
    <w:rsid w:val="002B44AD"/>
    <w:rsid w:val="002B4589"/>
    <w:rsid w:val="002B4962"/>
    <w:rsid w:val="002B498A"/>
    <w:rsid w:val="002B4DF5"/>
    <w:rsid w:val="002B4E7A"/>
    <w:rsid w:val="002B4EBC"/>
    <w:rsid w:val="002B5474"/>
    <w:rsid w:val="002B55FC"/>
    <w:rsid w:val="002B5BFF"/>
    <w:rsid w:val="002B6220"/>
    <w:rsid w:val="002B6B7D"/>
    <w:rsid w:val="002B6CF9"/>
    <w:rsid w:val="002B752B"/>
    <w:rsid w:val="002B759F"/>
    <w:rsid w:val="002B76FC"/>
    <w:rsid w:val="002B774E"/>
    <w:rsid w:val="002B796D"/>
    <w:rsid w:val="002B7A75"/>
    <w:rsid w:val="002B7DD4"/>
    <w:rsid w:val="002C0187"/>
    <w:rsid w:val="002C0591"/>
    <w:rsid w:val="002C1094"/>
    <w:rsid w:val="002C18FA"/>
    <w:rsid w:val="002C1993"/>
    <w:rsid w:val="002C1A4F"/>
    <w:rsid w:val="002C21FB"/>
    <w:rsid w:val="002C2B8E"/>
    <w:rsid w:val="002C2C00"/>
    <w:rsid w:val="002C3064"/>
    <w:rsid w:val="002C37AA"/>
    <w:rsid w:val="002C46C5"/>
    <w:rsid w:val="002C475E"/>
    <w:rsid w:val="002C5988"/>
    <w:rsid w:val="002C63A9"/>
    <w:rsid w:val="002C65DA"/>
    <w:rsid w:val="002C6662"/>
    <w:rsid w:val="002C6A0F"/>
    <w:rsid w:val="002C7000"/>
    <w:rsid w:val="002C73DE"/>
    <w:rsid w:val="002C79F2"/>
    <w:rsid w:val="002C7B5F"/>
    <w:rsid w:val="002C7E8B"/>
    <w:rsid w:val="002D0155"/>
    <w:rsid w:val="002D0571"/>
    <w:rsid w:val="002D0943"/>
    <w:rsid w:val="002D0FF6"/>
    <w:rsid w:val="002D15CF"/>
    <w:rsid w:val="002D1795"/>
    <w:rsid w:val="002D1859"/>
    <w:rsid w:val="002D18DB"/>
    <w:rsid w:val="002D198F"/>
    <w:rsid w:val="002D20A7"/>
    <w:rsid w:val="002D2132"/>
    <w:rsid w:val="002D292F"/>
    <w:rsid w:val="002D2A43"/>
    <w:rsid w:val="002D2D9F"/>
    <w:rsid w:val="002D2F2E"/>
    <w:rsid w:val="002D3421"/>
    <w:rsid w:val="002D34E5"/>
    <w:rsid w:val="002D3A61"/>
    <w:rsid w:val="002D3D6C"/>
    <w:rsid w:val="002D3FED"/>
    <w:rsid w:val="002D4178"/>
    <w:rsid w:val="002D439D"/>
    <w:rsid w:val="002D44B0"/>
    <w:rsid w:val="002D6323"/>
    <w:rsid w:val="002D79EA"/>
    <w:rsid w:val="002E0141"/>
    <w:rsid w:val="002E04C0"/>
    <w:rsid w:val="002E06A9"/>
    <w:rsid w:val="002E0CEA"/>
    <w:rsid w:val="002E13F6"/>
    <w:rsid w:val="002E1439"/>
    <w:rsid w:val="002E1C60"/>
    <w:rsid w:val="002E2044"/>
    <w:rsid w:val="002E21A5"/>
    <w:rsid w:val="002E2525"/>
    <w:rsid w:val="002E26F4"/>
    <w:rsid w:val="002E2905"/>
    <w:rsid w:val="002E2CA9"/>
    <w:rsid w:val="002E30B4"/>
    <w:rsid w:val="002E3141"/>
    <w:rsid w:val="002E424C"/>
    <w:rsid w:val="002E4C04"/>
    <w:rsid w:val="002E5261"/>
    <w:rsid w:val="002E589A"/>
    <w:rsid w:val="002E6204"/>
    <w:rsid w:val="002E67C7"/>
    <w:rsid w:val="002E6A09"/>
    <w:rsid w:val="002E7758"/>
    <w:rsid w:val="002E7A45"/>
    <w:rsid w:val="002E7ED1"/>
    <w:rsid w:val="002E7F1E"/>
    <w:rsid w:val="002F09BF"/>
    <w:rsid w:val="002F0E38"/>
    <w:rsid w:val="002F1182"/>
    <w:rsid w:val="002F15E0"/>
    <w:rsid w:val="002F19E1"/>
    <w:rsid w:val="002F240B"/>
    <w:rsid w:val="002F30A7"/>
    <w:rsid w:val="002F3115"/>
    <w:rsid w:val="002F3779"/>
    <w:rsid w:val="002F3A5C"/>
    <w:rsid w:val="002F3EF7"/>
    <w:rsid w:val="002F40A8"/>
    <w:rsid w:val="002F43FB"/>
    <w:rsid w:val="002F4DDB"/>
    <w:rsid w:val="002F5024"/>
    <w:rsid w:val="002F5684"/>
    <w:rsid w:val="002F5BFB"/>
    <w:rsid w:val="002F61EF"/>
    <w:rsid w:val="002F6797"/>
    <w:rsid w:val="002F68EC"/>
    <w:rsid w:val="002F6E6E"/>
    <w:rsid w:val="002F6F3B"/>
    <w:rsid w:val="002F7ABB"/>
    <w:rsid w:val="002F7BB9"/>
    <w:rsid w:val="002F7CA1"/>
    <w:rsid w:val="002F7CDA"/>
    <w:rsid w:val="002F7CE5"/>
    <w:rsid w:val="00300287"/>
    <w:rsid w:val="00300764"/>
    <w:rsid w:val="00300D3A"/>
    <w:rsid w:val="0030115C"/>
    <w:rsid w:val="00302166"/>
    <w:rsid w:val="00302315"/>
    <w:rsid w:val="00302852"/>
    <w:rsid w:val="00302985"/>
    <w:rsid w:val="00302C9C"/>
    <w:rsid w:val="0030308F"/>
    <w:rsid w:val="003031FA"/>
    <w:rsid w:val="00303A9A"/>
    <w:rsid w:val="00303CF8"/>
    <w:rsid w:val="00303E77"/>
    <w:rsid w:val="00303EA2"/>
    <w:rsid w:val="00304537"/>
    <w:rsid w:val="0030454F"/>
    <w:rsid w:val="00304AC8"/>
    <w:rsid w:val="00304B21"/>
    <w:rsid w:val="00304C81"/>
    <w:rsid w:val="003055B5"/>
    <w:rsid w:val="00305829"/>
    <w:rsid w:val="00305836"/>
    <w:rsid w:val="003063A6"/>
    <w:rsid w:val="0030641C"/>
    <w:rsid w:val="00306E4B"/>
    <w:rsid w:val="003070C9"/>
    <w:rsid w:val="003075FF"/>
    <w:rsid w:val="003079D5"/>
    <w:rsid w:val="00307D0A"/>
    <w:rsid w:val="0031052B"/>
    <w:rsid w:val="003105A6"/>
    <w:rsid w:val="00310B76"/>
    <w:rsid w:val="00310C07"/>
    <w:rsid w:val="00310CF3"/>
    <w:rsid w:val="00310F82"/>
    <w:rsid w:val="003116DC"/>
    <w:rsid w:val="00311710"/>
    <w:rsid w:val="00311CAA"/>
    <w:rsid w:val="00312192"/>
    <w:rsid w:val="0031244C"/>
    <w:rsid w:val="00312FEA"/>
    <w:rsid w:val="0031374B"/>
    <w:rsid w:val="00313A20"/>
    <w:rsid w:val="00314002"/>
    <w:rsid w:val="00314DD6"/>
    <w:rsid w:val="00314E2D"/>
    <w:rsid w:val="0031504E"/>
    <w:rsid w:val="003152F6"/>
    <w:rsid w:val="00315478"/>
    <w:rsid w:val="00316ABC"/>
    <w:rsid w:val="00317151"/>
    <w:rsid w:val="003173F9"/>
    <w:rsid w:val="00317D98"/>
    <w:rsid w:val="00317EA2"/>
    <w:rsid w:val="00317F4C"/>
    <w:rsid w:val="00320279"/>
    <w:rsid w:val="003207CC"/>
    <w:rsid w:val="003212BF"/>
    <w:rsid w:val="0032145A"/>
    <w:rsid w:val="00321687"/>
    <w:rsid w:val="00321B7F"/>
    <w:rsid w:val="00321F8F"/>
    <w:rsid w:val="00322880"/>
    <w:rsid w:val="003228B7"/>
    <w:rsid w:val="00323BC5"/>
    <w:rsid w:val="003243CB"/>
    <w:rsid w:val="00324A5C"/>
    <w:rsid w:val="00324D3C"/>
    <w:rsid w:val="00324EA1"/>
    <w:rsid w:val="00325DF1"/>
    <w:rsid w:val="00325FEA"/>
    <w:rsid w:val="003265DA"/>
    <w:rsid w:val="00326FA5"/>
    <w:rsid w:val="00327348"/>
    <w:rsid w:val="003277E0"/>
    <w:rsid w:val="00327D13"/>
    <w:rsid w:val="00327DB5"/>
    <w:rsid w:val="00327FF8"/>
    <w:rsid w:val="003300DB"/>
    <w:rsid w:val="00330830"/>
    <w:rsid w:val="00330CE2"/>
    <w:rsid w:val="00330F04"/>
    <w:rsid w:val="00331197"/>
    <w:rsid w:val="003311D9"/>
    <w:rsid w:val="003314D8"/>
    <w:rsid w:val="003315F6"/>
    <w:rsid w:val="00331BEE"/>
    <w:rsid w:val="00331E53"/>
    <w:rsid w:val="003326E8"/>
    <w:rsid w:val="003328D7"/>
    <w:rsid w:val="00332918"/>
    <w:rsid w:val="00332AC1"/>
    <w:rsid w:val="00332AE5"/>
    <w:rsid w:val="00332E82"/>
    <w:rsid w:val="00332EBA"/>
    <w:rsid w:val="00333172"/>
    <w:rsid w:val="003333C1"/>
    <w:rsid w:val="00333717"/>
    <w:rsid w:val="00333A48"/>
    <w:rsid w:val="00333B4A"/>
    <w:rsid w:val="00334ACA"/>
    <w:rsid w:val="00334C10"/>
    <w:rsid w:val="00334CAF"/>
    <w:rsid w:val="00335059"/>
    <w:rsid w:val="003357D4"/>
    <w:rsid w:val="00335CC7"/>
    <w:rsid w:val="00335FFE"/>
    <w:rsid w:val="0033607F"/>
    <w:rsid w:val="00336AEC"/>
    <w:rsid w:val="00336BF3"/>
    <w:rsid w:val="00336C22"/>
    <w:rsid w:val="00336CCD"/>
    <w:rsid w:val="00336DE6"/>
    <w:rsid w:val="003374AD"/>
    <w:rsid w:val="00337647"/>
    <w:rsid w:val="003376D8"/>
    <w:rsid w:val="00337E2B"/>
    <w:rsid w:val="00337F39"/>
    <w:rsid w:val="0034040C"/>
    <w:rsid w:val="003408A3"/>
    <w:rsid w:val="00340A8D"/>
    <w:rsid w:val="00340B76"/>
    <w:rsid w:val="003411B0"/>
    <w:rsid w:val="00341AC0"/>
    <w:rsid w:val="00341F66"/>
    <w:rsid w:val="0034223D"/>
    <w:rsid w:val="0034274D"/>
    <w:rsid w:val="00342B33"/>
    <w:rsid w:val="00342B87"/>
    <w:rsid w:val="00342BA3"/>
    <w:rsid w:val="00342DA8"/>
    <w:rsid w:val="003438FA"/>
    <w:rsid w:val="00343AEE"/>
    <w:rsid w:val="00343B22"/>
    <w:rsid w:val="003449EF"/>
    <w:rsid w:val="00344E74"/>
    <w:rsid w:val="00345130"/>
    <w:rsid w:val="003452D4"/>
    <w:rsid w:val="00345A0B"/>
    <w:rsid w:val="00345AA0"/>
    <w:rsid w:val="00346060"/>
    <w:rsid w:val="00346334"/>
    <w:rsid w:val="00346613"/>
    <w:rsid w:val="00346A98"/>
    <w:rsid w:val="00346BF7"/>
    <w:rsid w:val="00346D1C"/>
    <w:rsid w:val="003478AE"/>
    <w:rsid w:val="00347FBF"/>
    <w:rsid w:val="003504FA"/>
    <w:rsid w:val="003507C1"/>
    <w:rsid w:val="00350AA0"/>
    <w:rsid w:val="003512A2"/>
    <w:rsid w:val="003514BD"/>
    <w:rsid w:val="003516DF"/>
    <w:rsid w:val="00351900"/>
    <w:rsid w:val="00351D0C"/>
    <w:rsid w:val="003521C0"/>
    <w:rsid w:val="003523FA"/>
    <w:rsid w:val="003528F7"/>
    <w:rsid w:val="00352D49"/>
    <w:rsid w:val="00352D84"/>
    <w:rsid w:val="00353220"/>
    <w:rsid w:val="00353312"/>
    <w:rsid w:val="003536C3"/>
    <w:rsid w:val="00353CB7"/>
    <w:rsid w:val="00353CC9"/>
    <w:rsid w:val="00353D27"/>
    <w:rsid w:val="00354A36"/>
    <w:rsid w:val="00354A4C"/>
    <w:rsid w:val="00355296"/>
    <w:rsid w:val="00355397"/>
    <w:rsid w:val="003555F3"/>
    <w:rsid w:val="00355908"/>
    <w:rsid w:val="0035604F"/>
    <w:rsid w:val="00356A47"/>
    <w:rsid w:val="00356F8A"/>
    <w:rsid w:val="00357261"/>
    <w:rsid w:val="00357359"/>
    <w:rsid w:val="00357587"/>
    <w:rsid w:val="00357B74"/>
    <w:rsid w:val="003600EA"/>
    <w:rsid w:val="00360329"/>
    <w:rsid w:val="00360430"/>
    <w:rsid w:val="003609D2"/>
    <w:rsid w:val="00360AEA"/>
    <w:rsid w:val="00360C95"/>
    <w:rsid w:val="00360FCA"/>
    <w:rsid w:val="00360FF6"/>
    <w:rsid w:val="003619F9"/>
    <w:rsid w:val="00361B36"/>
    <w:rsid w:val="003624BC"/>
    <w:rsid w:val="0036259C"/>
    <w:rsid w:val="003626C9"/>
    <w:rsid w:val="00362876"/>
    <w:rsid w:val="00362E6F"/>
    <w:rsid w:val="00362F90"/>
    <w:rsid w:val="003632F8"/>
    <w:rsid w:val="003633AE"/>
    <w:rsid w:val="00363CB4"/>
    <w:rsid w:val="00364257"/>
    <w:rsid w:val="003646EB"/>
    <w:rsid w:val="00364A7E"/>
    <w:rsid w:val="00364FE1"/>
    <w:rsid w:val="00364FE2"/>
    <w:rsid w:val="0036521A"/>
    <w:rsid w:val="0036535B"/>
    <w:rsid w:val="003655E2"/>
    <w:rsid w:val="003659D8"/>
    <w:rsid w:val="00365B3E"/>
    <w:rsid w:val="003664B2"/>
    <w:rsid w:val="00366532"/>
    <w:rsid w:val="003673E5"/>
    <w:rsid w:val="00367810"/>
    <w:rsid w:val="00367B6B"/>
    <w:rsid w:val="00370BED"/>
    <w:rsid w:val="00370E09"/>
    <w:rsid w:val="0037141A"/>
    <w:rsid w:val="0037147C"/>
    <w:rsid w:val="00371767"/>
    <w:rsid w:val="00371B73"/>
    <w:rsid w:val="00371CA8"/>
    <w:rsid w:val="0037234C"/>
    <w:rsid w:val="0037235D"/>
    <w:rsid w:val="003725E7"/>
    <w:rsid w:val="0037285A"/>
    <w:rsid w:val="00372BE4"/>
    <w:rsid w:val="00373056"/>
    <w:rsid w:val="00373972"/>
    <w:rsid w:val="00373B85"/>
    <w:rsid w:val="00373CF6"/>
    <w:rsid w:val="00373E9C"/>
    <w:rsid w:val="00374188"/>
    <w:rsid w:val="0037455D"/>
    <w:rsid w:val="00375B43"/>
    <w:rsid w:val="00376AE1"/>
    <w:rsid w:val="0037706F"/>
    <w:rsid w:val="00380BE3"/>
    <w:rsid w:val="00380C2F"/>
    <w:rsid w:val="00380CC3"/>
    <w:rsid w:val="00380DF8"/>
    <w:rsid w:val="0038103C"/>
    <w:rsid w:val="00381201"/>
    <w:rsid w:val="0038148E"/>
    <w:rsid w:val="003814A3"/>
    <w:rsid w:val="003817A4"/>
    <w:rsid w:val="00381B22"/>
    <w:rsid w:val="00381F06"/>
    <w:rsid w:val="00382E1E"/>
    <w:rsid w:val="00383209"/>
    <w:rsid w:val="0038381C"/>
    <w:rsid w:val="00383D54"/>
    <w:rsid w:val="00383F5D"/>
    <w:rsid w:val="00384C75"/>
    <w:rsid w:val="00384F0F"/>
    <w:rsid w:val="00385A56"/>
    <w:rsid w:val="00386120"/>
    <w:rsid w:val="003863B8"/>
    <w:rsid w:val="00386A3B"/>
    <w:rsid w:val="00386D3B"/>
    <w:rsid w:val="00387685"/>
    <w:rsid w:val="00387FA9"/>
    <w:rsid w:val="00390297"/>
    <w:rsid w:val="003904E2"/>
    <w:rsid w:val="00390680"/>
    <w:rsid w:val="00390D2B"/>
    <w:rsid w:val="0039194F"/>
    <w:rsid w:val="00391C62"/>
    <w:rsid w:val="0039349E"/>
    <w:rsid w:val="0039366C"/>
    <w:rsid w:val="00393681"/>
    <w:rsid w:val="003938E4"/>
    <w:rsid w:val="00394416"/>
    <w:rsid w:val="00394682"/>
    <w:rsid w:val="0039491A"/>
    <w:rsid w:val="00395CDA"/>
    <w:rsid w:val="00395F48"/>
    <w:rsid w:val="00395FC2"/>
    <w:rsid w:val="0039631B"/>
    <w:rsid w:val="003963D2"/>
    <w:rsid w:val="00396C0D"/>
    <w:rsid w:val="00396CB4"/>
    <w:rsid w:val="003972ED"/>
    <w:rsid w:val="003978BB"/>
    <w:rsid w:val="00397C7C"/>
    <w:rsid w:val="00397EAD"/>
    <w:rsid w:val="003A0ECD"/>
    <w:rsid w:val="003A0FC3"/>
    <w:rsid w:val="003A11C7"/>
    <w:rsid w:val="003A14DD"/>
    <w:rsid w:val="003A1F43"/>
    <w:rsid w:val="003A252E"/>
    <w:rsid w:val="003A2CD8"/>
    <w:rsid w:val="003A2D83"/>
    <w:rsid w:val="003A3092"/>
    <w:rsid w:val="003A3243"/>
    <w:rsid w:val="003A3506"/>
    <w:rsid w:val="003A3610"/>
    <w:rsid w:val="003A40AC"/>
    <w:rsid w:val="003A48FF"/>
    <w:rsid w:val="003A5146"/>
    <w:rsid w:val="003A568E"/>
    <w:rsid w:val="003A5B97"/>
    <w:rsid w:val="003A5DBE"/>
    <w:rsid w:val="003A5EE8"/>
    <w:rsid w:val="003A638F"/>
    <w:rsid w:val="003A63FC"/>
    <w:rsid w:val="003A6BF7"/>
    <w:rsid w:val="003A75DE"/>
    <w:rsid w:val="003A7974"/>
    <w:rsid w:val="003A79D3"/>
    <w:rsid w:val="003A7AEE"/>
    <w:rsid w:val="003A7D49"/>
    <w:rsid w:val="003B0E29"/>
    <w:rsid w:val="003B1047"/>
    <w:rsid w:val="003B1989"/>
    <w:rsid w:val="003B22AA"/>
    <w:rsid w:val="003B246B"/>
    <w:rsid w:val="003B24B6"/>
    <w:rsid w:val="003B2A82"/>
    <w:rsid w:val="003B32FE"/>
    <w:rsid w:val="003B3745"/>
    <w:rsid w:val="003B4340"/>
    <w:rsid w:val="003B4518"/>
    <w:rsid w:val="003B4D20"/>
    <w:rsid w:val="003B50CB"/>
    <w:rsid w:val="003B515C"/>
    <w:rsid w:val="003B51FB"/>
    <w:rsid w:val="003B53C5"/>
    <w:rsid w:val="003B609D"/>
    <w:rsid w:val="003B6B73"/>
    <w:rsid w:val="003B728F"/>
    <w:rsid w:val="003B72A8"/>
    <w:rsid w:val="003B7637"/>
    <w:rsid w:val="003B79D3"/>
    <w:rsid w:val="003C0673"/>
    <w:rsid w:val="003C07C0"/>
    <w:rsid w:val="003C0ABC"/>
    <w:rsid w:val="003C0F2F"/>
    <w:rsid w:val="003C1061"/>
    <w:rsid w:val="003C18E5"/>
    <w:rsid w:val="003C1A9B"/>
    <w:rsid w:val="003C2472"/>
    <w:rsid w:val="003C29EE"/>
    <w:rsid w:val="003C2C2A"/>
    <w:rsid w:val="003C3B06"/>
    <w:rsid w:val="003C3DAF"/>
    <w:rsid w:val="003C4323"/>
    <w:rsid w:val="003C4695"/>
    <w:rsid w:val="003C4E35"/>
    <w:rsid w:val="003C53D2"/>
    <w:rsid w:val="003C65C1"/>
    <w:rsid w:val="003C6B1A"/>
    <w:rsid w:val="003C739D"/>
    <w:rsid w:val="003C73AA"/>
    <w:rsid w:val="003C7DBA"/>
    <w:rsid w:val="003D0567"/>
    <w:rsid w:val="003D0926"/>
    <w:rsid w:val="003D0BE9"/>
    <w:rsid w:val="003D1016"/>
    <w:rsid w:val="003D1115"/>
    <w:rsid w:val="003D135A"/>
    <w:rsid w:val="003D191C"/>
    <w:rsid w:val="003D1B0E"/>
    <w:rsid w:val="003D1B15"/>
    <w:rsid w:val="003D222D"/>
    <w:rsid w:val="003D27C8"/>
    <w:rsid w:val="003D2C7D"/>
    <w:rsid w:val="003D2F79"/>
    <w:rsid w:val="003D3768"/>
    <w:rsid w:val="003D3866"/>
    <w:rsid w:val="003D3999"/>
    <w:rsid w:val="003D3C3A"/>
    <w:rsid w:val="003D3C60"/>
    <w:rsid w:val="003D3F1C"/>
    <w:rsid w:val="003D3FDD"/>
    <w:rsid w:val="003D3FFC"/>
    <w:rsid w:val="003D4010"/>
    <w:rsid w:val="003D4072"/>
    <w:rsid w:val="003D40F4"/>
    <w:rsid w:val="003D427F"/>
    <w:rsid w:val="003D4411"/>
    <w:rsid w:val="003D48B3"/>
    <w:rsid w:val="003D494A"/>
    <w:rsid w:val="003D49F5"/>
    <w:rsid w:val="003D4CDA"/>
    <w:rsid w:val="003D5146"/>
    <w:rsid w:val="003D5EC8"/>
    <w:rsid w:val="003D5F71"/>
    <w:rsid w:val="003D6B02"/>
    <w:rsid w:val="003D767F"/>
    <w:rsid w:val="003D7801"/>
    <w:rsid w:val="003D7B12"/>
    <w:rsid w:val="003D7FE4"/>
    <w:rsid w:val="003E0155"/>
    <w:rsid w:val="003E04F5"/>
    <w:rsid w:val="003E05EA"/>
    <w:rsid w:val="003E07C2"/>
    <w:rsid w:val="003E0EB2"/>
    <w:rsid w:val="003E12E2"/>
    <w:rsid w:val="003E13D8"/>
    <w:rsid w:val="003E1E10"/>
    <w:rsid w:val="003E24B3"/>
    <w:rsid w:val="003E25B0"/>
    <w:rsid w:val="003E27EE"/>
    <w:rsid w:val="003E282A"/>
    <w:rsid w:val="003E2C08"/>
    <w:rsid w:val="003E31C8"/>
    <w:rsid w:val="003E3250"/>
    <w:rsid w:val="003E33E3"/>
    <w:rsid w:val="003E355C"/>
    <w:rsid w:val="003E388A"/>
    <w:rsid w:val="003E3E96"/>
    <w:rsid w:val="003E40E9"/>
    <w:rsid w:val="003E4E12"/>
    <w:rsid w:val="003E52C7"/>
    <w:rsid w:val="003E5444"/>
    <w:rsid w:val="003E5506"/>
    <w:rsid w:val="003E59D3"/>
    <w:rsid w:val="003E5FB9"/>
    <w:rsid w:val="003E6079"/>
    <w:rsid w:val="003E6114"/>
    <w:rsid w:val="003E6454"/>
    <w:rsid w:val="003E6484"/>
    <w:rsid w:val="003E6BB9"/>
    <w:rsid w:val="003E7334"/>
    <w:rsid w:val="003E74BE"/>
    <w:rsid w:val="003E79F7"/>
    <w:rsid w:val="003E7B48"/>
    <w:rsid w:val="003F0B18"/>
    <w:rsid w:val="003F0DAA"/>
    <w:rsid w:val="003F0EA6"/>
    <w:rsid w:val="003F0EE1"/>
    <w:rsid w:val="003F10AE"/>
    <w:rsid w:val="003F1598"/>
    <w:rsid w:val="003F1999"/>
    <w:rsid w:val="003F1A7E"/>
    <w:rsid w:val="003F1D6C"/>
    <w:rsid w:val="003F1DA1"/>
    <w:rsid w:val="003F1E07"/>
    <w:rsid w:val="003F2941"/>
    <w:rsid w:val="003F2981"/>
    <w:rsid w:val="003F2D5F"/>
    <w:rsid w:val="003F311C"/>
    <w:rsid w:val="003F32D3"/>
    <w:rsid w:val="003F34CB"/>
    <w:rsid w:val="003F352C"/>
    <w:rsid w:val="003F3804"/>
    <w:rsid w:val="003F399A"/>
    <w:rsid w:val="003F41C8"/>
    <w:rsid w:val="003F49F9"/>
    <w:rsid w:val="003F4A11"/>
    <w:rsid w:val="003F4B9F"/>
    <w:rsid w:val="003F4D1D"/>
    <w:rsid w:val="003F4F3A"/>
    <w:rsid w:val="003F56FA"/>
    <w:rsid w:val="003F5C64"/>
    <w:rsid w:val="003F60FA"/>
    <w:rsid w:val="003F6F7B"/>
    <w:rsid w:val="003F7E35"/>
    <w:rsid w:val="0040028C"/>
    <w:rsid w:val="00400484"/>
    <w:rsid w:val="004004EA"/>
    <w:rsid w:val="004015B1"/>
    <w:rsid w:val="004017BD"/>
    <w:rsid w:val="00401910"/>
    <w:rsid w:val="00401B51"/>
    <w:rsid w:val="00401BC3"/>
    <w:rsid w:val="00401C0E"/>
    <w:rsid w:val="004020D9"/>
    <w:rsid w:val="00402160"/>
    <w:rsid w:val="004028A1"/>
    <w:rsid w:val="00402DD8"/>
    <w:rsid w:val="004030C7"/>
    <w:rsid w:val="00403247"/>
    <w:rsid w:val="004032FE"/>
    <w:rsid w:val="00403A6A"/>
    <w:rsid w:val="00403DD1"/>
    <w:rsid w:val="00403F58"/>
    <w:rsid w:val="00404207"/>
    <w:rsid w:val="00405245"/>
    <w:rsid w:val="00405620"/>
    <w:rsid w:val="004057C4"/>
    <w:rsid w:val="00405ECB"/>
    <w:rsid w:val="00405EFC"/>
    <w:rsid w:val="004062D8"/>
    <w:rsid w:val="004063D6"/>
    <w:rsid w:val="0040640B"/>
    <w:rsid w:val="004067A5"/>
    <w:rsid w:val="00406A3F"/>
    <w:rsid w:val="00406E3F"/>
    <w:rsid w:val="00407090"/>
    <w:rsid w:val="00407A9C"/>
    <w:rsid w:val="0041032F"/>
    <w:rsid w:val="00410FE6"/>
    <w:rsid w:val="004117B0"/>
    <w:rsid w:val="0041183E"/>
    <w:rsid w:val="0041184D"/>
    <w:rsid w:val="00411DB7"/>
    <w:rsid w:val="00412634"/>
    <w:rsid w:val="00412A15"/>
    <w:rsid w:val="00412FE9"/>
    <w:rsid w:val="00413536"/>
    <w:rsid w:val="00413C57"/>
    <w:rsid w:val="00413D60"/>
    <w:rsid w:val="00413E38"/>
    <w:rsid w:val="00414108"/>
    <w:rsid w:val="0041463E"/>
    <w:rsid w:val="00414950"/>
    <w:rsid w:val="004150AA"/>
    <w:rsid w:val="004156C7"/>
    <w:rsid w:val="004156DE"/>
    <w:rsid w:val="00415A21"/>
    <w:rsid w:val="00415A28"/>
    <w:rsid w:val="004160FA"/>
    <w:rsid w:val="00416147"/>
    <w:rsid w:val="004171A8"/>
    <w:rsid w:val="004171B9"/>
    <w:rsid w:val="004171CC"/>
    <w:rsid w:val="00417339"/>
    <w:rsid w:val="00417465"/>
    <w:rsid w:val="00417601"/>
    <w:rsid w:val="00420551"/>
    <w:rsid w:val="004208D2"/>
    <w:rsid w:val="00420E46"/>
    <w:rsid w:val="00420F7F"/>
    <w:rsid w:val="0042149F"/>
    <w:rsid w:val="004216B6"/>
    <w:rsid w:val="0042237F"/>
    <w:rsid w:val="00422654"/>
    <w:rsid w:val="00423032"/>
    <w:rsid w:val="00423261"/>
    <w:rsid w:val="00423352"/>
    <w:rsid w:val="004235DF"/>
    <w:rsid w:val="00423609"/>
    <w:rsid w:val="00423DAB"/>
    <w:rsid w:val="0042401F"/>
    <w:rsid w:val="004246C7"/>
    <w:rsid w:val="004248B2"/>
    <w:rsid w:val="00424FCD"/>
    <w:rsid w:val="00425220"/>
    <w:rsid w:val="00425419"/>
    <w:rsid w:val="004254B7"/>
    <w:rsid w:val="004258BE"/>
    <w:rsid w:val="00425D43"/>
    <w:rsid w:val="00425DBA"/>
    <w:rsid w:val="004261FE"/>
    <w:rsid w:val="00426AD8"/>
    <w:rsid w:val="0042799B"/>
    <w:rsid w:val="00427B3F"/>
    <w:rsid w:val="00427E83"/>
    <w:rsid w:val="004308E8"/>
    <w:rsid w:val="00430EDB"/>
    <w:rsid w:val="004310B9"/>
    <w:rsid w:val="0043167F"/>
    <w:rsid w:val="004316F9"/>
    <w:rsid w:val="00431D6A"/>
    <w:rsid w:val="00431E3F"/>
    <w:rsid w:val="0043236F"/>
    <w:rsid w:val="0043271D"/>
    <w:rsid w:val="00432E87"/>
    <w:rsid w:val="00432EB0"/>
    <w:rsid w:val="00433321"/>
    <w:rsid w:val="00433C7D"/>
    <w:rsid w:val="0043410D"/>
    <w:rsid w:val="0043460F"/>
    <w:rsid w:val="00434733"/>
    <w:rsid w:val="00434AA4"/>
    <w:rsid w:val="00434F8B"/>
    <w:rsid w:val="004352E5"/>
    <w:rsid w:val="004354DD"/>
    <w:rsid w:val="00435900"/>
    <w:rsid w:val="00435D1C"/>
    <w:rsid w:val="00435E38"/>
    <w:rsid w:val="004365CC"/>
    <w:rsid w:val="004369A9"/>
    <w:rsid w:val="00436F82"/>
    <w:rsid w:val="004370CC"/>
    <w:rsid w:val="00437368"/>
    <w:rsid w:val="00437ADE"/>
    <w:rsid w:val="004401F5"/>
    <w:rsid w:val="004406DC"/>
    <w:rsid w:val="00440D45"/>
    <w:rsid w:val="00440EA5"/>
    <w:rsid w:val="00441281"/>
    <w:rsid w:val="004415BF"/>
    <w:rsid w:val="00441894"/>
    <w:rsid w:val="004418B6"/>
    <w:rsid w:val="00441D6C"/>
    <w:rsid w:val="00441FA1"/>
    <w:rsid w:val="004420B2"/>
    <w:rsid w:val="0044217D"/>
    <w:rsid w:val="004422FE"/>
    <w:rsid w:val="00442DE0"/>
    <w:rsid w:val="00443389"/>
    <w:rsid w:val="00443479"/>
    <w:rsid w:val="00443511"/>
    <w:rsid w:val="0044353A"/>
    <w:rsid w:val="00443602"/>
    <w:rsid w:val="004436AE"/>
    <w:rsid w:val="00443800"/>
    <w:rsid w:val="004438EF"/>
    <w:rsid w:val="00443F66"/>
    <w:rsid w:val="0044404A"/>
    <w:rsid w:val="0044427A"/>
    <w:rsid w:val="004443AB"/>
    <w:rsid w:val="004443B3"/>
    <w:rsid w:val="00444EE7"/>
    <w:rsid w:val="00445277"/>
    <w:rsid w:val="00445DBE"/>
    <w:rsid w:val="00446340"/>
    <w:rsid w:val="00446996"/>
    <w:rsid w:val="00446CF2"/>
    <w:rsid w:val="0044789A"/>
    <w:rsid w:val="00450406"/>
    <w:rsid w:val="00450596"/>
    <w:rsid w:val="004507CA"/>
    <w:rsid w:val="004525B5"/>
    <w:rsid w:val="00452B9E"/>
    <w:rsid w:val="00453232"/>
    <w:rsid w:val="004534EF"/>
    <w:rsid w:val="00453D0D"/>
    <w:rsid w:val="004540A4"/>
    <w:rsid w:val="004542BA"/>
    <w:rsid w:val="0045477B"/>
    <w:rsid w:val="004547A2"/>
    <w:rsid w:val="00454CFD"/>
    <w:rsid w:val="004551A1"/>
    <w:rsid w:val="00455286"/>
    <w:rsid w:val="00455291"/>
    <w:rsid w:val="0045529E"/>
    <w:rsid w:val="004558CA"/>
    <w:rsid w:val="00455AA8"/>
    <w:rsid w:val="00455D0C"/>
    <w:rsid w:val="00455F73"/>
    <w:rsid w:val="00456360"/>
    <w:rsid w:val="0045648B"/>
    <w:rsid w:val="00456AB5"/>
    <w:rsid w:val="004570CF"/>
    <w:rsid w:val="0045766E"/>
    <w:rsid w:val="00457A9A"/>
    <w:rsid w:val="00457B31"/>
    <w:rsid w:val="00460048"/>
    <w:rsid w:val="004603BF"/>
    <w:rsid w:val="00460D91"/>
    <w:rsid w:val="004610D2"/>
    <w:rsid w:val="00461376"/>
    <w:rsid w:val="00461CF6"/>
    <w:rsid w:val="00461E69"/>
    <w:rsid w:val="00461FB4"/>
    <w:rsid w:val="00462291"/>
    <w:rsid w:val="004626A9"/>
    <w:rsid w:val="00462A4B"/>
    <w:rsid w:val="00462B82"/>
    <w:rsid w:val="00462DE2"/>
    <w:rsid w:val="00462FF3"/>
    <w:rsid w:val="004630EF"/>
    <w:rsid w:val="004630F6"/>
    <w:rsid w:val="004633CE"/>
    <w:rsid w:val="00463408"/>
    <w:rsid w:val="00463B52"/>
    <w:rsid w:val="00463E1F"/>
    <w:rsid w:val="004641EA"/>
    <w:rsid w:val="004646EA"/>
    <w:rsid w:val="0046526D"/>
    <w:rsid w:val="00465752"/>
    <w:rsid w:val="004662D1"/>
    <w:rsid w:val="00466575"/>
    <w:rsid w:val="00467222"/>
    <w:rsid w:val="004676C8"/>
    <w:rsid w:val="00467BFE"/>
    <w:rsid w:val="0047022D"/>
    <w:rsid w:val="004703EC"/>
    <w:rsid w:val="004712CF"/>
    <w:rsid w:val="00472390"/>
    <w:rsid w:val="004723EE"/>
    <w:rsid w:val="004727FA"/>
    <w:rsid w:val="0047316A"/>
    <w:rsid w:val="004732A1"/>
    <w:rsid w:val="004748D1"/>
    <w:rsid w:val="00475EE0"/>
    <w:rsid w:val="004761C5"/>
    <w:rsid w:val="00476EEE"/>
    <w:rsid w:val="00477993"/>
    <w:rsid w:val="00477B57"/>
    <w:rsid w:val="00477F08"/>
    <w:rsid w:val="00477F1F"/>
    <w:rsid w:val="00480C20"/>
    <w:rsid w:val="00480C62"/>
    <w:rsid w:val="00480E0D"/>
    <w:rsid w:val="004818FF"/>
    <w:rsid w:val="00482199"/>
    <w:rsid w:val="0048250F"/>
    <w:rsid w:val="004829A7"/>
    <w:rsid w:val="00482A66"/>
    <w:rsid w:val="00482D01"/>
    <w:rsid w:val="004831D8"/>
    <w:rsid w:val="00483202"/>
    <w:rsid w:val="004833B4"/>
    <w:rsid w:val="00483613"/>
    <w:rsid w:val="00483630"/>
    <w:rsid w:val="004836F8"/>
    <w:rsid w:val="004837F1"/>
    <w:rsid w:val="00483A60"/>
    <w:rsid w:val="00483B57"/>
    <w:rsid w:val="0048404E"/>
    <w:rsid w:val="00484269"/>
    <w:rsid w:val="00484FB2"/>
    <w:rsid w:val="00485127"/>
    <w:rsid w:val="0048528B"/>
    <w:rsid w:val="00485455"/>
    <w:rsid w:val="00485AED"/>
    <w:rsid w:val="00485C12"/>
    <w:rsid w:val="00486123"/>
    <w:rsid w:val="00486823"/>
    <w:rsid w:val="00486C12"/>
    <w:rsid w:val="00486CC4"/>
    <w:rsid w:val="00486DCE"/>
    <w:rsid w:val="00486DDD"/>
    <w:rsid w:val="00486E71"/>
    <w:rsid w:val="0048792C"/>
    <w:rsid w:val="004879EC"/>
    <w:rsid w:val="00487A3A"/>
    <w:rsid w:val="00487FC4"/>
    <w:rsid w:val="0049031F"/>
    <w:rsid w:val="00490350"/>
    <w:rsid w:val="004909CB"/>
    <w:rsid w:val="004910B4"/>
    <w:rsid w:val="00491185"/>
    <w:rsid w:val="00491269"/>
    <w:rsid w:val="0049151B"/>
    <w:rsid w:val="00491775"/>
    <w:rsid w:val="00491B27"/>
    <w:rsid w:val="00491C3F"/>
    <w:rsid w:val="00492B9B"/>
    <w:rsid w:val="00492BF0"/>
    <w:rsid w:val="00492C5F"/>
    <w:rsid w:val="00492D41"/>
    <w:rsid w:val="00493332"/>
    <w:rsid w:val="004939A7"/>
    <w:rsid w:val="00493C7F"/>
    <w:rsid w:val="00493F1E"/>
    <w:rsid w:val="00494112"/>
    <w:rsid w:val="004942C7"/>
    <w:rsid w:val="004947A7"/>
    <w:rsid w:val="004947B3"/>
    <w:rsid w:val="00494989"/>
    <w:rsid w:val="004950AF"/>
    <w:rsid w:val="004950CA"/>
    <w:rsid w:val="004950D5"/>
    <w:rsid w:val="004952F5"/>
    <w:rsid w:val="00495701"/>
    <w:rsid w:val="0049594B"/>
    <w:rsid w:val="00495C21"/>
    <w:rsid w:val="00496359"/>
    <w:rsid w:val="00496464"/>
    <w:rsid w:val="004968CA"/>
    <w:rsid w:val="00496FF6"/>
    <w:rsid w:val="004972EE"/>
    <w:rsid w:val="00497B6E"/>
    <w:rsid w:val="004A063E"/>
    <w:rsid w:val="004A0AC0"/>
    <w:rsid w:val="004A0C19"/>
    <w:rsid w:val="004A0C76"/>
    <w:rsid w:val="004A1526"/>
    <w:rsid w:val="004A1CA5"/>
    <w:rsid w:val="004A1D72"/>
    <w:rsid w:val="004A1DD7"/>
    <w:rsid w:val="004A2434"/>
    <w:rsid w:val="004A2B86"/>
    <w:rsid w:val="004A2F7E"/>
    <w:rsid w:val="004A323E"/>
    <w:rsid w:val="004A33F5"/>
    <w:rsid w:val="004A36F7"/>
    <w:rsid w:val="004A3A73"/>
    <w:rsid w:val="004A3C8A"/>
    <w:rsid w:val="004A3F4F"/>
    <w:rsid w:val="004A410A"/>
    <w:rsid w:val="004A42D7"/>
    <w:rsid w:val="004A4657"/>
    <w:rsid w:val="004A48C9"/>
    <w:rsid w:val="004A524A"/>
    <w:rsid w:val="004A5347"/>
    <w:rsid w:val="004A541F"/>
    <w:rsid w:val="004A5A1A"/>
    <w:rsid w:val="004A5C6D"/>
    <w:rsid w:val="004A5C70"/>
    <w:rsid w:val="004A62DE"/>
    <w:rsid w:val="004A670C"/>
    <w:rsid w:val="004A6B49"/>
    <w:rsid w:val="004A700A"/>
    <w:rsid w:val="004A7069"/>
    <w:rsid w:val="004A7521"/>
    <w:rsid w:val="004A758F"/>
    <w:rsid w:val="004A7590"/>
    <w:rsid w:val="004B02EC"/>
    <w:rsid w:val="004B050F"/>
    <w:rsid w:val="004B0524"/>
    <w:rsid w:val="004B059B"/>
    <w:rsid w:val="004B063A"/>
    <w:rsid w:val="004B0EEA"/>
    <w:rsid w:val="004B0EF7"/>
    <w:rsid w:val="004B1063"/>
    <w:rsid w:val="004B107F"/>
    <w:rsid w:val="004B12F6"/>
    <w:rsid w:val="004B15B2"/>
    <w:rsid w:val="004B1E38"/>
    <w:rsid w:val="004B22BE"/>
    <w:rsid w:val="004B25E6"/>
    <w:rsid w:val="004B2DFC"/>
    <w:rsid w:val="004B311D"/>
    <w:rsid w:val="004B3B0D"/>
    <w:rsid w:val="004B45AA"/>
    <w:rsid w:val="004B4B3C"/>
    <w:rsid w:val="004B4C89"/>
    <w:rsid w:val="004B4CE2"/>
    <w:rsid w:val="004B4D1C"/>
    <w:rsid w:val="004B52A6"/>
    <w:rsid w:val="004B5516"/>
    <w:rsid w:val="004B579E"/>
    <w:rsid w:val="004B5A69"/>
    <w:rsid w:val="004B7884"/>
    <w:rsid w:val="004B78FA"/>
    <w:rsid w:val="004B7BB4"/>
    <w:rsid w:val="004C0B0E"/>
    <w:rsid w:val="004C0BEE"/>
    <w:rsid w:val="004C0F11"/>
    <w:rsid w:val="004C1125"/>
    <w:rsid w:val="004C18C5"/>
    <w:rsid w:val="004C19E8"/>
    <w:rsid w:val="004C209E"/>
    <w:rsid w:val="004C268B"/>
    <w:rsid w:val="004C4036"/>
    <w:rsid w:val="004C4610"/>
    <w:rsid w:val="004C514C"/>
    <w:rsid w:val="004C52C4"/>
    <w:rsid w:val="004C5660"/>
    <w:rsid w:val="004C592F"/>
    <w:rsid w:val="004C66BE"/>
    <w:rsid w:val="004C6EB6"/>
    <w:rsid w:val="004C7799"/>
    <w:rsid w:val="004C7DE2"/>
    <w:rsid w:val="004C7F4B"/>
    <w:rsid w:val="004D043B"/>
    <w:rsid w:val="004D0B03"/>
    <w:rsid w:val="004D0D6F"/>
    <w:rsid w:val="004D0DF1"/>
    <w:rsid w:val="004D148A"/>
    <w:rsid w:val="004D19E5"/>
    <w:rsid w:val="004D1CBC"/>
    <w:rsid w:val="004D1CD9"/>
    <w:rsid w:val="004D2668"/>
    <w:rsid w:val="004D26CF"/>
    <w:rsid w:val="004D2D21"/>
    <w:rsid w:val="004D3366"/>
    <w:rsid w:val="004D3473"/>
    <w:rsid w:val="004D3769"/>
    <w:rsid w:val="004D3880"/>
    <w:rsid w:val="004D45B1"/>
    <w:rsid w:val="004D5194"/>
    <w:rsid w:val="004D524A"/>
    <w:rsid w:val="004D54AA"/>
    <w:rsid w:val="004D586E"/>
    <w:rsid w:val="004D5A71"/>
    <w:rsid w:val="004D5B6B"/>
    <w:rsid w:val="004D5E5B"/>
    <w:rsid w:val="004D689F"/>
    <w:rsid w:val="004D6CDB"/>
    <w:rsid w:val="004D7171"/>
    <w:rsid w:val="004D72BE"/>
    <w:rsid w:val="004D7425"/>
    <w:rsid w:val="004D7C09"/>
    <w:rsid w:val="004E05E9"/>
    <w:rsid w:val="004E078C"/>
    <w:rsid w:val="004E0BA9"/>
    <w:rsid w:val="004E14B9"/>
    <w:rsid w:val="004E14F9"/>
    <w:rsid w:val="004E166C"/>
    <w:rsid w:val="004E17AD"/>
    <w:rsid w:val="004E1910"/>
    <w:rsid w:val="004E1E67"/>
    <w:rsid w:val="004E2652"/>
    <w:rsid w:val="004E2C9F"/>
    <w:rsid w:val="004E2FE8"/>
    <w:rsid w:val="004E32D4"/>
    <w:rsid w:val="004E4356"/>
    <w:rsid w:val="004E4401"/>
    <w:rsid w:val="004E4DC2"/>
    <w:rsid w:val="004E5AA2"/>
    <w:rsid w:val="004E5DF0"/>
    <w:rsid w:val="004E6BB1"/>
    <w:rsid w:val="004E73ED"/>
    <w:rsid w:val="004E7F91"/>
    <w:rsid w:val="004F0055"/>
    <w:rsid w:val="004F096F"/>
    <w:rsid w:val="004F0AC3"/>
    <w:rsid w:val="004F0E0B"/>
    <w:rsid w:val="004F1960"/>
    <w:rsid w:val="004F1DD0"/>
    <w:rsid w:val="004F1F89"/>
    <w:rsid w:val="004F2587"/>
    <w:rsid w:val="004F2DDD"/>
    <w:rsid w:val="004F303F"/>
    <w:rsid w:val="004F3263"/>
    <w:rsid w:val="004F32AC"/>
    <w:rsid w:val="004F33D1"/>
    <w:rsid w:val="004F3414"/>
    <w:rsid w:val="004F4878"/>
    <w:rsid w:val="004F5E04"/>
    <w:rsid w:val="004F6060"/>
    <w:rsid w:val="004F61EF"/>
    <w:rsid w:val="004F61F6"/>
    <w:rsid w:val="004F69C0"/>
    <w:rsid w:val="004F713B"/>
    <w:rsid w:val="004F718A"/>
    <w:rsid w:val="004F747B"/>
    <w:rsid w:val="004F770B"/>
    <w:rsid w:val="004F78A7"/>
    <w:rsid w:val="004F7C3F"/>
    <w:rsid w:val="00500142"/>
    <w:rsid w:val="005002A5"/>
    <w:rsid w:val="0050053B"/>
    <w:rsid w:val="00500A0A"/>
    <w:rsid w:val="00500D9A"/>
    <w:rsid w:val="005011E6"/>
    <w:rsid w:val="00501FE5"/>
    <w:rsid w:val="005021A3"/>
    <w:rsid w:val="005028FD"/>
    <w:rsid w:val="00502AE6"/>
    <w:rsid w:val="005031D1"/>
    <w:rsid w:val="005035A1"/>
    <w:rsid w:val="00503672"/>
    <w:rsid w:val="005039FD"/>
    <w:rsid w:val="00504026"/>
    <w:rsid w:val="0050434C"/>
    <w:rsid w:val="00504BD3"/>
    <w:rsid w:val="00504E0C"/>
    <w:rsid w:val="00504F57"/>
    <w:rsid w:val="0050506D"/>
    <w:rsid w:val="0050543E"/>
    <w:rsid w:val="0050566E"/>
    <w:rsid w:val="00505739"/>
    <w:rsid w:val="00505FF2"/>
    <w:rsid w:val="005060C5"/>
    <w:rsid w:val="005063BD"/>
    <w:rsid w:val="00506513"/>
    <w:rsid w:val="00506549"/>
    <w:rsid w:val="005074DE"/>
    <w:rsid w:val="00507C75"/>
    <w:rsid w:val="00507D07"/>
    <w:rsid w:val="00507E00"/>
    <w:rsid w:val="0051010D"/>
    <w:rsid w:val="00510151"/>
    <w:rsid w:val="00510378"/>
    <w:rsid w:val="00510CAD"/>
    <w:rsid w:val="00510D40"/>
    <w:rsid w:val="00510D5A"/>
    <w:rsid w:val="00511555"/>
    <w:rsid w:val="00511AFB"/>
    <w:rsid w:val="00511EC0"/>
    <w:rsid w:val="0051203E"/>
    <w:rsid w:val="00512508"/>
    <w:rsid w:val="005128FC"/>
    <w:rsid w:val="00512923"/>
    <w:rsid w:val="005136E1"/>
    <w:rsid w:val="00514BDC"/>
    <w:rsid w:val="00515204"/>
    <w:rsid w:val="005153E4"/>
    <w:rsid w:val="005158CE"/>
    <w:rsid w:val="00515C48"/>
    <w:rsid w:val="005163AB"/>
    <w:rsid w:val="00516529"/>
    <w:rsid w:val="00516669"/>
    <w:rsid w:val="00516B47"/>
    <w:rsid w:val="00516E9A"/>
    <w:rsid w:val="0051717B"/>
    <w:rsid w:val="0051741A"/>
    <w:rsid w:val="00517BDE"/>
    <w:rsid w:val="00517D06"/>
    <w:rsid w:val="005204A7"/>
    <w:rsid w:val="0052055F"/>
    <w:rsid w:val="005205B7"/>
    <w:rsid w:val="00520632"/>
    <w:rsid w:val="005206D6"/>
    <w:rsid w:val="00520B6E"/>
    <w:rsid w:val="00520BAA"/>
    <w:rsid w:val="00520D36"/>
    <w:rsid w:val="00521068"/>
    <w:rsid w:val="0052119F"/>
    <w:rsid w:val="00521202"/>
    <w:rsid w:val="00521842"/>
    <w:rsid w:val="00521905"/>
    <w:rsid w:val="005219C3"/>
    <w:rsid w:val="00521BA5"/>
    <w:rsid w:val="00521DEF"/>
    <w:rsid w:val="00522116"/>
    <w:rsid w:val="00522482"/>
    <w:rsid w:val="0052285F"/>
    <w:rsid w:val="005228B0"/>
    <w:rsid w:val="00522FEF"/>
    <w:rsid w:val="0052317A"/>
    <w:rsid w:val="005233A5"/>
    <w:rsid w:val="005235B3"/>
    <w:rsid w:val="00524BE7"/>
    <w:rsid w:val="00524F2E"/>
    <w:rsid w:val="0052538E"/>
    <w:rsid w:val="00525447"/>
    <w:rsid w:val="005257B2"/>
    <w:rsid w:val="00525DD9"/>
    <w:rsid w:val="00525EB6"/>
    <w:rsid w:val="00526006"/>
    <w:rsid w:val="0052630D"/>
    <w:rsid w:val="0052685E"/>
    <w:rsid w:val="00526AB0"/>
    <w:rsid w:val="0052702E"/>
    <w:rsid w:val="00527031"/>
    <w:rsid w:val="00527257"/>
    <w:rsid w:val="00527272"/>
    <w:rsid w:val="00527645"/>
    <w:rsid w:val="0052782E"/>
    <w:rsid w:val="00527A2E"/>
    <w:rsid w:val="005300A0"/>
    <w:rsid w:val="0053077F"/>
    <w:rsid w:val="005308F7"/>
    <w:rsid w:val="00530B94"/>
    <w:rsid w:val="00530DB6"/>
    <w:rsid w:val="00531126"/>
    <w:rsid w:val="00531B86"/>
    <w:rsid w:val="00531D30"/>
    <w:rsid w:val="005326FB"/>
    <w:rsid w:val="00532B0D"/>
    <w:rsid w:val="00532C22"/>
    <w:rsid w:val="00532D30"/>
    <w:rsid w:val="00532DDD"/>
    <w:rsid w:val="00533070"/>
    <w:rsid w:val="0053326C"/>
    <w:rsid w:val="0053385E"/>
    <w:rsid w:val="005338AD"/>
    <w:rsid w:val="00533E37"/>
    <w:rsid w:val="005340EC"/>
    <w:rsid w:val="005346E5"/>
    <w:rsid w:val="00534C87"/>
    <w:rsid w:val="005350B7"/>
    <w:rsid w:val="005356D2"/>
    <w:rsid w:val="00535D5C"/>
    <w:rsid w:val="0053619C"/>
    <w:rsid w:val="00536556"/>
    <w:rsid w:val="005366DF"/>
    <w:rsid w:val="00536EA9"/>
    <w:rsid w:val="00537113"/>
    <w:rsid w:val="00537486"/>
    <w:rsid w:val="005376C7"/>
    <w:rsid w:val="00537BA0"/>
    <w:rsid w:val="00537FC5"/>
    <w:rsid w:val="00540215"/>
    <w:rsid w:val="0054021D"/>
    <w:rsid w:val="00540937"/>
    <w:rsid w:val="00540FFE"/>
    <w:rsid w:val="005415B4"/>
    <w:rsid w:val="00541A85"/>
    <w:rsid w:val="005420EF"/>
    <w:rsid w:val="00542E20"/>
    <w:rsid w:val="00542F8A"/>
    <w:rsid w:val="0054332E"/>
    <w:rsid w:val="00543370"/>
    <w:rsid w:val="0054354D"/>
    <w:rsid w:val="0054359F"/>
    <w:rsid w:val="0054393E"/>
    <w:rsid w:val="00543C8B"/>
    <w:rsid w:val="00543D55"/>
    <w:rsid w:val="00544050"/>
    <w:rsid w:val="00544057"/>
    <w:rsid w:val="0054411C"/>
    <w:rsid w:val="005446FC"/>
    <w:rsid w:val="00544BA8"/>
    <w:rsid w:val="005456CD"/>
    <w:rsid w:val="005459BF"/>
    <w:rsid w:val="00545B68"/>
    <w:rsid w:val="00546D6E"/>
    <w:rsid w:val="00547CFF"/>
    <w:rsid w:val="005500E1"/>
    <w:rsid w:val="00550301"/>
    <w:rsid w:val="00550B03"/>
    <w:rsid w:val="00550C3D"/>
    <w:rsid w:val="00550C99"/>
    <w:rsid w:val="00550D93"/>
    <w:rsid w:val="00551E06"/>
    <w:rsid w:val="00551E86"/>
    <w:rsid w:val="0055258B"/>
    <w:rsid w:val="00552B75"/>
    <w:rsid w:val="0055336E"/>
    <w:rsid w:val="00553590"/>
    <w:rsid w:val="00553A68"/>
    <w:rsid w:val="00553B90"/>
    <w:rsid w:val="00553C96"/>
    <w:rsid w:val="00553FE4"/>
    <w:rsid w:val="0055423B"/>
    <w:rsid w:val="00554694"/>
    <w:rsid w:val="00554785"/>
    <w:rsid w:val="005548C8"/>
    <w:rsid w:val="00554E44"/>
    <w:rsid w:val="00555963"/>
    <w:rsid w:val="00556112"/>
    <w:rsid w:val="0055621B"/>
    <w:rsid w:val="005567D8"/>
    <w:rsid w:val="00556AFD"/>
    <w:rsid w:val="00557A2F"/>
    <w:rsid w:val="0056019D"/>
    <w:rsid w:val="0056038E"/>
    <w:rsid w:val="005606F2"/>
    <w:rsid w:val="00560F80"/>
    <w:rsid w:val="00561B64"/>
    <w:rsid w:val="00561E93"/>
    <w:rsid w:val="005625CF"/>
    <w:rsid w:val="00562A9C"/>
    <w:rsid w:val="00562AA1"/>
    <w:rsid w:val="00562AD8"/>
    <w:rsid w:val="00562F90"/>
    <w:rsid w:val="005638E8"/>
    <w:rsid w:val="00563E52"/>
    <w:rsid w:val="00564902"/>
    <w:rsid w:val="00564CC7"/>
    <w:rsid w:val="005650BE"/>
    <w:rsid w:val="0056551F"/>
    <w:rsid w:val="005668C0"/>
    <w:rsid w:val="00566B17"/>
    <w:rsid w:val="00566B2C"/>
    <w:rsid w:val="00567957"/>
    <w:rsid w:val="00570058"/>
    <w:rsid w:val="00570660"/>
    <w:rsid w:val="005707B8"/>
    <w:rsid w:val="00570E7D"/>
    <w:rsid w:val="0057107F"/>
    <w:rsid w:val="00571482"/>
    <w:rsid w:val="00571FDA"/>
    <w:rsid w:val="00572FFB"/>
    <w:rsid w:val="005732EF"/>
    <w:rsid w:val="0057385E"/>
    <w:rsid w:val="0057398E"/>
    <w:rsid w:val="00573D74"/>
    <w:rsid w:val="0057463F"/>
    <w:rsid w:val="00574738"/>
    <w:rsid w:val="00574744"/>
    <w:rsid w:val="00574796"/>
    <w:rsid w:val="00574ABC"/>
    <w:rsid w:val="00574D09"/>
    <w:rsid w:val="00574F1F"/>
    <w:rsid w:val="00575842"/>
    <w:rsid w:val="00575920"/>
    <w:rsid w:val="0057605A"/>
    <w:rsid w:val="005760EF"/>
    <w:rsid w:val="005763D1"/>
    <w:rsid w:val="00576663"/>
    <w:rsid w:val="00576797"/>
    <w:rsid w:val="00576944"/>
    <w:rsid w:val="005771D7"/>
    <w:rsid w:val="00577B0E"/>
    <w:rsid w:val="00577C71"/>
    <w:rsid w:val="00580A2B"/>
    <w:rsid w:val="00580E75"/>
    <w:rsid w:val="00581003"/>
    <w:rsid w:val="005810E4"/>
    <w:rsid w:val="00581111"/>
    <w:rsid w:val="0058117F"/>
    <w:rsid w:val="00581731"/>
    <w:rsid w:val="00581D57"/>
    <w:rsid w:val="00583DEC"/>
    <w:rsid w:val="0058406A"/>
    <w:rsid w:val="005841A5"/>
    <w:rsid w:val="0058492D"/>
    <w:rsid w:val="005852F4"/>
    <w:rsid w:val="0058556F"/>
    <w:rsid w:val="00585635"/>
    <w:rsid w:val="00585DE4"/>
    <w:rsid w:val="00585E73"/>
    <w:rsid w:val="00585F11"/>
    <w:rsid w:val="00586556"/>
    <w:rsid w:val="0058733E"/>
    <w:rsid w:val="0059016B"/>
    <w:rsid w:val="00590DA8"/>
    <w:rsid w:val="005911FE"/>
    <w:rsid w:val="005913D9"/>
    <w:rsid w:val="005918E5"/>
    <w:rsid w:val="00591F82"/>
    <w:rsid w:val="00592EA2"/>
    <w:rsid w:val="005935CC"/>
    <w:rsid w:val="00594084"/>
    <w:rsid w:val="0059416C"/>
    <w:rsid w:val="00594618"/>
    <w:rsid w:val="005947B7"/>
    <w:rsid w:val="00595C6C"/>
    <w:rsid w:val="00595CA7"/>
    <w:rsid w:val="00595D24"/>
    <w:rsid w:val="00595DB0"/>
    <w:rsid w:val="00595F4D"/>
    <w:rsid w:val="005961D9"/>
    <w:rsid w:val="00596415"/>
    <w:rsid w:val="00596573"/>
    <w:rsid w:val="00596E52"/>
    <w:rsid w:val="00597005"/>
    <w:rsid w:val="00597951"/>
    <w:rsid w:val="00597B3D"/>
    <w:rsid w:val="00597DDC"/>
    <w:rsid w:val="005A0168"/>
    <w:rsid w:val="005A0243"/>
    <w:rsid w:val="005A03F9"/>
    <w:rsid w:val="005A0DA5"/>
    <w:rsid w:val="005A0DFF"/>
    <w:rsid w:val="005A158A"/>
    <w:rsid w:val="005A17B0"/>
    <w:rsid w:val="005A1A65"/>
    <w:rsid w:val="005A1F4E"/>
    <w:rsid w:val="005A2070"/>
    <w:rsid w:val="005A2422"/>
    <w:rsid w:val="005A2941"/>
    <w:rsid w:val="005A3201"/>
    <w:rsid w:val="005A33E6"/>
    <w:rsid w:val="005A351B"/>
    <w:rsid w:val="005A3746"/>
    <w:rsid w:val="005A3D14"/>
    <w:rsid w:val="005A3DB8"/>
    <w:rsid w:val="005A3DC3"/>
    <w:rsid w:val="005A426A"/>
    <w:rsid w:val="005A4B14"/>
    <w:rsid w:val="005A586D"/>
    <w:rsid w:val="005A5D2F"/>
    <w:rsid w:val="005A5D7A"/>
    <w:rsid w:val="005A629D"/>
    <w:rsid w:val="005A63BF"/>
    <w:rsid w:val="005A6D96"/>
    <w:rsid w:val="005A720B"/>
    <w:rsid w:val="005A72D7"/>
    <w:rsid w:val="005A7740"/>
    <w:rsid w:val="005A7889"/>
    <w:rsid w:val="005A7A5F"/>
    <w:rsid w:val="005B00F2"/>
    <w:rsid w:val="005B0B4A"/>
    <w:rsid w:val="005B0DCB"/>
    <w:rsid w:val="005B13CE"/>
    <w:rsid w:val="005B24A4"/>
    <w:rsid w:val="005B3AFE"/>
    <w:rsid w:val="005B49C5"/>
    <w:rsid w:val="005B4DF5"/>
    <w:rsid w:val="005B509D"/>
    <w:rsid w:val="005B5229"/>
    <w:rsid w:val="005B5544"/>
    <w:rsid w:val="005B677F"/>
    <w:rsid w:val="005B6A95"/>
    <w:rsid w:val="005B6AFD"/>
    <w:rsid w:val="005B6B82"/>
    <w:rsid w:val="005B6C13"/>
    <w:rsid w:val="005B6ED4"/>
    <w:rsid w:val="005B748E"/>
    <w:rsid w:val="005B7664"/>
    <w:rsid w:val="005B7C65"/>
    <w:rsid w:val="005B7DB2"/>
    <w:rsid w:val="005B7EEF"/>
    <w:rsid w:val="005B7F92"/>
    <w:rsid w:val="005C0413"/>
    <w:rsid w:val="005C060A"/>
    <w:rsid w:val="005C0EA6"/>
    <w:rsid w:val="005C1340"/>
    <w:rsid w:val="005C15D2"/>
    <w:rsid w:val="005C28CF"/>
    <w:rsid w:val="005C2B49"/>
    <w:rsid w:val="005C2BBC"/>
    <w:rsid w:val="005C2E0A"/>
    <w:rsid w:val="005C30A6"/>
    <w:rsid w:val="005C3887"/>
    <w:rsid w:val="005C38CE"/>
    <w:rsid w:val="005C3ACE"/>
    <w:rsid w:val="005C3D06"/>
    <w:rsid w:val="005C3D0E"/>
    <w:rsid w:val="005C3D12"/>
    <w:rsid w:val="005C3D34"/>
    <w:rsid w:val="005C3D6D"/>
    <w:rsid w:val="005C3EAB"/>
    <w:rsid w:val="005C4074"/>
    <w:rsid w:val="005C42EC"/>
    <w:rsid w:val="005C4461"/>
    <w:rsid w:val="005C461A"/>
    <w:rsid w:val="005C467B"/>
    <w:rsid w:val="005C48DF"/>
    <w:rsid w:val="005C4CC1"/>
    <w:rsid w:val="005C4FCC"/>
    <w:rsid w:val="005C5041"/>
    <w:rsid w:val="005C58DB"/>
    <w:rsid w:val="005C58E9"/>
    <w:rsid w:val="005C6118"/>
    <w:rsid w:val="005C72D2"/>
    <w:rsid w:val="005C7898"/>
    <w:rsid w:val="005C7B81"/>
    <w:rsid w:val="005C7CBE"/>
    <w:rsid w:val="005C7D1B"/>
    <w:rsid w:val="005D0B8B"/>
    <w:rsid w:val="005D0CA4"/>
    <w:rsid w:val="005D10BA"/>
    <w:rsid w:val="005D1138"/>
    <w:rsid w:val="005D14A2"/>
    <w:rsid w:val="005D178A"/>
    <w:rsid w:val="005D2EA0"/>
    <w:rsid w:val="005D31F7"/>
    <w:rsid w:val="005D3712"/>
    <w:rsid w:val="005D41E6"/>
    <w:rsid w:val="005D57B4"/>
    <w:rsid w:val="005D582B"/>
    <w:rsid w:val="005D5EB1"/>
    <w:rsid w:val="005D626A"/>
    <w:rsid w:val="005D69C1"/>
    <w:rsid w:val="005D6B18"/>
    <w:rsid w:val="005D7A00"/>
    <w:rsid w:val="005D7B03"/>
    <w:rsid w:val="005D7BCA"/>
    <w:rsid w:val="005E0252"/>
    <w:rsid w:val="005E027C"/>
    <w:rsid w:val="005E039C"/>
    <w:rsid w:val="005E049D"/>
    <w:rsid w:val="005E04C6"/>
    <w:rsid w:val="005E0C1D"/>
    <w:rsid w:val="005E0DE1"/>
    <w:rsid w:val="005E1172"/>
    <w:rsid w:val="005E16DD"/>
    <w:rsid w:val="005E1B11"/>
    <w:rsid w:val="005E1DED"/>
    <w:rsid w:val="005E21DB"/>
    <w:rsid w:val="005E2536"/>
    <w:rsid w:val="005E2D6B"/>
    <w:rsid w:val="005E3434"/>
    <w:rsid w:val="005E473D"/>
    <w:rsid w:val="005E5D2F"/>
    <w:rsid w:val="005E5E67"/>
    <w:rsid w:val="005E63EB"/>
    <w:rsid w:val="005E6432"/>
    <w:rsid w:val="005E65F8"/>
    <w:rsid w:val="005E6962"/>
    <w:rsid w:val="005E6E00"/>
    <w:rsid w:val="005E6E54"/>
    <w:rsid w:val="005E72CF"/>
    <w:rsid w:val="005E7658"/>
    <w:rsid w:val="005E7A05"/>
    <w:rsid w:val="005E7CB3"/>
    <w:rsid w:val="005E7CF3"/>
    <w:rsid w:val="005F0043"/>
    <w:rsid w:val="005F0600"/>
    <w:rsid w:val="005F1042"/>
    <w:rsid w:val="005F1169"/>
    <w:rsid w:val="005F1175"/>
    <w:rsid w:val="005F19E8"/>
    <w:rsid w:val="005F1F5F"/>
    <w:rsid w:val="005F242A"/>
    <w:rsid w:val="005F3705"/>
    <w:rsid w:val="005F37EB"/>
    <w:rsid w:val="005F3F61"/>
    <w:rsid w:val="005F40CC"/>
    <w:rsid w:val="005F4A10"/>
    <w:rsid w:val="005F57C2"/>
    <w:rsid w:val="005F5EE0"/>
    <w:rsid w:val="005F6399"/>
    <w:rsid w:val="005F6CEE"/>
    <w:rsid w:val="005F6EF4"/>
    <w:rsid w:val="005F6FCF"/>
    <w:rsid w:val="005F71D7"/>
    <w:rsid w:val="005F7276"/>
    <w:rsid w:val="005F770D"/>
    <w:rsid w:val="005F7AA4"/>
    <w:rsid w:val="005F7E9E"/>
    <w:rsid w:val="006000B3"/>
    <w:rsid w:val="0060042A"/>
    <w:rsid w:val="00600CD0"/>
    <w:rsid w:val="006015BE"/>
    <w:rsid w:val="00601E95"/>
    <w:rsid w:val="006022AC"/>
    <w:rsid w:val="00602DF4"/>
    <w:rsid w:val="00603733"/>
    <w:rsid w:val="00603AE9"/>
    <w:rsid w:val="00603B72"/>
    <w:rsid w:val="00603E79"/>
    <w:rsid w:val="006042F6"/>
    <w:rsid w:val="00604455"/>
    <w:rsid w:val="00604953"/>
    <w:rsid w:val="006057E8"/>
    <w:rsid w:val="00605A47"/>
    <w:rsid w:val="00605DCE"/>
    <w:rsid w:val="00606350"/>
    <w:rsid w:val="00606618"/>
    <w:rsid w:val="0060715C"/>
    <w:rsid w:val="00607A70"/>
    <w:rsid w:val="00607F5B"/>
    <w:rsid w:val="0061068A"/>
    <w:rsid w:val="00610761"/>
    <w:rsid w:val="00610A53"/>
    <w:rsid w:val="00611676"/>
    <w:rsid w:val="00611957"/>
    <w:rsid w:val="00611AE8"/>
    <w:rsid w:val="00611C36"/>
    <w:rsid w:val="00611DC7"/>
    <w:rsid w:val="0061222E"/>
    <w:rsid w:val="006122F8"/>
    <w:rsid w:val="0061259B"/>
    <w:rsid w:val="0061270E"/>
    <w:rsid w:val="006129F2"/>
    <w:rsid w:val="00613183"/>
    <w:rsid w:val="00614094"/>
    <w:rsid w:val="0061451C"/>
    <w:rsid w:val="006145E0"/>
    <w:rsid w:val="00614959"/>
    <w:rsid w:val="00614BA7"/>
    <w:rsid w:val="00614D07"/>
    <w:rsid w:val="00614F36"/>
    <w:rsid w:val="00614F3C"/>
    <w:rsid w:val="006155AD"/>
    <w:rsid w:val="00615712"/>
    <w:rsid w:val="006158A9"/>
    <w:rsid w:val="006158F9"/>
    <w:rsid w:val="00615A0D"/>
    <w:rsid w:val="0061631E"/>
    <w:rsid w:val="006164CE"/>
    <w:rsid w:val="0061664F"/>
    <w:rsid w:val="006171A3"/>
    <w:rsid w:val="0061725E"/>
    <w:rsid w:val="006179A0"/>
    <w:rsid w:val="00617CF3"/>
    <w:rsid w:val="00617E43"/>
    <w:rsid w:val="00617FA2"/>
    <w:rsid w:val="00620B96"/>
    <w:rsid w:val="0062128E"/>
    <w:rsid w:val="006212D2"/>
    <w:rsid w:val="00621851"/>
    <w:rsid w:val="00621DCB"/>
    <w:rsid w:val="00622E4B"/>
    <w:rsid w:val="00622EC7"/>
    <w:rsid w:val="00623306"/>
    <w:rsid w:val="00623538"/>
    <w:rsid w:val="006238DF"/>
    <w:rsid w:val="00623F24"/>
    <w:rsid w:val="0062431A"/>
    <w:rsid w:val="0062438A"/>
    <w:rsid w:val="00624812"/>
    <w:rsid w:val="0062499B"/>
    <w:rsid w:val="00624A15"/>
    <w:rsid w:val="00625209"/>
    <w:rsid w:val="0062531A"/>
    <w:rsid w:val="0062568D"/>
    <w:rsid w:val="0062577A"/>
    <w:rsid w:val="00625995"/>
    <w:rsid w:val="00625A52"/>
    <w:rsid w:val="00625D16"/>
    <w:rsid w:val="00625D42"/>
    <w:rsid w:val="0062614B"/>
    <w:rsid w:val="00626432"/>
    <w:rsid w:val="0062660E"/>
    <w:rsid w:val="00627084"/>
    <w:rsid w:val="006273B1"/>
    <w:rsid w:val="006307DB"/>
    <w:rsid w:val="0063100F"/>
    <w:rsid w:val="0063145B"/>
    <w:rsid w:val="006316B3"/>
    <w:rsid w:val="00631C5C"/>
    <w:rsid w:val="006321A3"/>
    <w:rsid w:val="006324B5"/>
    <w:rsid w:val="00632768"/>
    <w:rsid w:val="0063292D"/>
    <w:rsid w:val="006329B6"/>
    <w:rsid w:val="00632DB0"/>
    <w:rsid w:val="00632EC1"/>
    <w:rsid w:val="00632FAD"/>
    <w:rsid w:val="0063394C"/>
    <w:rsid w:val="00634167"/>
    <w:rsid w:val="0063490D"/>
    <w:rsid w:val="006349F6"/>
    <w:rsid w:val="00634B4D"/>
    <w:rsid w:val="00634D61"/>
    <w:rsid w:val="00634D7A"/>
    <w:rsid w:val="006354C0"/>
    <w:rsid w:val="006354C1"/>
    <w:rsid w:val="00635E9D"/>
    <w:rsid w:val="0063670B"/>
    <w:rsid w:val="00636BDC"/>
    <w:rsid w:val="00636D35"/>
    <w:rsid w:val="006372F4"/>
    <w:rsid w:val="00637EAB"/>
    <w:rsid w:val="00640011"/>
    <w:rsid w:val="00640CA3"/>
    <w:rsid w:val="00641924"/>
    <w:rsid w:val="00641ADC"/>
    <w:rsid w:val="00641BA3"/>
    <w:rsid w:val="00641C93"/>
    <w:rsid w:val="00642BD5"/>
    <w:rsid w:val="00642C33"/>
    <w:rsid w:val="006430A8"/>
    <w:rsid w:val="00643399"/>
    <w:rsid w:val="006438CE"/>
    <w:rsid w:val="00643974"/>
    <w:rsid w:val="006440AD"/>
    <w:rsid w:val="0064517B"/>
    <w:rsid w:val="0064518C"/>
    <w:rsid w:val="00645595"/>
    <w:rsid w:val="006465FA"/>
    <w:rsid w:val="00646C43"/>
    <w:rsid w:val="00646C57"/>
    <w:rsid w:val="00646F54"/>
    <w:rsid w:val="00647335"/>
    <w:rsid w:val="00647A6A"/>
    <w:rsid w:val="00647FD0"/>
    <w:rsid w:val="00650410"/>
    <w:rsid w:val="00650534"/>
    <w:rsid w:val="006505E3"/>
    <w:rsid w:val="00650636"/>
    <w:rsid w:val="00650879"/>
    <w:rsid w:val="00650984"/>
    <w:rsid w:val="00650A2E"/>
    <w:rsid w:val="00650ABD"/>
    <w:rsid w:val="00651562"/>
    <w:rsid w:val="00651CB4"/>
    <w:rsid w:val="006524F4"/>
    <w:rsid w:val="006525D9"/>
    <w:rsid w:val="00652A24"/>
    <w:rsid w:val="00652A4F"/>
    <w:rsid w:val="00653846"/>
    <w:rsid w:val="006539A3"/>
    <w:rsid w:val="00653D4F"/>
    <w:rsid w:val="00653DEA"/>
    <w:rsid w:val="00654273"/>
    <w:rsid w:val="006544E7"/>
    <w:rsid w:val="0065451C"/>
    <w:rsid w:val="00654761"/>
    <w:rsid w:val="00654922"/>
    <w:rsid w:val="006550E2"/>
    <w:rsid w:val="0065585F"/>
    <w:rsid w:val="00655A80"/>
    <w:rsid w:val="00655B0D"/>
    <w:rsid w:val="00655E04"/>
    <w:rsid w:val="00655E50"/>
    <w:rsid w:val="0065694E"/>
    <w:rsid w:val="00657066"/>
    <w:rsid w:val="00657071"/>
    <w:rsid w:val="0065752E"/>
    <w:rsid w:val="006575C6"/>
    <w:rsid w:val="006575CD"/>
    <w:rsid w:val="00657978"/>
    <w:rsid w:val="00657B76"/>
    <w:rsid w:val="00660429"/>
    <w:rsid w:val="006607B8"/>
    <w:rsid w:val="00660D6A"/>
    <w:rsid w:val="00660F91"/>
    <w:rsid w:val="00661356"/>
    <w:rsid w:val="0066167E"/>
    <w:rsid w:val="0066181E"/>
    <w:rsid w:val="00661CE1"/>
    <w:rsid w:val="0066232B"/>
    <w:rsid w:val="00662368"/>
    <w:rsid w:val="0066238C"/>
    <w:rsid w:val="0066241B"/>
    <w:rsid w:val="00662FBC"/>
    <w:rsid w:val="00663685"/>
    <w:rsid w:val="006636C8"/>
    <w:rsid w:val="0066396A"/>
    <w:rsid w:val="00663CFD"/>
    <w:rsid w:val="006645CE"/>
    <w:rsid w:val="00664A7D"/>
    <w:rsid w:val="006654BD"/>
    <w:rsid w:val="0066589B"/>
    <w:rsid w:val="006667B2"/>
    <w:rsid w:val="00667465"/>
    <w:rsid w:val="00667515"/>
    <w:rsid w:val="0066796C"/>
    <w:rsid w:val="00667BFE"/>
    <w:rsid w:val="00667D12"/>
    <w:rsid w:val="006709AD"/>
    <w:rsid w:val="006711E6"/>
    <w:rsid w:val="006713A3"/>
    <w:rsid w:val="006714F0"/>
    <w:rsid w:val="00671568"/>
    <w:rsid w:val="006715BB"/>
    <w:rsid w:val="00671639"/>
    <w:rsid w:val="00671674"/>
    <w:rsid w:val="00671865"/>
    <w:rsid w:val="00671C7E"/>
    <w:rsid w:val="00671C9F"/>
    <w:rsid w:val="00671CB1"/>
    <w:rsid w:val="006720DB"/>
    <w:rsid w:val="00672178"/>
    <w:rsid w:val="006726A0"/>
    <w:rsid w:val="006728CA"/>
    <w:rsid w:val="00672A3C"/>
    <w:rsid w:val="00672E6A"/>
    <w:rsid w:val="00673C62"/>
    <w:rsid w:val="00673DC6"/>
    <w:rsid w:val="00674442"/>
    <w:rsid w:val="0067452B"/>
    <w:rsid w:val="0067458E"/>
    <w:rsid w:val="00674709"/>
    <w:rsid w:val="006753FF"/>
    <w:rsid w:val="00675440"/>
    <w:rsid w:val="00675FB5"/>
    <w:rsid w:val="00676384"/>
    <w:rsid w:val="0067656F"/>
    <w:rsid w:val="00676E8B"/>
    <w:rsid w:val="006775C9"/>
    <w:rsid w:val="00677ACC"/>
    <w:rsid w:val="00677DFA"/>
    <w:rsid w:val="00680041"/>
    <w:rsid w:val="00680519"/>
    <w:rsid w:val="00680766"/>
    <w:rsid w:val="00680A10"/>
    <w:rsid w:val="00680A1F"/>
    <w:rsid w:val="00680A43"/>
    <w:rsid w:val="00680BBD"/>
    <w:rsid w:val="0068103D"/>
    <w:rsid w:val="006810CF"/>
    <w:rsid w:val="0068167A"/>
    <w:rsid w:val="00681894"/>
    <w:rsid w:val="006818F3"/>
    <w:rsid w:val="0068194A"/>
    <w:rsid w:val="00682005"/>
    <w:rsid w:val="0068224F"/>
    <w:rsid w:val="006823C3"/>
    <w:rsid w:val="0068242C"/>
    <w:rsid w:val="00682930"/>
    <w:rsid w:val="00682940"/>
    <w:rsid w:val="00682B75"/>
    <w:rsid w:val="00682F16"/>
    <w:rsid w:val="00682F8D"/>
    <w:rsid w:val="006831AB"/>
    <w:rsid w:val="0068329E"/>
    <w:rsid w:val="006836B0"/>
    <w:rsid w:val="00683BA1"/>
    <w:rsid w:val="006842F3"/>
    <w:rsid w:val="0068433D"/>
    <w:rsid w:val="00684DD0"/>
    <w:rsid w:val="0068502C"/>
    <w:rsid w:val="006851DE"/>
    <w:rsid w:val="00685739"/>
    <w:rsid w:val="00685B4E"/>
    <w:rsid w:val="00685BAD"/>
    <w:rsid w:val="00685BD7"/>
    <w:rsid w:val="006861F9"/>
    <w:rsid w:val="006862E9"/>
    <w:rsid w:val="00686338"/>
    <w:rsid w:val="00686A88"/>
    <w:rsid w:val="00686D3A"/>
    <w:rsid w:val="00686F89"/>
    <w:rsid w:val="00687590"/>
    <w:rsid w:val="006879B9"/>
    <w:rsid w:val="00687FDE"/>
    <w:rsid w:val="00690173"/>
    <w:rsid w:val="0069045F"/>
    <w:rsid w:val="00690497"/>
    <w:rsid w:val="006905F7"/>
    <w:rsid w:val="00690A9C"/>
    <w:rsid w:val="0069110D"/>
    <w:rsid w:val="00691431"/>
    <w:rsid w:val="00691491"/>
    <w:rsid w:val="006918CE"/>
    <w:rsid w:val="0069197E"/>
    <w:rsid w:val="00691BD9"/>
    <w:rsid w:val="00691C96"/>
    <w:rsid w:val="006920B7"/>
    <w:rsid w:val="00692411"/>
    <w:rsid w:val="00692598"/>
    <w:rsid w:val="00692B4A"/>
    <w:rsid w:val="00692C27"/>
    <w:rsid w:val="00693312"/>
    <w:rsid w:val="00693A52"/>
    <w:rsid w:val="00693DA3"/>
    <w:rsid w:val="00693FE3"/>
    <w:rsid w:val="006946DE"/>
    <w:rsid w:val="00694E80"/>
    <w:rsid w:val="0069513D"/>
    <w:rsid w:val="0069530D"/>
    <w:rsid w:val="00695BC8"/>
    <w:rsid w:val="00695D1D"/>
    <w:rsid w:val="00696DE0"/>
    <w:rsid w:val="006972AC"/>
    <w:rsid w:val="006976AB"/>
    <w:rsid w:val="0069781F"/>
    <w:rsid w:val="00697BA3"/>
    <w:rsid w:val="006A0A1D"/>
    <w:rsid w:val="006A183A"/>
    <w:rsid w:val="006A1EED"/>
    <w:rsid w:val="006A2195"/>
    <w:rsid w:val="006A269D"/>
    <w:rsid w:val="006A2738"/>
    <w:rsid w:val="006A3314"/>
    <w:rsid w:val="006A339C"/>
    <w:rsid w:val="006A37E9"/>
    <w:rsid w:val="006A3DF1"/>
    <w:rsid w:val="006A3E52"/>
    <w:rsid w:val="006A50DE"/>
    <w:rsid w:val="006A547A"/>
    <w:rsid w:val="006A58AF"/>
    <w:rsid w:val="006A5D9E"/>
    <w:rsid w:val="006A6075"/>
    <w:rsid w:val="006A6355"/>
    <w:rsid w:val="006A645C"/>
    <w:rsid w:val="006A6799"/>
    <w:rsid w:val="006A6E23"/>
    <w:rsid w:val="006A6F6B"/>
    <w:rsid w:val="006A7768"/>
    <w:rsid w:val="006A7F23"/>
    <w:rsid w:val="006B07CD"/>
    <w:rsid w:val="006B0D1A"/>
    <w:rsid w:val="006B1993"/>
    <w:rsid w:val="006B1A54"/>
    <w:rsid w:val="006B2BA8"/>
    <w:rsid w:val="006B30F3"/>
    <w:rsid w:val="006B384D"/>
    <w:rsid w:val="006B3E26"/>
    <w:rsid w:val="006B3EA3"/>
    <w:rsid w:val="006B401D"/>
    <w:rsid w:val="006B4309"/>
    <w:rsid w:val="006B447B"/>
    <w:rsid w:val="006B49D7"/>
    <w:rsid w:val="006B5521"/>
    <w:rsid w:val="006B5570"/>
    <w:rsid w:val="006B578D"/>
    <w:rsid w:val="006B57A7"/>
    <w:rsid w:val="006B5957"/>
    <w:rsid w:val="006B5CF1"/>
    <w:rsid w:val="006B6563"/>
    <w:rsid w:val="006B670F"/>
    <w:rsid w:val="006B6A7E"/>
    <w:rsid w:val="006B7352"/>
    <w:rsid w:val="006B746C"/>
    <w:rsid w:val="006B783F"/>
    <w:rsid w:val="006C0634"/>
    <w:rsid w:val="006C06FC"/>
    <w:rsid w:val="006C0753"/>
    <w:rsid w:val="006C105A"/>
    <w:rsid w:val="006C184D"/>
    <w:rsid w:val="006C1A37"/>
    <w:rsid w:val="006C1A6A"/>
    <w:rsid w:val="006C20E1"/>
    <w:rsid w:val="006C2258"/>
    <w:rsid w:val="006C29D6"/>
    <w:rsid w:val="006C3723"/>
    <w:rsid w:val="006C3914"/>
    <w:rsid w:val="006C4212"/>
    <w:rsid w:val="006C4738"/>
    <w:rsid w:val="006C4904"/>
    <w:rsid w:val="006C4AE4"/>
    <w:rsid w:val="006C4E84"/>
    <w:rsid w:val="006C4F42"/>
    <w:rsid w:val="006C5213"/>
    <w:rsid w:val="006C52CE"/>
    <w:rsid w:val="006C5710"/>
    <w:rsid w:val="006C5D8E"/>
    <w:rsid w:val="006C608D"/>
    <w:rsid w:val="006C66EC"/>
    <w:rsid w:val="006C7418"/>
    <w:rsid w:val="006C7E41"/>
    <w:rsid w:val="006C7F3D"/>
    <w:rsid w:val="006D0A32"/>
    <w:rsid w:val="006D0A35"/>
    <w:rsid w:val="006D1238"/>
    <w:rsid w:val="006D19C2"/>
    <w:rsid w:val="006D1AF1"/>
    <w:rsid w:val="006D1FA4"/>
    <w:rsid w:val="006D203E"/>
    <w:rsid w:val="006D2225"/>
    <w:rsid w:val="006D2426"/>
    <w:rsid w:val="006D266A"/>
    <w:rsid w:val="006D267D"/>
    <w:rsid w:val="006D2D28"/>
    <w:rsid w:val="006D33F5"/>
    <w:rsid w:val="006D3491"/>
    <w:rsid w:val="006D377B"/>
    <w:rsid w:val="006D397B"/>
    <w:rsid w:val="006D3A0E"/>
    <w:rsid w:val="006D43F4"/>
    <w:rsid w:val="006D46E2"/>
    <w:rsid w:val="006D4A1E"/>
    <w:rsid w:val="006D4A20"/>
    <w:rsid w:val="006D4B7B"/>
    <w:rsid w:val="006D5011"/>
    <w:rsid w:val="006D54C5"/>
    <w:rsid w:val="006D58BB"/>
    <w:rsid w:val="006D5B37"/>
    <w:rsid w:val="006D5B9E"/>
    <w:rsid w:val="006D628A"/>
    <w:rsid w:val="006D6651"/>
    <w:rsid w:val="006D68C9"/>
    <w:rsid w:val="006D69EA"/>
    <w:rsid w:val="006D6DA8"/>
    <w:rsid w:val="006D6EBA"/>
    <w:rsid w:val="006D7332"/>
    <w:rsid w:val="006D7690"/>
    <w:rsid w:val="006D7B03"/>
    <w:rsid w:val="006D7CB4"/>
    <w:rsid w:val="006D7D27"/>
    <w:rsid w:val="006D7D93"/>
    <w:rsid w:val="006D7F78"/>
    <w:rsid w:val="006E05CC"/>
    <w:rsid w:val="006E06F6"/>
    <w:rsid w:val="006E09AD"/>
    <w:rsid w:val="006E0A14"/>
    <w:rsid w:val="006E0CC5"/>
    <w:rsid w:val="006E1710"/>
    <w:rsid w:val="006E1DEE"/>
    <w:rsid w:val="006E2A0C"/>
    <w:rsid w:val="006E2D0D"/>
    <w:rsid w:val="006E3B2E"/>
    <w:rsid w:val="006E3D2D"/>
    <w:rsid w:val="006E41B8"/>
    <w:rsid w:val="006E4448"/>
    <w:rsid w:val="006E4856"/>
    <w:rsid w:val="006E49D7"/>
    <w:rsid w:val="006E4F57"/>
    <w:rsid w:val="006E5522"/>
    <w:rsid w:val="006E5975"/>
    <w:rsid w:val="006E5A33"/>
    <w:rsid w:val="006E6307"/>
    <w:rsid w:val="006E682B"/>
    <w:rsid w:val="006E68B5"/>
    <w:rsid w:val="006E7256"/>
    <w:rsid w:val="006E7849"/>
    <w:rsid w:val="006E7AA1"/>
    <w:rsid w:val="006E7C27"/>
    <w:rsid w:val="006F0028"/>
    <w:rsid w:val="006F0138"/>
    <w:rsid w:val="006F041F"/>
    <w:rsid w:val="006F08F9"/>
    <w:rsid w:val="006F10EC"/>
    <w:rsid w:val="006F132C"/>
    <w:rsid w:val="006F148E"/>
    <w:rsid w:val="006F1D1B"/>
    <w:rsid w:val="006F211B"/>
    <w:rsid w:val="006F2473"/>
    <w:rsid w:val="006F24F4"/>
    <w:rsid w:val="006F25F1"/>
    <w:rsid w:val="006F2650"/>
    <w:rsid w:val="006F2866"/>
    <w:rsid w:val="006F2C02"/>
    <w:rsid w:val="006F3563"/>
    <w:rsid w:val="006F3816"/>
    <w:rsid w:val="006F395B"/>
    <w:rsid w:val="006F3BF5"/>
    <w:rsid w:val="006F3D10"/>
    <w:rsid w:val="006F415B"/>
    <w:rsid w:val="006F4A77"/>
    <w:rsid w:val="006F57BA"/>
    <w:rsid w:val="006F5935"/>
    <w:rsid w:val="006F5F64"/>
    <w:rsid w:val="006F6083"/>
    <w:rsid w:val="007000C9"/>
    <w:rsid w:val="007002A8"/>
    <w:rsid w:val="00700CEC"/>
    <w:rsid w:val="00701423"/>
    <w:rsid w:val="00701592"/>
    <w:rsid w:val="00701774"/>
    <w:rsid w:val="0070370B"/>
    <w:rsid w:val="00703BEE"/>
    <w:rsid w:val="00703C5C"/>
    <w:rsid w:val="007040C8"/>
    <w:rsid w:val="0070415A"/>
    <w:rsid w:val="007041C8"/>
    <w:rsid w:val="00704415"/>
    <w:rsid w:val="00704838"/>
    <w:rsid w:val="007048BC"/>
    <w:rsid w:val="00704A00"/>
    <w:rsid w:val="00704CD3"/>
    <w:rsid w:val="00704D69"/>
    <w:rsid w:val="00704F73"/>
    <w:rsid w:val="00705611"/>
    <w:rsid w:val="007057D7"/>
    <w:rsid w:val="00706785"/>
    <w:rsid w:val="007067D6"/>
    <w:rsid w:val="007068EF"/>
    <w:rsid w:val="00706DF3"/>
    <w:rsid w:val="007071C3"/>
    <w:rsid w:val="00707A69"/>
    <w:rsid w:val="00707AF4"/>
    <w:rsid w:val="00707CED"/>
    <w:rsid w:val="007104F7"/>
    <w:rsid w:val="00710610"/>
    <w:rsid w:val="00710AC8"/>
    <w:rsid w:val="00711025"/>
    <w:rsid w:val="00711199"/>
    <w:rsid w:val="007112B4"/>
    <w:rsid w:val="007113A6"/>
    <w:rsid w:val="00711451"/>
    <w:rsid w:val="00711E0B"/>
    <w:rsid w:val="00711EA9"/>
    <w:rsid w:val="00711FF6"/>
    <w:rsid w:val="00712649"/>
    <w:rsid w:val="00712877"/>
    <w:rsid w:val="007128FB"/>
    <w:rsid w:val="00712C0C"/>
    <w:rsid w:val="00712DE5"/>
    <w:rsid w:val="00712E6E"/>
    <w:rsid w:val="00713142"/>
    <w:rsid w:val="007135FE"/>
    <w:rsid w:val="0071368D"/>
    <w:rsid w:val="00713B04"/>
    <w:rsid w:val="00714282"/>
    <w:rsid w:val="007142A3"/>
    <w:rsid w:val="00714316"/>
    <w:rsid w:val="007144DD"/>
    <w:rsid w:val="00714779"/>
    <w:rsid w:val="007149C5"/>
    <w:rsid w:val="00714D40"/>
    <w:rsid w:val="00714EAB"/>
    <w:rsid w:val="00714F69"/>
    <w:rsid w:val="007158E1"/>
    <w:rsid w:val="00715A62"/>
    <w:rsid w:val="00715AA3"/>
    <w:rsid w:val="00716432"/>
    <w:rsid w:val="007165AD"/>
    <w:rsid w:val="0071691B"/>
    <w:rsid w:val="00717702"/>
    <w:rsid w:val="00717AC0"/>
    <w:rsid w:val="00717BAE"/>
    <w:rsid w:val="00717CA2"/>
    <w:rsid w:val="0072025F"/>
    <w:rsid w:val="007208C5"/>
    <w:rsid w:val="00720BA4"/>
    <w:rsid w:val="00721694"/>
    <w:rsid w:val="00721BD3"/>
    <w:rsid w:val="00721DFD"/>
    <w:rsid w:val="00721FFC"/>
    <w:rsid w:val="007222F3"/>
    <w:rsid w:val="00722F64"/>
    <w:rsid w:val="0072315F"/>
    <w:rsid w:val="0072357B"/>
    <w:rsid w:val="00723BF6"/>
    <w:rsid w:val="00723D78"/>
    <w:rsid w:val="00724310"/>
    <w:rsid w:val="00724377"/>
    <w:rsid w:val="00724B4E"/>
    <w:rsid w:val="0072514F"/>
    <w:rsid w:val="007251B7"/>
    <w:rsid w:val="007252CD"/>
    <w:rsid w:val="00725440"/>
    <w:rsid w:val="00725A82"/>
    <w:rsid w:val="00725C4B"/>
    <w:rsid w:val="007270E8"/>
    <w:rsid w:val="007271E5"/>
    <w:rsid w:val="00727358"/>
    <w:rsid w:val="00727B94"/>
    <w:rsid w:val="007301CB"/>
    <w:rsid w:val="00730290"/>
    <w:rsid w:val="00730C30"/>
    <w:rsid w:val="00730EC2"/>
    <w:rsid w:val="00731B20"/>
    <w:rsid w:val="00731E8C"/>
    <w:rsid w:val="00732480"/>
    <w:rsid w:val="00732809"/>
    <w:rsid w:val="007333F7"/>
    <w:rsid w:val="007335DB"/>
    <w:rsid w:val="00733662"/>
    <w:rsid w:val="00733A29"/>
    <w:rsid w:val="00733C35"/>
    <w:rsid w:val="0073472E"/>
    <w:rsid w:val="00734A01"/>
    <w:rsid w:val="00734AB9"/>
    <w:rsid w:val="00734BE0"/>
    <w:rsid w:val="00734F62"/>
    <w:rsid w:val="00735097"/>
    <w:rsid w:val="0073511F"/>
    <w:rsid w:val="007359F6"/>
    <w:rsid w:val="00735AD5"/>
    <w:rsid w:val="00735D4E"/>
    <w:rsid w:val="0073626A"/>
    <w:rsid w:val="0073655F"/>
    <w:rsid w:val="0073673F"/>
    <w:rsid w:val="007372A6"/>
    <w:rsid w:val="007378CA"/>
    <w:rsid w:val="007408A2"/>
    <w:rsid w:val="0074091F"/>
    <w:rsid w:val="00740C00"/>
    <w:rsid w:val="00741A84"/>
    <w:rsid w:val="00741E41"/>
    <w:rsid w:val="007426E1"/>
    <w:rsid w:val="007430B0"/>
    <w:rsid w:val="007430F2"/>
    <w:rsid w:val="007430F5"/>
    <w:rsid w:val="007436D2"/>
    <w:rsid w:val="0074488F"/>
    <w:rsid w:val="00744F7F"/>
    <w:rsid w:val="007452A9"/>
    <w:rsid w:val="00745447"/>
    <w:rsid w:val="007454AB"/>
    <w:rsid w:val="00746227"/>
    <w:rsid w:val="00746401"/>
    <w:rsid w:val="00746516"/>
    <w:rsid w:val="0074692D"/>
    <w:rsid w:val="00747173"/>
    <w:rsid w:val="00747873"/>
    <w:rsid w:val="00747940"/>
    <w:rsid w:val="00747975"/>
    <w:rsid w:val="00747A09"/>
    <w:rsid w:val="007501E3"/>
    <w:rsid w:val="00750C19"/>
    <w:rsid w:val="00750D4C"/>
    <w:rsid w:val="00750E68"/>
    <w:rsid w:val="007515EC"/>
    <w:rsid w:val="00751E93"/>
    <w:rsid w:val="007521B0"/>
    <w:rsid w:val="00753024"/>
    <w:rsid w:val="007533C3"/>
    <w:rsid w:val="00753B6C"/>
    <w:rsid w:val="00753D24"/>
    <w:rsid w:val="00753FEB"/>
    <w:rsid w:val="0075413B"/>
    <w:rsid w:val="007545D2"/>
    <w:rsid w:val="00754E9F"/>
    <w:rsid w:val="0075500A"/>
    <w:rsid w:val="0075566D"/>
    <w:rsid w:val="00755B34"/>
    <w:rsid w:val="00755EEA"/>
    <w:rsid w:val="00756080"/>
    <w:rsid w:val="0075647E"/>
    <w:rsid w:val="007564F2"/>
    <w:rsid w:val="0075659A"/>
    <w:rsid w:val="007567AC"/>
    <w:rsid w:val="00757B75"/>
    <w:rsid w:val="00757D45"/>
    <w:rsid w:val="00757DE7"/>
    <w:rsid w:val="00757F62"/>
    <w:rsid w:val="00760728"/>
    <w:rsid w:val="00760B49"/>
    <w:rsid w:val="007612D4"/>
    <w:rsid w:val="0076167B"/>
    <w:rsid w:val="0076270B"/>
    <w:rsid w:val="00762A70"/>
    <w:rsid w:val="00763227"/>
    <w:rsid w:val="00763B43"/>
    <w:rsid w:val="00763D49"/>
    <w:rsid w:val="00763DA6"/>
    <w:rsid w:val="00763DB5"/>
    <w:rsid w:val="007644BB"/>
    <w:rsid w:val="00765623"/>
    <w:rsid w:val="00765CA1"/>
    <w:rsid w:val="0076607B"/>
    <w:rsid w:val="007671E7"/>
    <w:rsid w:val="007672E6"/>
    <w:rsid w:val="007678F8"/>
    <w:rsid w:val="00767BE6"/>
    <w:rsid w:val="00767C04"/>
    <w:rsid w:val="00770075"/>
    <w:rsid w:val="00770335"/>
    <w:rsid w:val="00770403"/>
    <w:rsid w:val="00770572"/>
    <w:rsid w:val="00770B65"/>
    <w:rsid w:val="00770FD3"/>
    <w:rsid w:val="00771953"/>
    <w:rsid w:val="00771AC8"/>
    <w:rsid w:val="007726D7"/>
    <w:rsid w:val="00772765"/>
    <w:rsid w:val="00772E12"/>
    <w:rsid w:val="0077413F"/>
    <w:rsid w:val="0077424C"/>
    <w:rsid w:val="007749F4"/>
    <w:rsid w:val="0077533C"/>
    <w:rsid w:val="007753EB"/>
    <w:rsid w:val="007755CB"/>
    <w:rsid w:val="00775DDE"/>
    <w:rsid w:val="00777A85"/>
    <w:rsid w:val="00777CE6"/>
    <w:rsid w:val="00777E52"/>
    <w:rsid w:val="00777F30"/>
    <w:rsid w:val="007802BB"/>
    <w:rsid w:val="0078064D"/>
    <w:rsid w:val="00780925"/>
    <w:rsid w:val="00780D56"/>
    <w:rsid w:val="007810F2"/>
    <w:rsid w:val="00781634"/>
    <w:rsid w:val="00781787"/>
    <w:rsid w:val="00781B03"/>
    <w:rsid w:val="00781DF5"/>
    <w:rsid w:val="0078248E"/>
    <w:rsid w:val="0078287A"/>
    <w:rsid w:val="00782E96"/>
    <w:rsid w:val="007830F5"/>
    <w:rsid w:val="00783412"/>
    <w:rsid w:val="007838C9"/>
    <w:rsid w:val="00783D1E"/>
    <w:rsid w:val="007842BF"/>
    <w:rsid w:val="007843CB"/>
    <w:rsid w:val="00784BE5"/>
    <w:rsid w:val="00785201"/>
    <w:rsid w:val="00785D1D"/>
    <w:rsid w:val="00785E5F"/>
    <w:rsid w:val="00786079"/>
    <w:rsid w:val="007861D5"/>
    <w:rsid w:val="00786411"/>
    <w:rsid w:val="00786424"/>
    <w:rsid w:val="0078655D"/>
    <w:rsid w:val="00786731"/>
    <w:rsid w:val="007868DB"/>
    <w:rsid w:val="00786B5E"/>
    <w:rsid w:val="00786B91"/>
    <w:rsid w:val="0078774F"/>
    <w:rsid w:val="007879CB"/>
    <w:rsid w:val="00787A27"/>
    <w:rsid w:val="00787BCE"/>
    <w:rsid w:val="00790733"/>
    <w:rsid w:val="0079090A"/>
    <w:rsid w:val="00790E1E"/>
    <w:rsid w:val="00790EC4"/>
    <w:rsid w:val="00791799"/>
    <w:rsid w:val="0079188D"/>
    <w:rsid w:val="0079241E"/>
    <w:rsid w:val="007925FD"/>
    <w:rsid w:val="00793038"/>
    <w:rsid w:val="007933EF"/>
    <w:rsid w:val="007937C0"/>
    <w:rsid w:val="007938E3"/>
    <w:rsid w:val="0079451B"/>
    <w:rsid w:val="00794A78"/>
    <w:rsid w:val="00794B4C"/>
    <w:rsid w:val="00794CA3"/>
    <w:rsid w:val="00795204"/>
    <w:rsid w:val="0079557A"/>
    <w:rsid w:val="00795BFF"/>
    <w:rsid w:val="00795E15"/>
    <w:rsid w:val="0079637F"/>
    <w:rsid w:val="00796E3C"/>
    <w:rsid w:val="00797121"/>
    <w:rsid w:val="007974D9"/>
    <w:rsid w:val="0079761D"/>
    <w:rsid w:val="007979A2"/>
    <w:rsid w:val="00797DE3"/>
    <w:rsid w:val="007A0097"/>
    <w:rsid w:val="007A0797"/>
    <w:rsid w:val="007A09F8"/>
    <w:rsid w:val="007A1108"/>
    <w:rsid w:val="007A1B4D"/>
    <w:rsid w:val="007A1F6F"/>
    <w:rsid w:val="007A2012"/>
    <w:rsid w:val="007A213B"/>
    <w:rsid w:val="007A2157"/>
    <w:rsid w:val="007A296B"/>
    <w:rsid w:val="007A2B86"/>
    <w:rsid w:val="007A2D6C"/>
    <w:rsid w:val="007A2E31"/>
    <w:rsid w:val="007A319C"/>
    <w:rsid w:val="007A335F"/>
    <w:rsid w:val="007A3A83"/>
    <w:rsid w:val="007A3B8E"/>
    <w:rsid w:val="007A447A"/>
    <w:rsid w:val="007A46A9"/>
    <w:rsid w:val="007A5303"/>
    <w:rsid w:val="007A5704"/>
    <w:rsid w:val="007A5CD1"/>
    <w:rsid w:val="007A5F82"/>
    <w:rsid w:val="007A64A8"/>
    <w:rsid w:val="007A6732"/>
    <w:rsid w:val="007A68AE"/>
    <w:rsid w:val="007A6B7F"/>
    <w:rsid w:val="007A6DAB"/>
    <w:rsid w:val="007A701E"/>
    <w:rsid w:val="007A74E8"/>
    <w:rsid w:val="007A7FB2"/>
    <w:rsid w:val="007B0418"/>
    <w:rsid w:val="007B044F"/>
    <w:rsid w:val="007B05FF"/>
    <w:rsid w:val="007B06C4"/>
    <w:rsid w:val="007B0C2E"/>
    <w:rsid w:val="007B0CB2"/>
    <w:rsid w:val="007B159B"/>
    <w:rsid w:val="007B16FA"/>
    <w:rsid w:val="007B1CA5"/>
    <w:rsid w:val="007B1F88"/>
    <w:rsid w:val="007B1FDA"/>
    <w:rsid w:val="007B2126"/>
    <w:rsid w:val="007B2687"/>
    <w:rsid w:val="007B278C"/>
    <w:rsid w:val="007B27CD"/>
    <w:rsid w:val="007B3348"/>
    <w:rsid w:val="007B35D5"/>
    <w:rsid w:val="007B3AF4"/>
    <w:rsid w:val="007B3CD7"/>
    <w:rsid w:val="007B4222"/>
    <w:rsid w:val="007B458F"/>
    <w:rsid w:val="007B493F"/>
    <w:rsid w:val="007B4B6F"/>
    <w:rsid w:val="007B516D"/>
    <w:rsid w:val="007B51EF"/>
    <w:rsid w:val="007B5920"/>
    <w:rsid w:val="007B5BD0"/>
    <w:rsid w:val="007B5D48"/>
    <w:rsid w:val="007B61E0"/>
    <w:rsid w:val="007B677B"/>
    <w:rsid w:val="007B6B31"/>
    <w:rsid w:val="007B6FC0"/>
    <w:rsid w:val="007B70A5"/>
    <w:rsid w:val="007B7E02"/>
    <w:rsid w:val="007B7E2B"/>
    <w:rsid w:val="007B7EA5"/>
    <w:rsid w:val="007C0029"/>
    <w:rsid w:val="007C0225"/>
    <w:rsid w:val="007C0462"/>
    <w:rsid w:val="007C04E1"/>
    <w:rsid w:val="007C064C"/>
    <w:rsid w:val="007C09AF"/>
    <w:rsid w:val="007C0D76"/>
    <w:rsid w:val="007C1177"/>
    <w:rsid w:val="007C14EF"/>
    <w:rsid w:val="007C161A"/>
    <w:rsid w:val="007C25FA"/>
    <w:rsid w:val="007C2739"/>
    <w:rsid w:val="007C2AC7"/>
    <w:rsid w:val="007C2C32"/>
    <w:rsid w:val="007C318E"/>
    <w:rsid w:val="007C3298"/>
    <w:rsid w:val="007C3340"/>
    <w:rsid w:val="007C3601"/>
    <w:rsid w:val="007C3A7E"/>
    <w:rsid w:val="007C3A96"/>
    <w:rsid w:val="007C42AA"/>
    <w:rsid w:val="007C483E"/>
    <w:rsid w:val="007C4E0A"/>
    <w:rsid w:val="007C593A"/>
    <w:rsid w:val="007C5D18"/>
    <w:rsid w:val="007C64B5"/>
    <w:rsid w:val="007C6784"/>
    <w:rsid w:val="007C6F8A"/>
    <w:rsid w:val="007C729B"/>
    <w:rsid w:val="007C755E"/>
    <w:rsid w:val="007C75BF"/>
    <w:rsid w:val="007C75F9"/>
    <w:rsid w:val="007C7645"/>
    <w:rsid w:val="007C7BF3"/>
    <w:rsid w:val="007D0651"/>
    <w:rsid w:val="007D0681"/>
    <w:rsid w:val="007D094E"/>
    <w:rsid w:val="007D0AAA"/>
    <w:rsid w:val="007D0E41"/>
    <w:rsid w:val="007D117F"/>
    <w:rsid w:val="007D1760"/>
    <w:rsid w:val="007D2A9A"/>
    <w:rsid w:val="007D2C3F"/>
    <w:rsid w:val="007D2C63"/>
    <w:rsid w:val="007D2CBB"/>
    <w:rsid w:val="007D308D"/>
    <w:rsid w:val="007D341B"/>
    <w:rsid w:val="007D34E8"/>
    <w:rsid w:val="007D35D5"/>
    <w:rsid w:val="007D3E4A"/>
    <w:rsid w:val="007D44B7"/>
    <w:rsid w:val="007D4606"/>
    <w:rsid w:val="007D478E"/>
    <w:rsid w:val="007D4C88"/>
    <w:rsid w:val="007D547E"/>
    <w:rsid w:val="007D5838"/>
    <w:rsid w:val="007D5BFD"/>
    <w:rsid w:val="007D5E3B"/>
    <w:rsid w:val="007D5EA5"/>
    <w:rsid w:val="007D682C"/>
    <w:rsid w:val="007D6A28"/>
    <w:rsid w:val="007D7228"/>
    <w:rsid w:val="007D7DEE"/>
    <w:rsid w:val="007D7E09"/>
    <w:rsid w:val="007E0498"/>
    <w:rsid w:val="007E055D"/>
    <w:rsid w:val="007E0763"/>
    <w:rsid w:val="007E116B"/>
    <w:rsid w:val="007E12D0"/>
    <w:rsid w:val="007E1A24"/>
    <w:rsid w:val="007E1D40"/>
    <w:rsid w:val="007E1FEE"/>
    <w:rsid w:val="007E24BA"/>
    <w:rsid w:val="007E2559"/>
    <w:rsid w:val="007E2866"/>
    <w:rsid w:val="007E2D73"/>
    <w:rsid w:val="007E33E3"/>
    <w:rsid w:val="007E3617"/>
    <w:rsid w:val="007E36A4"/>
    <w:rsid w:val="007E43B1"/>
    <w:rsid w:val="007E53C1"/>
    <w:rsid w:val="007E5428"/>
    <w:rsid w:val="007E55F9"/>
    <w:rsid w:val="007E5BDC"/>
    <w:rsid w:val="007E6888"/>
    <w:rsid w:val="007E7344"/>
    <w:rsid w:val="007E7AE3"/>
    <w:rsid w:val="007E7E31"/>
    <w:rsid w:val="007F00F2"/>
    <w:rsid w:val="007F0A55"/>
    <w:rsid w:val="007F0BDB"/>
    <w:rsid w:val="007F13F6"/>
    <w:rsid w:val="007F214B"/>
    <w:rsid w:val="007F2283"/>
    <w:rsid w:val="007F2610"/>
    <w:rsid w:val="007F274B"/>
    <w:rsid w:val="007F29F8"/>
    <w:rsid w:val="007F2A06"/>
    <w:rsid w:val="007F2E47"/>
    <w:rsid w:val="007F3205"/>
    <w:rsid w:val="007F34D7"/>
    <w:rsid w:val="007F3E8C"/>
    <w:rsid w:val="007F41D1"/>
    <w:rsid w:val="007F509C"/>
    <w:rsid w:val="007F51F8"/>
    <w:rsid w:val="007F52EB"/>
    <w:rsid w:val="007F53A9"/>
    <w:rsid w:val="007F57FC"/>
    <w:rsid w:val="007F5D3E"/>
    <w:rsid w:val="007F640D"/>
    <w:rsid w:val="007F66EF"/>
    <w:rsid w:val="007F6E88"/>
    <w:rsid w:val="007F73B3"/>
    <w:rsid w:val="007F7C5C"/>
    <w:rsid w:val="00800635"/>
    <w:rsid w:val="0080075D"/>
    <w:rsid w:val="00800A26"/>
    <w:rsid w:val="008019DA"/>
    <w:rsid w:val="008020D0"/>
    <w:rsid w:val="008027F4"/>
    <w:rsid w:val="008028D3"/>
    <w:rsid w:val="008028F5"/>
    <w:rsid w:val="008030B6"/>
    <w:rsid w:val="0080426C"/>
    <w:rsid w:val="00804A9F"/>
    <w:rsid w:val="008054A4"/>
    <w:rsid w:val="0080589B"/>
    <w:rsid w:val="00806A5F"/>
    <w:rsid w:val="00806B99"/>
    <w:rsid w:val="00806F55"/>
    <w:rsid w:val="008071A5"/>
    <w:rsid w:val="008072DA"/>
    <w:rsid w:val="00807940"/>
    <w:rsid w:val="00807AE4"/>
    <w:rsid w:val="008101B9"/>
    <w:rsid w:val="00810538"/>
    <w:rsid w:val="00810DBC"/>
    <w:rsid w:val="008110A0"/>
    <w:rsid w:val="0081127E"/>
    <w:rsid w:val="00811634"/>
    <w:rsid w:val="00811DFB"/>
    <w:rsid w:val="00811E9F"/>
    <w:rsid w:val="00811ED8"/>
    <w:rsid w:val="0081225F"/>
    <w:rsid w:val="0081258C"/>
    <w:rsid w:val="008132B2"/>
    <w:rsid w:val="008132B8"/>
    <w:rsid w:val="008132FA"/>
    <w:rsid w:val="00813E1A"/>
    <w:rsid w:val="00815197"/>
    <w:rsid w:val="008151DC"/>
    <w:rsid w:val="008152A9"/>
    <w:rsid w:val="008152C4"/>
    <w:rsid w:val="008153FE"/>
    <w:rsid w:val="00815945"/>
    <w:rsid w:val="00815B1F"/>
    <w:rsid w:val="00816125"/>
    <w:rsid w:val="0081619D"/>
    <w:rsid w:val="008167B4"/>
    <w:rsid w:val="00816D98"/>
    <w:rsid w:val="00817A80"/>
    <w:rsid w:val="00817E7C"/>
    <w:rsid w:val="0082027D"/>
    <w:rsid w:val="008204CE"/>
    <w:rsid w:val="0082125A"/>
    <w:rsid w:val="008221A7"/>
    <w:rsid w:val="00822401"/>
    <w:rsid w:val="00822617"/>
    <w:rsid w:val="0082280D"/>
    <w:rsid w:val="00822BA7"/>
    <w:rsid w:val="00822F81"/>
    <w:rsid w:val="0082324E"/>
    <w:rsid w:val="008238F2"/>
    <w:rsid w:val="00823D66"/>
    <w:rsid w:val="008242FE"/>
    <w:rsid w:val="008263EA"/>
    <w:rsid w:val="00826AD6"/>
    <w:rsid w:val="00826E78"/>
    <w:rsid w:val="008273F0"/>
    <w:rsid w:val="008275AC"/>
    <w:rsid w:val="008277CA"/>
    <w:rsid w:val="0082788F"/>
    <w:rsid w:val="00827B63"/>
    <w:rsid w:val="00827BF5"/>
    <w:rsid w:val="00827C07"/>
    <w:rsid w:val="0083008A"/>
    <w:rsid w:val="008303FA"/>
    <w:rsid w:val="00830441"/>
    <w:rsid w:val="008307BB"/>
    <w:rsid w:val="00830A3B"/>
    <w:rsid w:val="00830E33"/>
    <w:rsid w:val="0083111F"/>
    <w:rsid w:val="00831182"/>
    <w:rsid w:val="008312AE"/>
    <w:rsid w:val="00831495"/>
    <w:rsid w:val="00831704"/>
    <w:rsid w:val="008320B1"/>
    <w:rsid w:val="00832804"/>
    <w:rsid w:val="008328B6"/>
    <w:rsid w:val="008328D6"/>
    <w:rsid w:val="00832CA7"/>
    <w:rsid w:val="008335A1"/>
    <w:rsid w:val="0083371F"/>
    <w:rsid w:val="008339CA"/>
    <w:rsid w:val="00834E0B"/>
    <w:rsid w:val="00835194"/>
    <w:rsid w:val="0083535C"/>
    <w:rsid w:val="008353D6"/>
    <w:rsid w:val="00835D1B"/>
    <w:rsid w:val="00835E46"/>
    <w:rsid w:val="00836386"/>
    <w:rsid w:val="008363A3"/>
    <w:rsid w:val="008366B3"/>
    <w:rsid w:val="00836AC7"/>
    <w:rsid w:val="00836C95"/>
    <w:rsid w:val="00836CA7"/>
    <w:rsid w:val="00836CE7"/>
    <w:rsid w:val="00836E10"/>
    <w:rsid w:val="00837C97"/>
    <w:rsid w:val="008400F4"/>
    <w:rsid w:val="00840340"/>
    <w:rsid w:val="00840427"/>
    <w:rsid w:val="00840AB8"/>
    <w:rsid w:val="00840B6C"/>
    <w:rsid w:val="008415B7"/>
    <w:rsid w:val="008419B3"/>
    <w:rsid w:val="00841F1A"/>
    <w:rsid w:val="008423B8"/>
    <w:rsid w:val="00842511"/>
    <w:rsid w:val="00842963"/>
    <w:rsid w:val="008449D7"/>
    <w:rsid w:val="00844ABD"/>
    <w:rsid w:val="00844D45"/>
    <w:rsid w:val="00844DE6"/>
    <w:rsid w:val="00844E75"/>
    <w:rsid w:val="008454FC"/>
    <w:rsid w:val="0084564C"/>
    <w:rsid w:val="00845869"/>
    <w:rsid w:val="008458A6"/>
    <w:rsid w:val="00845934"/>
    <w:rsid w:val="008459D0"/>
    <w:rsid w:val="00845F96"/>
    <w:rsid w:val="00846457"/>
    <w:rsid w:val="008467F0"/>
    <w:rsid w:val="00846F01"/>
    <w:rsid w:val="0084760D"/>
    <w:rsid w:val="00847637"/>
    <w:rsid w:val="008501E4"/>
    <w:rsid w:val="008508B2"/>
    <w:rsid w:val="008518F7"/>
    <w:rsid w:val="00851A86"/>
    <w:rsid w:val="00851C8F"/>
    <w:rsid w:val="00851FB7"/>
    <w:rsid w:val="0085290A"/>
    <w:rsid w:val="00852AA9"/>
    <w:rsid w:val="00852B10"/>
    <w:rsid w:val="0085372F"/>
    <w:rsid w:val="00853938"/>
    <w:rsid w:val="00853EDA"/>
    <w:rsid w:val="008541FB"/>
    <w:rsid w:val="008543CE"/>
    <w:rsid w:val="008543E1"/>
    <w:rsid w:val="008547A0"/>
    <w:rsid w:val="00854CE1"/>
    <w:rsid w:val="00854D25"/>
    <w:rsid w:val="00854F9B"/>
    <w:rsid w:val="00854FF2"/>
    <w:rsid w:val="00855730"/>
    <w:rsid w:val="0085590C"/>
    <w:rsid w:val="00855F5F"/>
    <w:rsid w:val="0085665E"/>
    <w:rsid w:val="00856CBF"/>
    <w:rsid w:val="00856E9B"/>
    <w:rsid w:val="008570BB"/>
    <w:rsid w:val="00857A3E"/>
    <w:rsid w:val="00857EB1"/>
    <w:rsid w:val="008607F8"/>
    <w:rsid w:val="00861127"/>
    <w:rsid w:val="00861DE4"/>
    <w:rsid w:val="00861F75"/>
    <w:rsid w:val="00861F7F"/>
    <w:rsid w:val="008620B2"/>
    <w:rsid w:val="0086217B"/>
    <w:rsid w:val="008622E1"/>
    <w:rsid w:val="00862914"/>
    <w:rsid w:val="00863077"/>
    <w:rsid w:val="00863097"/>
    <w:rsid w:val="008631C5"/>
    <w:rsid w:val="00863D39"/>
    <w:rsid w:val="00863F18"/>
    <w:rsid w:val="00864A08"/>
    <w:rsid w:val="00864C93"/>
    <w:rsid w:val="00864E69"/>
    <w:rsid w:val="00864EAB"/>
    <w:rsid w:val="008656B3"/>
    <w:rsid w:val="00865802"/>
    <w:rsid w:val="00865BF4"/>
    <w:rsid w:val="00865C31"/>
    <w:rsid w:val="00865E61"/>
    <w:rsid w:val="00866B9E"/>
    <w:rsid w:val="0086728E"/>
    <w:rsid w:val="0086749A"/>
    <w:rsid w:val="0086752E"/>
    <w:rsid w:val="00867552"/>
    <w:rsid w:val="00867D54"/>
    <w:rsid w:val="00867FD9"/>
    <w:rsid w:val="00870443"/>
    <w:rsid w:val="0087063D"/>
    <w:rsid w:val="0087092D"/>
    <w:rsid w:val="00870F78"/>
    <w:rsid w:val="00871DC4"/>
    <w:rsid w:val="00872816"/>
    <w:rsid w:val="00872E50"/>
    <w:rsid w:val="00872E6E"/>
    <w:rsid w:val="00872FC3"/>
    <w:rsid w:val="00873997"/>
    <w:rsid w:val="00873D7C"/>
    <w:rsid w:val="00874024"/>
    <w:rsid w:val="008743B1"/>
    <w:rsid w:val="0087490A"/>
    <w:rsid w:val="00874EDB"/>
    <w:rsid w:val="0087561F"/>
    <w:rsid w:val="008759C9"/>
    <w:rsid w:val="00875C83"/>
    <w:rsid w:val="00875CC2"/>
    <w:rsid w:val="00875F84"/>
    <w:rsid w:val="00876836"/>
    <w:rsid w:val="0087690B"/>
    <w:rsid w:val="00876B8C"/>
    <w:rsid w:val="00876BA0"/>
    <w:rsid w:val="00876EB7"/>
    <w:rsid w:val="0087735B"/>
    <w:rsid w:val="00877609"/>
    <w:rsid w:val="00877FE4"/>
    <w:rsid w:val="0088018B"/>
    <w:rsid w:val="0088043C"/>
    <w:rsid w:val="0088076D"/>
    <w:rsid w:val="0088119B"/>
    <w:rsid w:val="00881241"/>
    <w:rsid w:val="008812D2"/>
    <w:rsid w:val="0088183E"/>
    <w:rsid w:val="008819CA"/>
    <w:rsid w:val="00882429"/>
    <w:rsid w:val="00882540"/>
    <w:rsid w:val="00882AC0"/>
    <w:rsid w:val="00882D25"/>
    <w:rsid w:val="00882ED5"/>
    <w:rsid w:val="008835BD"/>
    <w:rsid w:val="008835C1"/>
    <w:rsid w:val="008836FC"/>
    <w:rsid w:val="0088385B"/>
    <w:rsid w:val="008838D2"/>
    <w:rsid w:val="00883ADF"/>
    <w:rsid w:val="00883D58"/>
    <w:rsid w:val="00883DFE"/>
    <w:rsid w:val="0088433A"/>
    <w:rsid w:val="008845CC"/>
    <w:rsid w:val="0088493E"/>
    <w:rsid w:val="00884953"/>
    <w:rsid w:val="00884AF7"/>
    <w:rsid w:val="00884F63"/>
    <w:rsid w:val="008852D1"/>
    <w:rsid w:val="008853C5"/>
    <w:rsid w:val="008861C2"/>
    <w:rsid w:val="0088696F"/>
    <w:rsid w:val="00886984"/>
    <w:rsid w:val="00886E99"/>
    <w:rsid w:val="00886F4C"/>
    <w:rsid w:val="00887051"/>
    <w:rsid w:val="008870CC"/>
    <w:rsid w:val="0088767F"/>
    <w:rsid w:val="00887753"/>
    <w:rsid w:val="00887971"/>
    <w:rsid w:val="0088ABDC"/>
    <w:rsid w:val="00890D44"/>
    <w:rsid w:val="00891149"/>
    <w:rsid w:val="00891255"/>
    <w:rsid w:val="00891F4A"/>
    <w:rsid w:val="0089211F"/>
    <w:rsid w:val="008922EF"/>
    <w:rsid w:val="0089274A"/>
    <w:rsid w:val="00892CC8"/>
    <w:rsid w:val="00892D81"/>
    <w:rsid w:val="00892F72"/>
    <w:rsid w:val="00893243"/>
    <w:rsid w:val="00893BFF"/>
    <w:rsid w:val="00893E34"/>
    <w:rsid w:val="008944E3"/>
    <w:rsid w:val="008949D7"/>
    <w:rsid w:val="00894ACF"/>
    <w:rsid w:val="00895115"/>
    <w:rsid w:val="00895166"/>
    <w:rsid w:val="008954E6"/>
    <w:rsid w:val="00895EEB"/>
    <w:rsid w:val="00896041"/>
    <w:rsid w:val="008960E2"/>
    <w:rsid w:val="0089697C"/>
    <w:rsid w:val="00897118"/>
    <w:rsid w:val="0089773C"/>
    <w:rsid w:val="00897D43"/>
    <w:rsid w:val="008A0015"/>
    <w:rsid w:val="008A0459"/>
    <w:rsid w:val="008A0AB0"/>
    <w:rsid w:val="008A109C"/>
    <w:rsid w:val="008A1169"/>
    <w:rsid w:val="008A11B8"/>
    <w:rsid w:val="008A1C23"/>
    <w:rsid w:val="008A20A9"/>
    <w:rsid w:val="008A36A2"/>
    <w:rsid w:val="008A3D9B"/>
    <w:rsid w:val="008A407C"/>
    <w:rsid w:val="008A4204"/>
    <w:rsid w:val="008A44D6"/>
    <w:rsid w:val="008A4C33"/>
    <w:rsid w:val="008A4D00"/>
    <w:rsid w:val="008A4EDC"/>
    <w:rsid w:val="008A563B"/>
    <w:rsid w:val="008A56AD"/>
    <w:rsid w:val="008A6126"/>
    <w:rsid w:val="008A6572"/>
    <w:rsid w:val="008A68A8"/>
    <w:rsid w:val="008A6F40"/>
    <w:rsid w:val="008A72DF"/>
    <w:rsid w:val="008A788C"/>
    <w:rsid w:val="008A7943"/>
    <w:rsid w:val="008A7C44"/>
    <w:rsid w:val="008B0136"/>
    <w:rsid w:val="008B1021"/>
    <w:rsid w:val="008B154F"/>
    <w:rsid w:val="008B1626"/>
    <w:rsid w:val="008B171A"/>
    <w:rsid w:val="008B17DF"/>
    <w:rsid w:val="008B1A6D"/>
    <w:rsid w:val="008B23CE"/>
    <w:rsid w:val="008B2983"/>
    <w:rsid w:val="008B2DD1"/>
    <w:rsid w:val="008B2E8F"/>
    <w:rsid w:val="008B313E"/>
    <w:rsid w:val="008B4252"/>
    <w:rsid w:val="008B4550"/>
    <w:rsid w:val="008B4587"/>
    <w:rsid w:val="008B46C9"/>
    <w:rsid w:val="008B4DFB"/>
    <w:rsid w:val="008B4EFF"/>
    <w:rsid w:val="008B4F79"/>
    <w:rsid w:val="008B5065"/>
    <w:rsid w:val="008B52DF"/>
    <w:rsid w:val="008B56F9"/>
    <w:rsid w:val="008B571E"/>
    <w:rsid w:val="008B5A6F"/>
    <w:rsid w:val="008B5F8B"/>
    <w:rsid w:val="008B63BD"/>
    <w:rsid w:val="008B6549"/>
    <w:rsid w:val="008B66A8"/>
    <w:rsid w:val="008B6E17"/>
    <w:rsid w:val="008B6EA9"/>
    <w:rsid w:val="008B7271"/>
    <w:rsid w:val="008B74DE"/>
    <w:rsid w:val="008B78F1"/>
    <w:rsid w:val="008B7B21"/>
    <w:rsid w:val="008B7DA7"/>
    <w:rsid w:val="008C01A1"/>
    <w:rsid w:val="008C0541"/>
    <w:rsid w:val="008C1798"/>
    <w:rsid w:val="008C1856"/>
    <w:rsid w:val="008C1A5A"/>
    <w:rsid w:val="008C1C86"/>
    <w:rsid w:val="008C208C"/>
    <w:rsid w:val="008C2569"/>
    <w:rsid w:val="008C256B"/>
    <w:rsid w:val="008C2EAE"/>
    <w:rsid w:val="008C3B02"/>
    <w:rsid w:val="008C3B4A"/>
    <w:rsid w:val="008C484C"/>
    <w:rsid w:val="008C4A94"/>
    <w:rsid w:val="008C4E0A"/>
    <w:rsid w:val="008C4F86"/>
    <w:rsid w:val="008C56CE"/>
    <w:rsid w:val="008C5AE8"/>
    <w:rsid w:val="008C6199"/>
    <w:rsid w:val="008C62C4"/>
    <w:rsid w:val="008C69D5"/>
    <w:rsid w:val="008C74C6"/>
    <w:rsid w:val="008C782A"/>
    <w:rsid w:val="008C7BEC"/>
    <w:rsid w:val="008D080B"/>
    <w:rsid w:val="008D08F3"/>
    <w:rsid w:val="008D0EFE"/>
    <w:rsid w:val="008D153A"/>
    <w:rsid w:val="008D1A93"/>
    <w:rsid w:val="008D23E9"/>
    <w:rsid w:val="008D2421"/>
    <w:rsid w:val="008D258C"/>
    <w:rsid w:val="008D2729"/>
    <w:rsid w:val="008D2FC1"/>
    <w:rsid w:val="008D3D63"/>
    <w:rsid w:val="008D3EAC"/>
    <w:rsid w:val="008D4A00"/>
    <w:rsid w:val="008D4CA9"/>
    <w:rsid w:val="008D4F4E"/>
    <w:rsid w:val="008D54BB"/>
    <w:rsid w:val="008D56A4"/>
    <w:rsid w:val="008D59EC"/>
    <w:rsid w:val="008D5A1F"/>
    <w:rsid w:val="008D5B8A"/>
    <w:rsid w:val="008D5E30"/>
    <w:rsid w:val="008D6026"/>
    <w:rsid w:val="008D60A5"/>
    <w:rsid w:val="008D60D7"/>
    <w:rsid w:val="008D6DE1"/>
    <w:rsid w:val="008D6FA8"/>
    <w:rsid w:val="008D6FD2"/>
    <w:rsid w:val="008D7C28"/>
    <w:rsid w:val="008E06CA"/>
    <w:rsid w:val="008E0BA8"/>
    <w:rsid w:val="008E0CBF"/>
    <w:rsid w:val="008E115D"/>
    <w:rsid w:val="008E17F0"/>
    <w:rsid w:val="008E2BFC"/>
    <w:rsid w:val="008E3025"/>
    <w:rsid w:val="008E370B"/>
    <w:rsid w:val="008E3D0A"/>
    <w:rsid w:val="008E3D1E"/>
    <w:rsid w:val="008E3DC9"/>
    <w:rsid w:val="008E431F"/>
    <w:rsid w:val="008E4336"/>
    <w:rsid w:val="008E5403"/>
    <w:rsid w:val="008E593C"/>
    <w:rsid w:val="008E593F"/>
    <w:rsid w:val="008E5EE1"/>
    <w:rsid w:val="008E6129"/>
    <w:rsid w:val="008E6799"/>
    <w:rsid w:val="008E6A1A"/>
    <w:rsid w:val="008E7347"/>
    <w:rsid w:val="008F0011"/>
    <w:rsid w:val="008F023C"/>
    <w:rsid w:val="008F0A4D"/>
    <w:rsid w:val="008F115F"/>
    <w:rsid w:val="008F12C2"/>
    <w:rsid w:val="008F1696"/>
    <w:rsid w:val="008F1855"/>
    <w:rsid w:val="008F1C64"/>
    <w:rsid w:val="008F24F3"/>
    <w:rsid w:val="008F2881"/>
    <w:rsid w:val="008F3547"/>
    <w:rsid w:val="008F407F"/>
    <w:rsid w:val="008F41BB"/>
    <w:rsid w:val="008F4323"/>
    <w:rsid w:val="008F48AC"/>
    <w:rsid w:val="008F4AE2"/>
    <w:rsid w:val="008F534A"/>
    <w:rsid w:val="008F534E"/>
    <w:rsid w:val="008F5A83"/>
    <w:rsid w:val="008F64D7"/>
    <w:rsid w:val="008F67FC"/>
    <w:rsid w:val="008F687A"/>
    <w:rsid w:val="008F6B5B"/>
    <w:rsid w:val="008F6C9B"/>
    <w:rsid w:val="008F6E4B"/>
    <w:rsid w:val="008F7001"/>
    <w:rsid w:val="008F7599"/>
    <w:rsid w:val="008F7B96"/>
    <w:rsid w:val="0090086B"/>
    <w:rsid w:val="00901EFF"/>
    <w:rsid w:val="00902066"/>
    <w:rsid w:val="00902297"/>
    <w:rsid w:val="00902498"/>
    <w:rsid w:val="009024A5"/>
    <w:rsid w:val="00902527"/>
    <w:rsid w:val="00902707"/>
    <w:rsid w:val="0090279B"/>
    <w:rsid w:val="009038E6"/>
    <w:rsid w:val="009039D8"/>
    <w:rsid w:val="00903FA3"/>
    <w:rsid w:val="009044AB"/>
    <w:rsid w:val="00905F2E"/>
    <w:rsid w:val="00906144"/>
    <w:rsid w:val="00906984"/>
    <w:rsid w:val="00906A2D"/>
    <w:rsid w:val="00906C72"/>
    <w:rsid w:val="00906DE4"/>
    <w:rsid w:val="00906F10"/>
    <w:rsid w:val="009078F4"/>
    <w:rsid w:val="00907B8B"/>
    <w:rsid w:val="00910179"/>
    <w:rsid w:val="0091017B"/>
    <w:rsid w:val="00910378"/>
    <w:rsid w:val="00910419"/>
    <w:rsid w:val="00910631"/>
    <w:rsid w:val="009106F3"/>
    <w:rsid w:val="00910752"/>
    <w:rsid w:val="009109BA"/>
    <w:rsid w:val="00911724"/>
    <w:rsid w:val="00911EA1"/>
    <w:rsid w:val="00912C8D"/>
    <w:rsid w:val="00912FBA"/>
    <w:rsid w:val="00913349"/>
    <w:rsid w:val="009133C9"/>
    <w:rsid w:val="009134C7"/>
    <w:rsid w:val="009134E8"/>
    <w:rsid w:val="009135AF"/>
    <w:rsid w:val="009136E2"/>
    <w:rsid w:val="00913A8D"/>
    <w:rsid w:val="009147EA"/>
    <w:rsid w:val="00914D17"/>
    <w:rsid w:val="00914E0D"/>
    <w:rsid w:val="00915411"/>
    <w:rsid w:val="00915848"/>
    <w:rsid w:val="00916125"/>
    <w:rsid w:val="0091634F"/>
    <w:rsid w:val="009169D2"/>
    <w:rsid w:val="00916C06"/>
    <w:rsid w:val="00916EF0"/>
    <w:rsid w:val="009173B8"/>
    <w:rsid w:val="00917CC3"/>
    <w:rsid w:val="00917EA3"/>
    <w:rsid w:val="00917EBD"/>
    <w:rsid w:val="00920801"/>
    <w:rsid w:val="0092155C"/>
    <w:rsid w:val="0092174D"/>
    <w:rsid w:val="009218E6"/>
    <w:rsid w:val="00921945"/>
    <w:rsid w:val="00921D35"/>
    <w:rsid w:val="00921D4E"/>
    <w:rsid w:val="00921DE0"/>
    <w:rsid w:val="00922038"/>
    <w:rsid w:val="00922C00"/>
    <w:rsid w:val="00922E13"/>
    <w:rsid w:val="00923072"/>
    <w:rsid w:val="00923117"/>
    <w:rsid w:val="009233D3"/>
    <w:rsid w:val="009234E7"/>
    <w:rsid w:val="00923884"/>
    <w:rsid w:val="009238C7"/>
    <w:rsid w:val="009241BC"/>
    <w:rsid w:val="00924394"/>
    <w:rsid w:val="009248A3"/>
    <w:rsid w:val="0092496B"/>
    <w:rsid w:val="00925167"/>
    <w:rsid w:val="009251FC"/>
    <w:rsid w:val="00925336"/>
    <w:rsid w:val="009254D3"/>
    <w:rsid w:val="00925928"/>
    <w:rsid w:val="00925965"/>
    <w:rsid w:val="009264E1"/>
    <w:rsid w:val="009269C5"/>
    <w:rsid w:val="00927823"/>
    <w:rsid w:val="00927C30"/>
    <w:rsid w:val="00927D7B"/>
    <w:rsid w:val="00927EA9"/>
    <w:rsid w:val="0093054F"/>
    <w:rsid w:val="00931198"/>
    <w:rsid w:val="009311A4"/>
    <w:rsid w:val="00931C02"/>
    <w:rsid w:val="00932AD0"/>
    <w:rsid w:val="0093300A"/>
    <w:rsid w:val="00933617"/>
    <w:rsid w:val="009336FA"/>
    <w:rsid w:val="00933FCD"/>
    <w:rsid w:val="00934611"/>
    <w:rsid w:val="00935234"/>
    <w:rsid w:val="009356DC"/>
    <w:rsid w:val="009358BF"/>
    <w:rsid w:val="00935CA9"/>
    <w:rsid w:val="0093613B"/>
    <w:rsid w:val="00936257"/>
    <w:rsid w:val="00936E48"/>
    <w:rsid w:val="00937455"/>
    <w:rsid w:val="00937562"/>
    <w:rsid w:val="00937F2B"/>
    <w:rsid w:val="00937F3F"/>
    <w:rsid w:val="009403AF"/>
    <w:rsid w:val="00940426"/>
    <w:rsid w:val="00940578"/>
    <w:rsid w:val="00940717"/>
    <w:rsid w:val="00940AB9"/>
    <w:rsid w:val="009410CE"/>
    <w:rsid w:val="009412CB"/>
    <w:rsid w:val="00941545"/>
    <w:rsid w:val="00941A6A"/>
    <w:rsid w:val="00941AF5"/>
    <w:rsid w:val="0094212C"/>
    <w:rsid w:val="009422C8"/>
    <w:rsid w:val="0094254D"/>
    <w:rsid w:val="009426DD"/>
    <w:rsid w:val="00942B01"/>
    <w:rsid w:val="00942B2C"/>
    <w:rsid w:val="00943A3D"/>
    <w:rsid w:val="00943A93"/>
    <w:rsid w:val="00944B03"/>
    <w:rsid w:val="00944C0E"/>
    <w:rsid w:val="00944CEF"/>
    <w:rsid w:val="00944D62"/>
    <w:rsid w:val="00945B94"/>
    <w:rsid w:val="00945FA4"/>
    <w:rsid w:val="00946236"/>
    <w:rsid w:val="009464D5"/>
    <w:rsid w:val="009468C3"/>
    <w:rsid w:val="00946CFF"/>
    <w:rsid w:val="00946EE9"/>
    <w:rsid w:val="00947092"/>
    <w:rsid w:val="00947305"/>
    <w:rsid w:val="009475A4"/>
    <w:rsid w:val="009477A4"/>
    <w:rsid w:val="00947ADC"/>
    <w:rsid w:val="0095115A"/>
    <w:rsid w:val="0095156F"/>
    <w:rsid w:val="00951D36"/>
    <w:rsid w:val="00951E04"/>
    <w:rsid w:val="00952148"/>
    <w:rsid w:val="009522CD"/>
    <w:rsid w:val="009534FE"/>
    <w:rsid w:val="00953833"/>
    <w:rsid w:val="00953957"/>
    <w:rsid w:val="009539AD"/>
    <w:rsid w:val="00953BEC"/>
    <w:rsid w:val="00954740"/>
    <w:rsid w:val="00954A2F"/>
    <w:rsid w:val="00954B9C"/>
    <w:rsid w:val="00955019"/>
    <w:rsid w:val="00955339"/>
    <w:rsid w:val="0095587D"/>
    <w:rsid w:val="0095596B"/>
    <w:rsid w:val="00955995"/>
    <w:rsid w:val="00955DE6"/>
    <w:rsid w:val="00956A06"/>
    <w:rsid w:val="00956CA0"/>
    <w:rsid w:val="00957513"/>
    <w:rsid w:val="009577F9"/>
    <w:rsid w:val="009600FF"/>
    <w:rsid w:val="009602E7"/>
    <w:rsid w:val="009611A0"/>
    <w:rsid w:val="009611DE"/>
    <w:rsid w:val="009614D7"/>
    <w:rsid w:val="00961590"/>
    <w:rsid w:val="009615B0"/>
    <w:rsid w:val="0096188F"/>
    <w:rsid w:val="00961AF7"/>
    <w:rsid w:val="00962995"/>
    <w:rsid w:val="00962D51"/>
    <w:rsid w:val="00963373"/>
    <w:rsid w:val="009642FF"/>
    <w:rsid w:val="00964659"/>
    <w:rsid w:val="00964CEE"/>
    <w:rsid w:val="009651A1"/>
    <w:rsid w:val="00965977"/>
    <w:rsid w:val="009662A2"/>
    <w:rsid w:val="0096665E"/>
    <w:rsid w:val="00966CFB"/>
    <w:rsid w:val="00966EED"/>
    <w:rsid w:val="0096719F"/>
    <w:rsid w:val="00967567"/>
    <w:rsid w:val="009717DC"/>
    <w:rsid w:val="00972414"/>
    <w:rsid w:val="009726A7"/>
    <w:rsid w:val="00972CF7"/>
    <w:rsid w:val="009731D6"/>
    <w:rsid w:val="009738BB"/>
    <w:rsid w:val="00973BD4"/>
    <w:rsid w:val="00973F78"/>
    <w:rsid w:val="009744C5"/>
    <w:rsid w:val="009746F0"/>
    <w:rsid w:val="0097508F"/>
    <w:rsid w:val="009757C8"/>
    <w:rsid w:val="00975DB8"/>
    <w:rsid w:val="00975E84"/>
    <w:rsid w:val="00975EED"/>
    <w:rsid w:val="00975F8D"/>
    <w:rsid w:val="009764FA"/>
    <w:rsid w:val="00976625"/>
    <w:rsid w:val="00976A42"/>
    <w:rsid w:val="00976D32"/>
    <w:rsid w:val="00977004"/>
    <w:rsid w:val="009775BA"/>
    <w:rsid w:val="00977B6C"/>
    <w:rsid w:val="00977DFE"/>
    <w:rsid w:val="00977F0D"/>
    <w:rsid w:val="00977F28"/>
    <w:rsid w:val="00977FD8"/>
    <w:rsid w:val="00977FE0"/>
    <w:rsid w:val="00980284"/>
    <w:rsid w:val="00980342"/>
    <w:rsid w:val="00980344"/>
    <w:rsid w:val="00980439"/>
    <w:rsid w:val="00980EC8"/>
    <w:rsid w:val="009820B9"/>
    <w:rsid w:val="009826F8"/>
    <w:rsid w:val="0098277D"/>
    <w:rsid w:val="00982905"/>
    <w:rsid w:val="009829FA"/>
    <w:rsid w:val="00983228"/>
    <w:rsid w:val="00983498"/>
    <w:rsid w:val="0098381D"/>
    <w:rsid w:val="00983A3C"/>
    <w:rsid w:val="00983B96"/>
    <w:rsid w:val="00983CB1"/>
    <w:rsid w:val="00983E1A"/>
    <w:rsid w:val="00983F2D"/>
    <w:rsid w:val="00984853"/>
    <w:rsid w:val="00984BEC"/>
    <w:rsid w:val="0098502A"/>
    <w:rsid w:val="0098588C"/>
    <w:rsid w:val="009865F6"/>
    <w:rsid w:val="009866AF"/>
    <w:rsid w:val="00987105"/>
    <w:rsid w:val="009871FA"/>
    <w:rsid w:val="00987810"/>
    <w:rsid w:val="0099017E"/>
    <w:rsid w:val="009901B7"/>
    <w:rsid w:val="009909EB"/>
    <w:rsid w:val="00990CF4"/>
    <w:rsid w:val="00991722"/>
    <w:rsid w:val="00992365"/>
    <w:rsid w:val="00992413"/>
    <w:rsid w:val="0099326F"/>
    <w:rsid w:val="00993C3E"/>
    <w:rsid w:val="00993C70"/>
    <w:rsid w:val="00994030"/>
    <w:rsid w:val="00994404"/>
    <w:rsid w:val="00994636"/>
    <w:rsid w:val="00995A2D"/>
    <w:rsid w:val="00995AA8"/>
    <w:rsid w:val="00995B36"/>
    <w:rsid w:val="00995D00"/>
    <w:rsid w:val="0099607D"/>
    <w:rsid w:val="0099636A"/>
    <w:rsid w:val="00996445"/>
    <w:rsid w:val="00996729"/>
    <w:rsid w:val="009969B0"/>
    <w:rsid w:val="00996B82"/>
    <w:rsid w:val="00996E4C"/>
    <w:rsid w:val="00996EB4"/>
    <w:rsid w:val="0099713E"/>
    <w:rsid w:val="0099759C"/>
    <w:rsid w:val="00997BA0"/>
    <w:rsid w:val="00997BCC"/>
    <w:rsid w:val="00997FB9"/>
    <w:rsid w:val="009A010A"/>
    <w:rsid w:val="009A0796"/>
    <w:rsid w:val="009A095A"/>
    <w:rsid w:val="009A0B1C"/>
    <w:rsid w:val="009A1197"/>
    <w:rsid w:val="009A1D4D"/>
    <w:rsid w:val="009A1F2C"/>
    <w:rsid w:val="009A29EA"/>
    <w:rsid w:val="009A2DBB"/>
    <w:rsid w:val="009A377C"/>
    <w:rsid w:val="009A3895"/>
    <w:rsid w:val="009A3B61"/>
    <w:rsid w:val="009A3F54"/>
    <w:rsid w:val="009A48E5"/>
    <w:rsid w:val="009A4AD7"/>
    <w:rsid w:val="009A4DFC"/>
    <w:rsid w:val="009A4ED9"/>
    <w:rsid w:val="009A5B0A"/>
    <w:rsid w:val="009A6909"/>
    <w:rsid w:val="009A6C39"/>
    <w:rsid w:val="009A6CDD"/>
    <w:rsid w:val="009A7415"/>
    <w:rsid w:val="009A7ECE"/>
    <w:rsid w:val="009B02FF"/>
    <w:rsid w:val="009B0574"/>
    <w:rsid w:val="009B0F6B"/>
    <w:rsid w:val="009B1716"/>
    <w:rsid w:val="009B1AFD"/>
    <w:rsid w:val="009B1D55"/>
    <w:rsid w:val="009B25D8"/>
    <w:rsid w:val="009B4B62"/>
    <w:rsid w:val="009B4CB9"/>
    <w:rsid w:val="009B4D7A"/>
    <w:rsid w:val="009B506B"/>
    <w:rsid w:val="009B5949"/>
    <w:rsid w:val="009B5AA8"/>
    <w:rsid w:val="009B5EBF"/>
    <w:rsid w:val="009B6562"/>
    <w:rsid w:val="009B660C"/>
    <w:rsid w:val="009B66BD"/>
    <w:rsid w:val="009B680B"/>
    <w:rsid w:val="009B685C"/>
    <w:rsid w:val="009B6C7E"/>
    <w:rsid w:val="009B7027"/>
    <w:rsid w:val="009B70AA"/>
    <w:rsid w:val="009B7909"/>
    <w:rsid w:val="009B7AA3"/>
    <w:rsid w:val="009B7B4C"/>
    <w:rsid w:val="009B7C78"/>
    <w:rsid w:val="009C04BB"/>
    <w:rsid w:val="009C0C9B"/>
    <w:rsid w:val="009C0CCC"/>
    <w:rsid w:val="009C13F5"/>
    <w:rsid w:val="009C20A3"/>
    <w:rsid w:val="009C227E"/>
    <w:rsid w:val="009C2683"/>
    <w:rsid w:val="009C2696"/>
    <w:rsid w:val="009C3B22"/>
    <w:rsid w:val="009C3EB4"/>
    <w:rsid w:val="009C42E1"/>
    <w:rsid w:val="009C49EF"/>
    <w:rsid w:val="009C4C83"/>
    <w:rsid w:val="009C54FF"/>
    <w:rsid w:val="009C5581"/>
    <w:rsid w:val="009C5960"/>
    <w:rsid w:val="009C5C17"/>
    <w:rsid w:val="009C5D63"/>
    <w:rsid w:val="009C61D6"/>
    <w:rsid w:val="009C67AE"/>
    <w:rsid w:val="009C6AD2"/>
    <w:rsid w:val="009C7BB4"/>
    <w:rsid w:val="009C7E09"/>
    <w:rsid w:val="009D095B"/>
    <w:rsid w:val="009D0EFF"/>
    <w:rsid w:val="009D0F69"/>
    <w:rsid w:val="009D141D"/>
    <w:rsid w:val="009D1B1F"/>
    <w:rsid w:val="009D2CF0"/>
    <w:rsid w:val="009D312B"/>
    <w:rsid w:val="009D3358"/>
    <w:rsid w:val="009D3525"/>
    <w:rsid w:val="009D355F"/>
    <w:rsid w:val="009D3641"/>
    <w:rsid w:val="009D3671"/>
    <w:rsid w:val="009D3940"/>
    <w:rsid w:val="009D42CD"/>
    <w:rsid w:val="009D4783"/>
    <w:rsid w:val="009D48A1"/>
    <w:rsid w:val="009D4951"/>
    <w:rsid w:val="009D4A33"/>
    <w:rsid w:val="009D55AE"/>
    <w:rsid w:val="009D5CC7"/>
    <w:rsid w:val="009D5CD5"/>
    <w:rsid w:val="009D5D2E"/>
    <w:rsid w:val="009D62D9"/>
    <w:rsid w:val="009D6E87"/>
    <w:rsid w:val="009D7610"/>
    <w:rsid w:val="009D7FB0"/>
    <w:rsid w:val="009E0586"/>
    <w:rsid w:val="009E07D5"/>
    <w:rsid w:val="009E0A43"/>
    <w:rsid w:val="009E0B94"/>
    <w:rsid w:val="009E13DD"/>
    <w:rsid w:val="009E16CF"/>
    <w:rsid w:val="009E17FB"/>
    <w:rsid w:val="009E1C02"/>
    <w:rsid w:val="009E1D4F"/>
    <w:rsid w:val="009E1D8D"/>
    <w:rsid w:val="009E2A0B"/>
    <w:rsid w:val="009E2AF6"/>
    <w:rsid w:val="009E2E58"/>
    <w:rsid w:val="009E393C"/>
    <w:rsid w:val="009E3DFA"/>
    <w:rsid w:val="009E41F9"/>
    <w:rsid w:val="009E44B0"/>
    <w:rsid w:val="009E58EA"/>
    <w:rsid w:val="009E5966"/>
    <w:rsid w:val="009E63B5"/>
    <w:rsid w:val="009E64AC"/>
    <w:rsid w:val="009E654B"/>
    <w:rsid w:val="009E681A"/>
    <w:rsid w:val="009E68CF"/>
    <w:rsid w:val="009E6C7B"/>
    <w:rsid w:val="009E6CB7"/>
    <w:rsid w:val="009E6ED5"/>
    <w:rsid w:val="009E6F4D"/>
    <w:rsid w:val="009E6FAD"/>
    <w:rsid w:val="009E76CB"/>
    <w:rsid w:val="009E784E"/>
    <w:rsid w:val="009F01BD"/>
    <w:rsid w:val="009F0570"/>
    <w:rsid w:val="009F0B5C"/>
    <w:rsid w:val="009F1238"/>
    <w:rsid w:val="009F1A33"/>
    <w:rsid w:val="009F233E"/>
    <w:rsid w:val="009F23DE"/>
    <w:rsid w:val="009F309C"/>
    <w:rsid w:val="009F317C"/>
    <w:rsid w:val="009F3398"/>
    <w:rsid w:val="009F37E1"/>
    <w:rsid w:val="009F3AC3"/>
    <w:rsid w:val="009F46EB"/>
    <w:rsid w:val="009F48C4"/>
    <w:rsid w:val="009F4D84"/>
    <w:rsid w:val="009F4F97"/>
    <w:rsid w:val="009F5B40"/>
    <w:rsid w:val="009F5DA5"/>
    <w:rsid w:val="009F5DF8"/>
    <w:rsid w:val="009F629E"/>
    <w:rsid w:val="009F65A3"/>
    <w:rsid w:val="009F65C3"/>
    <w:rsid w:val="009F6D61"/>
    <w:rsid w:val="009F7118"/>
    <w:rsid w:val="009F7BB0"/>
    <w:rsid w:val="009F7DD3"/>
    <w:rsid w:val="00A001BB"/>
    <w:rsid w:val="00A00781"/>
    <w:rsid w:val="00A00CD2"/>
    <w:rsid w:val="00A01233"/>
    <w:rsid w:val="00A01D3A"/>
    <w:rsid w:val="00A0256B"/>
    <w:rsid w:val="00A027C2"/>
    <w:rsid w:val="00A027DC"/>
    <w:rsid w:val="00A03797"/>
    <w:rsid w:val="00A03FF8"/>
    <w:rsid w:val="00A04AD8"/>
    <w:rsid w:val="00A050E2"/>
    <w:rsid w:val="00A056C0"/>
    <w:rsid w:val="00A05EAE"/>
    <w:rsid w:val="00A05F80"/>
    <w:rsid w:val="00A06250"/>
    <w:rsid w:val="00A06E07"/>
    <w:rsid w:val="00A07B89"/>
    <w:rsid w:val="00A07EC6"/>
    <w:rsid w:val="00A109BB"/>
    <w:rsid w:val="00A109CE"/>
    <w:rsid w:val="00A11192"/>
    <w:rsid w:val="00A118F1"/>
    <w:rsid w:val="00A11C92"/>
    <w:rsid w:val="00A11DE6"/>
    <w:rsid w:val="00A11EEA"/>
    <w:rsid w:val="00A1297A"/>
    <w:rsid w:val="00A12BE7"/>
    <w:rsid w:val="00A12E44"/>
    <w:rsid w:val="00A13131"/>
    <w:rsid w:val="00A13264"/>
    <w:rsid w:val="00A136BD"/>
    <w:rsid w:val="00A1379E"/>
    <w:rsid w:val="00A13EB2"/>
    <w:rsid w:val="00A13F8B"/>
    <w:rsid w:val="00A1401C"/>
    <w:rsid w:val="00A14654"/>
    <w:rsid w:val="00A14A98"/>
    <w:rsid w:val="00A15078"/>
    <w:rsid w:val="00A151B4"/>
    <w:rsid w:val="00A152FE"/>
    <w:rsid w:val="00A155E3"/>
    <w:rsid w:val="00A156E6"/>
    <w:rsid w:val="00A15D00"/>
    <w:rsid w:val="00A165E5"/>
    <w:rsid w:val="00A16A2E"/>
    <w:rsid w:val="00A16F08"/>
    <w:rsid w:val="00A16F45"/>
    <w:rsid w:val="00A171ED"/>
    <w:rsid w:val="00A174FA"/>
    <w:rsid w:val="00A17757"/>
    <w:rsid w:val="00A177BE"/>
    <w:rsid w:val="00A17A13"/>
    <w:rsid w:val="00A17ADD"/>
    <w:rsid w:val="00A17D31"/>
    <w:rsid w:val="00A208DA"/>
    <w:rsid w:val="00A20A69"/>
    <w:rsid w:val="00A212D2"/>
    <w:rsid w:val="00A21F61"/>
    <w:rsid w:val="00A22BC8"/>
    <w:rsid w:val="00A22C2C"/>
    <w:rsid w:val="00A22F5F"/>
    <w:rsid w:val="00A230AB"/>
    <w:rsid w:val="00A23178"/>
    <w:rsid w:val="00A237DD"/>
    <w:rsid w:val="00A23D59"/>
    <w:rsid w:val="00A23F60"/>
    <w:rsid w:val="00A241F1"/>
    <w:rsid w:val="00A24200"/>
    <w:rsid w:val="00A2429C"/>
    <w:rsid w:val="00A242DE"/>
    <w:rsid w:val="00A24358"/>
    <w:rsid w:val="00A24561"/>
    <w:rsid w:val="00A246F3"/>
    <w:rsid w:val="00A24E19"/>
    <w:rsid w:val="00A252BF"/>
    <w:rsid w:val="00A255DD"/>
    <w:rsid w:val="00A257D6"/>
    <w:rsid w:val="00A25B6B"/>
    <w:rsid w:val="00A25C7A"/>
    <w:rsid w:val="00A26206"/>
    <w:rsid w:val="00A263DC"/>
    <w:rsid w:val="00A26BA1"/>
    <w:rsid w:val="00A27524"/>
    <w:rsid w:val="00A275CA"/>
    <w:rsid w:val="00A27DA6"/>
    <w:rsid w:val="00A27E46"/>
    <w:rsid w:val="00A30AD8"/>
    <w:rsid w:val="00A31215"/>
    <w:rsid w:val="00A31A82"/>
    <w:rsid w:val="00A31BFD"/>
    <w:rsid w:val="00A31C11"/>
    <w:rsid w:val="00A320A7"/>
    <w:rsid w:val="00A320BD"/>
    <w:rsid w:val="00A3211A"/>
    <w:rsid w:val="00A32532"/>
    <w:rsid w:val="00A3285C"/>
    <w:rsid w:val="00A32866"/>
    <w:rsid w:val="00A32F00"/>
    <w:rsid w:val="00A33095"/>
    <w:rsid w:val="00A330AF"/>
    <w:rsid w:val="00A3376B"/>
    <w:rsid w:val="00A33F30"/>
    <w:rsid w:val="00A34377"/>
    <w:rsid w:val="00A34B0B"/>
    <w:rsid w:val="00A34DB6"/>
    <w:rsid w:val="00A35304"/>
    <w:rsid w:val="00A3553A"/>
    <w:rsid w:val="00A35AFA"/>
    <w:rsid w:val="00A35C45"/>
    <w:rsid w:val="00A35EB9"/>
    <w:rsid w:val="00A35FDB"/>
    <w:rsid w:val="00A36092"/>
    <w:rsid w:val="00A36888"/>
    <w:rsid w:val="00A36F55"/>
    <w:rsid w:val="00A370BB"/>
    <w:rsid w:val="00A37294"/>
    <w:rsid w:val="00A37365"/>
    <w:rsid w:val="00A37456"/>
    <w:rsid w:val="00A37B25"/>
    <w:rsid w:val="00A37F43"/>
    <w:rsid w:val="00A403AA"/>
    <w:rsid w:val="00A405CF"/>
    <w:rsid w:val="00A40F2A"/>
    <w:rsid w:val="00A40F78"/>
    <w:rsid w:val="00A410BE"/>
    <w:rsid w:val="00A419CB"/>
    <w:rsid w:val="00A41D20"/>
    <w:rsid w:val="00A41E5F"/>
    <w:rsid w:val="00A41F96"/>
    <w:rsid w:val="00A42222"/>
    <w:rsid w:val="00A42395"/>
    <w:rsid w:val="00A4239B"/>
    <w:rsid w:val="00A426E0"/>
    <w:rsid w:val="00A42961"/>
    <w:rsid w:val="00A43583"/>
    <w:rsid w:val="00A4391F"/>
    <w:rsid w:val="00A43B09"/>
    <w:rsid w:val="00A43E99"/>
    <w:rsid w:val="00A43EB4"/>
    <w:rsid w:val="00A43F8F"/>
    <w:rsid w:val="00A43FA7"/>
    <w:rsid w:val="00A44483"/>
    <w:rsid w:val="00A4493C"/>
    <w:rsid w:val="00A44B39"/>
    <w:rsid w:val="00A45198"/>
    <w:rsid w:val="00A456C4"/>
    <w:rsid w:val="00A456D5"/>
    <w:rsid w:val="00A4575A"/>
    <w:rsid w:val="00A45805"/>
    <w:rsid w:val="00A4581C"/>
    <w:rsid w:val="00A46B22"/>
    <w:rsid w:val="00A46BD2"/>
    <w:rsid w:val="00A46FD4"/>
    <w:rsid w:val="00A4703D"/>
    <w:rsid w:val="00A500EF"/>
    <w:rsid w:val="00A50735"/>
    <w:rsid w:val="00A508B5"/>
    <w:rsid w:val="00A50BD1"/>
    <w:rsid w:val="00A512BD"/>
    <w:rsid w:val="00A51A57"/>
    <w:rsid w:val="00A51D75"/>
    <w:rsid w:val="00A5210E"/>
    <w:rsid w:val="00A526FC"/>
    <w:rsid w:val="00A533F9"/>
    <w:rsid w:val="00A5359C"/>
    <w:rsid w:val="00A535D2"/>
    <w:rsid w:val="00A5408D"/>
    <w:rsid w:val="00A542C4"/>
    <w:rsid w:val="00A5435A"/>
    <w:rsid w:val="00A548FD"/>
    <w:rsid w:val="00A54A69"/>
    <w:rsid w:val="00A55065"/>
    <w:rsid w:val="00A553BA"/>
    <w:rsid w:val="00A5548A"/>
    <w:rsid w:val="00A559CC"/>
    <w:rsid w:val="00A55B6E"/>
    <w:rsid w:val="00A55C1E"/>
    <w:rsid w:val="00A55FA7"/>
    <w:rsid w:val="00A564BF"/>
    <w:rsid w:val="00A565C9"/>
    <w:rsid w:val="00A5667C"/>
    <w:rsid w:val="00A56D93"/>
    <w:rsid w:val="00A5748F"/>
    <w:rsid w:val="00A57A13"/>
    <w:rsid w:val="00A57A9A"/>
    <w:rsid w:val="00A6072F"/>
    <w:rsid w:val="00A612FC"/>
    <w:rsid w:val="00A61DB3"/>
    <w:rsid w:val="00A620FB"/>
    <w:rsid w:val="00A623B0"/>
    <w:rsid w:val="00A624C2"/>
    <w:rsid w:val="00A62CCD"/>
    <w:rsid w:val="00A62D1E"/>
    <w:rsid w:val="00A636DF"/>
    <w:rsid w:val="00A636FD"/>
    <w:rsid w:val="00A6378B"/>
    <w:rsid w:val="00A63997"/>
    <w:rsid w:val="00A63EDD"/>
    <w:rsid w:val="00A63F25"/>
    <w:rsid w:val="00A6432A"/>
    <w:rsid w:val="00A64FC6"/>
    <w:rsid w:val="00A64FFA"/>
    <w:rsid w:val="00A65049"/>
    <w:rsid w:val="00A65074"/>
    <w:rsid w:val="00A65485"/>
    <w:rsid w:val="00A655C6"/>
    <w:rsid w:val="00A65775"/>
    <w:rsid w:val="00A65CAB"/>
    <w:rsid w:val="00A65CB9"/>
    <w:rsid w:val="00A65FA1"/>
    <w:rsid w:val="00A666D1"/>
    <w:rsid w:val="00A66949"/>
    <w:rsid w:val="00A669D5"/>
    <w:rsid w:val="00A66A13"/>
    <w:rsid w:val="00A67BF2"/>
    <w:rsid w:val="00A70120"/>
    <w:rsid w:val="00A7037C"/>
    <w:rsid w:val="00A7198B"/>
    <w:rsid w:val="00A71C32"/>
    <w:rsid w:val="00A72B99"/>
    <w:rsid w:val="00A73914"/>
    <w:rsid w:val="00A73F05"/>
    <w:rsid w:val="00A74571"/>
    <w:rsid w:val="00A74591"/>
    <w:rsid w:val="00A75016"/>
    <w:rsid w:val="00A752BC"/>
    <w:rsid w:val="00A75B73"/>
    <w:rsid w:val="00A7626E"/>
    <w:rsid w:val="00A7678B"/>
    <w:rsid w:val="00A76902"/>
    <w:rsid w:val="00A7695E"/>
    <w:rsid w:val="00A77C91"/>
    <w:rsid w:val="00A77E31"/>
    <w:rsid w:val="00A80288"/>
    <w:rsid w:val="00A802CF"/>
    <w:rsid w:val="00A81049"/>
    <w:rsid w:val="00A8150F"/>
    <w:rsid w:val="00A81B95"/>
    <w:rsid w:val="00A8203B"/>
    <w:rsid w:val="00A8214F"/>
    <w:rsid w:val="00A823B6"/>
    <w:rsid w:val="00A82686"/>
    <w:rsid w:val="00A8296E"/>
    <w:rsid w:val="00A82CC5"/>
    <w:rsid w:val="00A82E5D"/>
    <w:rsid w:val="00A82FE6"/>
    <w:rsid w:val="00A83643"/>
    <w:rsid w:val="00A84533"/>
    <w:rsid w:val="00A84D03"/>
    <w:rsid w:val="00A8557F"/>
    <w:rsid w:val="00A85A6C"/>
    <w:rsid w:val="00A85B2F"/>
    <w:rsid w:val="00A86228"/>
    <w:rsid w:val="00A86458"/>
    <w:rsid w:val="00A87228"/>
    <w:rsid w:val="00A875C2"/>
    <w:rsid w:val="00A87FEC"/>
    <w:rsid w:val="00A90166"/>
    <w:rsid w:val="00A9099E"/>
    <w:rsid w:val="00A910B0"/>
    <w:rsid w:val="00A91323"/>
    <w:rsid w:val="00A91390"/>
    <w:rsid w:val="00A913AF"/>
    <w:rsid w:val="00A916A6"/>
    <w:rsid w:val="00A919BB"/>
    <w:rsid w:val="00A91A4F"/>
    <w:rsid w:val="00A91B69"/>
    <w:rsid w:val="00A91BFD"/>
    <w:rsid w:val="00A9209B"/>
    <w:rsid w:val="00A920B5"/>
    <w:rsid w:val="00A92C83"/>
    <w:rsid w:val="00A9344F"/>
    <w:rsid w:val="00A939B7"/>
    <w:rsid w:val="00A939DF"/>
    <w:rsid w:val="00A94C75"/>
    <w:rsid w:val="00A94DB1"/>
    <w:rsid w:val="00A96610"/>
    <w:rsid w:val="00A966F8"/>
    <w:rsid w:val="00A96AD0"/>
    <w:rsid w:val="00A96DBE"/>
    <w:rsid w:val="00A974E6"/>
    <w:rsid w:val="00A97DBB"/>
    <w:rsid w:val="00A97E93"/>
    <w:rsid w:val="00AA011A"/>
    <w:rsid w:val="00AA01E2"/>
    <w:rsid w:val="00AA0226"/>
    <w:rsid w:val="00AA030E"/>
    <w:rsid w:val="00AA0528"/>
    <w:rsid w:val="00AA0D74"/>
    <w:rsid w:val="00AA10E7"/>
    <w:rsid w:val="00AA12D9"/>
    <w:rsid w:val="00AA134A"/>
    <w:rsid w:val="00AA15A1"/>
    <w:rsid w:val="00AA15B8"/>
    <w:rsid w:val="00AA1BAF"/>
    <w:rsid w:val="00AA1D7B"/>
    <w:rsid w:val="00AA1F3E"/>
    <w:rsid w:val="00AA262F"/>
    <w:rsid w:val="00AA2FD8"/>
    <w:rsid w:val="00AA3967"/>
    <w:rsid w:val="00AA3ACA"/>
    <w:rsid w:val="00AA3AF3"/>
    <w:rsid w:val="00AA3C89"/>
    <w:rsid w:val="00AA3DF7"/>
    <w:rsid w:val="00AA4385"/>
    <w:rsid w:val="00AA4A05"/>
    <w:rsid w:val="00AA4C36"/>
    <w:rsid w:val="00AA55B9"/>
    <w:rsid w:val="00AA60C6"/>
    <w:rsid w:val="00AA6143"/>
    <w:rsid w:val="00AA64BE"/>
    <w:rsid w:val="00AA65E1"/>
    <w:rsid w:val="00AA6BB2"/>
    <w:rsid w:val="00AA7802"/>
    <w:rsid w:val="00AA7FF5"/>
    <w:rsid w:val="00AB01D9"/>
    <w:rsid w:val="00AB0489"/>
    <w:rsid w:val="00AB0CB6"/>
    <w:rsid w:val="00AB1055"/>
    <w:rsid w:val="00AB1A3D"/>
    <w:rsid w:val="00AB1EBD"/>
    <w:rsid w:val="00AB2078"/>
    <w:rsid w:val="00AB2471"/>
    <w:rsid w:val="00AB255D"/>
    <w:rsid w:val="00AB282E"/>
    <w:rsid w:val="00AB2BE9"/>
    <w:rsid w:val="00AB2CF4"/>
    <w:rsid w:val="00AB36BB"/>
    <w:rsid w:val="00AB3A76"/>
    <w:rsid w:val="00AB3BB5"/>
    <w:rsid w:val="00AB3E08"/>
    <w:rsid w:val="00AB4899"/>
    <w:rsid w:val="00AB4B8C"/>
    <w:rsid w:val="00AB4BF4"/>
    <w:rsid w:val="00AB5752"/>
    <w:rsid w:val="00AB5A0D"/>
    <w:rsid w:val="00AB6664"/>
    <w:rsid w:val="00AB673E"/>
    <w:rsid w:val="00AB6B77"/>
    <w:rsid w:val="00AB7066"/>
    <w:rsid w:val="00AB74DA"/>
    <w:rsid w:val="00AB75E4"/>
    <w:rsid w:val="00AC0714"/>
    <w:rsid w:val="00AC0900"/>
    <w:rsid w:val="00AC0AB0"/>
    <w:rsid w:val="00AC0B69"/>
    <w:rsid w:val="00AC0E04"/>
    <w:rsid w:val="00AC0EDE"/>
    <w:rsid w:val="00AC1220"/>
    <w:rsid w:val="00AC1359"/>
    <w:rsid w:val="00AC1376"/>
    <w:rsid w:val="00AC1C5A"/>
    <w:rsid w:val="00AC2091"/>
    <w:rsid w:val="00AC20C7"/>
    <w:rsid w:val="00AC21FA"/>
    <w:rsid w:val="00AC2B66"/>
    <w:rsid w:val="00AC2EFB"/>
    <w:rsid w:val="00AC3111"/>
    <w:rsid w:val="00AC34D0"/>
    <w:rsid w:val="00AC436B"/>
    <w:rsid w:val="00AC446E"/>
    <w:rsid w:val="00AC4872"/>
    <w:rsid w:val="00AC4F9F"/>
    <w:rsid w:val="00AC51EE"/>
    <w:rsid w:val="00AC5409"/>
    <w:rsid w:val="00AC5BD8"/>
    <w:rsid w:val="00AC5CF2"/>
    <w:rsid w:val="00AC602B"/>
    <w:rsid w:val="00AC6678"/>
    <w:rsid w:val="00AC6D24"/>
    <w:rsid w:val="00AC6F82"/>
    <w:rsid w:val="00AC702C"/>
    <w:rsid w:val="00AC7120"/>
    <w:rsid w:val="00AD02FF"/>
    <w:rsid w:val="00AD04BD"/>
    <w:rsid w:val="00AD052E"/>
    <w:rsid w:val="00AD0B27"/>
    <w:rsid w:val="00AD0E6C"/>
    <w:rsid w:val="00AD129C"/>
    <w:rsid w:val="00AD161D"/>
    <w:rsid w:val="00AD3D55"/>
    <w:rsid w:val="00AD3F04"/>
    <w:rsid w:val="00AD4043"/>
    <w:rsid w:val="00AD45A8"/>
    <w:rsid w:val="00AD5389"/>
    <w:rsid w:val="00AD592B"/>
    <w:rsid w:val="00AD6464"/>
    <w:rsid w:val="00AD65A7"/>
    <w:rsid w:val="00AD6823"/>
    <w:rsid w:val="00AD72B2"/>
    <w:rsid w:val="00AD772C"/>
    <w:rsid w:val="00AD777D"/>
    <w:rsid w:val="00AD7A63"/>
    <w:rsid w:val="00AD7DF2"/>
    <w:rsid w:val="00AE01C3"/>
    <w:rsid w:val="00AE04BA"/>
    <w:rsid w:val="00AE056E"/>
    <w:rsid w:val="00AE0906"/>
    <w:rsid w:val="00AE09A6"/>
    <w:rsid w:val="00AE0AD3"/>
    <w:rsid w:val="00AE0E9B"/>
    <w:rsid w:val="00AE13AC"/>
    <w:rsid w:val="00AE1DCB"/>
    <w:rsid w:val="00AE2122"/>
    <w:rsid w:val="00AE2C6D"/>
    <w:rsid w:val="00AE2CEC"/>
    <w:rsid w:val="00AE2E71"/>
    <w:rsid w:val="00AE339F"/>
    <w:rsid w:val="00AE3AF3"/>
    <w:rsid w:val="00AE3D71"/>
    <w:rsid w:val="00AE4500"/>
    <w:rsid w:val="00AE535A"/>
    <w:rsid w:val="00AE5D4E"/>
    <w:rsid w:val="00AE65EB"/>
    <w:rsid w:val="00AE688C"/>
    <w:rsid w:val="00AE6908"/>
    <w:rsid w:val="00AE6F20"/>
    <w:rsid w:val="00AE748E"/>
    <w:rsid w:val="00AE79EE"/>
    <w:rsid w:val="00AF0198"/>
    <w:rsid w:val="00AF01A5"/>
    <w:rsid w:val="00AF0BC0"/>
    <w:rsid w:val="00AF0D0B"/>
    <w:rsid w:val="00AF0D1F"/>
    <w:rsid w:val="00AF0FEE"/>
    <w:rsid w:val="00AF10D8"/>
    <w:rsid w:val="00AF11F3"/>
    <w:rsid w:val="00AF1732"/>
    <w:rsid w:val="00AF19A7"/>
    <w:rsid w:val="00AF2092"/>
    <w:rsid w:val="00AF220C"/>
    <w:rsid w:val="00AF235D"/>
    <w:rsid w:val="00AF2EA7"/>
    <w:rsid w:val="00AF3244"/>
    <w:rsid w:val="00AF379C"/>
    <w:rsid w:val="00AF3CB9"/>
    <w:rsid w:val="00AF4378"/>
    <w:rsid w:val="00AF47A8"/>
    <w:rsid w:val="00AF4FE3"/>
    <w:rsid w:val="00AF5A12"/>
    <w:rsid w:val="00AF5D5A"/>
    <w:rsid w:val="00AF5F38"/>
    <w:rsid w:val="00AF613A"/>
    <w:rsid w:val="00AF64E4"/>
    <w:rsid w:val="00AF68F3"/>
    <w:rsid w:val="00AF6C89"/>
    <w:rsid w:val="00AF6E9B"/>
    <w:rsid w:val="00AF7301"/>
    <w:rsid w:val="00AF74B2"/>
    <w:rsid w:val="00AF7717"/>
    <w:rsid w:val="00AF7923"/>
    <w:rsid w:val="00AF79F4"/>
    <w:rsid w:val="00AF7BB5"/>
    <w:rsid w:val="00AF7D57"/>
    <w:rsid w:val="00AF7E64"/>
    <w:rsid w:val="00AF7F59"/>
    <w:rsid w:val="00B0000F"/>
    <w:rsid w:val="00B00B8D"/>
    <w:rsid w:val="00B01104"/>
    <w:rsid w:val="00B012FC"/>
    <w:rsid w:val="00B01909"/>
    <w:rsid w:val="00B021AC"/>
    <w:rsid w:val="00B025EC"/>
    <w:rsid w:val="00B02A12"/>
    <w:rsid w:val="00B02C40"/>
    <w:rsid w:val="00B033EC"/>
    <w:rsid w:val="00B04C2D"/>
    <w:rsid w:val="00B04EF7"/>
    <w:rsid w:val="00B0521B"/>
    <w:rsid w:val="00B05A01"/>
    <w:rsid w:val="00B05A50"/>
    <w:rsid w:val="00B05C8B"/>
    <w:rsid w:val="00B05FEE"/>
    <w:rsid w:val="00B061E9"/>
    <w:rsid w:val="00B0624E"/>
    <w:rsid w:val="00B06D8E"/>
    <w:rsid w:val="00B077AD"/>
    <w:rsid w:val="00B07C94"/>
    <w:rsid w:val="00B07DB8"/>
    <w:rsid w:val="00B100B5"/>
    <w:rsid w:val="00B102FD"/>
    <w:rsid w:val="00B10531"/>
    <w:rsid w:val="00B10633"/>
    <w:rsid w:val="00B10683"/>
    <w:rsid w:val="00B107C9"/>
    <w:rsid w:val="00B10844"/>
    <w:rsid w:val="00B10F80"/>
    <w:rsid w:val="00B110B2"/>
    <w:rsid w:val="00B1199D"/>
    <w:rsid w:val="00B11EE9"/>
    <w:rsid w:val="00B11EF0"/>
    <w:rsid w:val="00B12838"/>
    <w:rsid w:val="00B12C22"/>
    <w:rsid w:val="00B12F29"/>
    <w:rsid w:val="00B13020"/>
    <w:rsid w:val="00B139D1"/>
    <w:rsid w:val="00B13A47"/>
    <w:rsid w:val="00B13BBD"/>
    <w:rsid w:val="00B141BB"/>
    <w:rsid w:val="00B1421A"/>
    <w:rsid w:val="00B149AC"/>
    <w:rsid w:val="00B15065"/>
    <w:rsid w:val="00B1579F"/>
    <w:rsid w:val="00B157E5"/>
    <w:rsid w:val="00B15814"/>
    <w:rsid w:val="00B158A0"/>
    <w:rsid w:val="00B17A16"/>
    <w:rsid w:val="00B17B44"/>
    <w:rsid w:val="00B2016B"/>
    <w:rsid w:val="00B209AC"/>
    <w:rsid w:val="00B209DA"/>
    <w:rsid w:val="00B218BF"/>
    <w:rsid w:val="00B2200C"/>
    <w:rsid w:val="00B220B2"/>
    <w:rsid w:val="00B22674"/>
    <w:rsid w:val="00B22A12"/>
    <w:rsid w:val="00B22A21"/>
    <w:rsid w:val="00B22CDB"/>
    <w:rsid w:val="00B22E49"/>
    <w:rsid w:val="00B2349C"/>
    <w:rsid w:val="00B23578"/>
    <w:rsid w:val="00B2382B"/>
    <w:rsid w:val="00B23A85"/>
    <w:rsid w:val="00B23F8F"/>
    <w:rsid w:val="00B23FA1"/>
    <w:rsid w:val="00B2464A"/>
    <w:rsid w:val="00B24BF4"/>
    <w:rsid w:val="00B24EBD"/>
    <w:rsid w:val="00B25531"/>
    <w:rsid w:val="00B25B91"/>
    <w:rsid w:val="00B261A1"/>
    <w:rsid w:val="00B272BE"/>
    <w:rsid w:val="00B27645"/>
    <w:rsid w:val="00B2766D"/>
    <w:rsid w:val="00B276CD"/>
    <w:rsid w:val="00B2779A"/>
    <w:rsid w:val="00B27A22"/>
    <w:rsid w:val="00B27E8A"/>
    <w:rsid w:val="00B303C7"/>
    <w:rsid w:val="00B30803"/>
    <w:rsid w:val="00B30A63"/>
    <w:rsid w:val="00B30BFF"/>
    <w:rsid w:val="00B30E02"/>
    <w:rsid w:val="00B31072"/>
    <w:rsid w:val="00B314E2"/>
    <w:rsid w:val="00B314F3"/>
    <w:rsid w:val="00B31956"/>
    <w:rsid w:val="00B32434"/>
    <w:rsid w:val="00B32B15"/>
    <w:rsid w:val="00B32B5C"/>
    <w:rsid w:val="00B32D96"/>
    <w:rsid w:val="00B33161"/>
    <w:rsid w:val="00B3355B"/>
    <w:rsid w:val="00B335B5"/>
    <w:rsid w:val="00B33AA0"/>
    <w:rsid w:val="00B33B93"/>
    <w:rsid w:val="00B33F44"/>
    <w:rsid w:val="00B340F0"/>
    <w:rsid w:val="00B34505"/>
    <w:rsid w:val="00B35ABA"/>
    <w:rsid w:val="00B361DE"/>
    <w:rsid w:val="00B36E43"/>
    <w:rsid w:val="00B36F73"/>
    <w:rsid w:val="00B37B6E"/>
    <w:rsid w:val="00B37E58"/>
    <w:rsid w:val="00B400B3"/>
    <w:rsid w:val="00B40556"/>
    <w:rsid w:val="00B405F7"/>
    <w:rsid w:val="00B408AF"/>
    <w:rsid w:val="00B4164B"/>
    <w:rsid w:val="00B41A21"/>
    <w:rsid w:val="00B41AFD"/>
    <w:rsid w:val="00B42521"/>
    <w:rsid w:val="00B426B1"/>
    <w:rsid w:val="00B42832"/>
    <w:rsid w:val="00B42AB4"/>
    <w:rsid w:val="00B430A3"/>
    <w:rsid w:val="00B43138"/>
    <w:rsid w:val="00B43972"/>
    <w:rsid w:val="00B43AA5"/>
    <w:rsid w:val="00B43CA6"/>
    <w:rsid w:val="00B43D4E"/>
    <w:rsid w:val="00B447AC"/>
    <w:rsid w:val="00B44840"/>
    <w:rsid w:val="00B4503A"/>
    <w:rsid w:val="00B4543D"/>
    <w:rsid w:val="00B45982"/>
    <w:rsid w:val="00B45A88"/>
    <w:rsid w:val="00B45B6C"/>
    <w:rsid w:val="00B45ED8"/>
    <w:rsid w:val="00B4651F"/>
    <w:rsid w:val="00B4656A"/>
    <w:rsid w:val="00B468CE"/>
    <w:rsid w:val="00B469E7"/>
    <w:rsid w:val="00B46A0D"/>
    <w:rsid w:val="00B4784D"/>
    <w:rsid w:val="00B47EC8"/>
    <w:rsid w:val="00B47FB7"/>
    <w:rsid w:val="00B5039E"/>
    <w:rsid w:val="00B50409"/>
    <w:rsid w:val="00B50EA7"/>
    <w:rsid w:val="00B514FF"/>
    <w:rsid w:val="00B51646"/>
    <w:rsid w:val="00B51BC7"/>
    <w:rsid w:val="00B51C63"/>
    <w:rsid w:val="00B52428"/>
    <w:rsid w:val="00B54063"/>
    <w:rsid w:val="00B545C3"/>
    <w:rsid w:val="00B5495A"/>
    <w:rsid w:val="00B55302"/>
    <w:rsid w:val="00B55511"/>
    <w:rsid w:val="00B55630"/>
    <w:rsid w:val="00B56819"/>
    <w:rsid w:val="00B575D5"/>
    <w:rsid w:val="00B57923"/>
    <w:rsid w:val="00B57A33"/>
    <w:rsid w:val="00B57F1D"/>
    <w:rsid w:val="00B600B1"/>
    <w:rsid w:val="00B60628"/>
    <w:rsid w:val="00B60A63"/>
    <w:rsid w:val="00B60B9F"/>
    <w:rsid w:val="00B60DCB"/>
    <w:rsid w:val="00B617B6"/>
    <w:rsid w:val="00B619D5"/>
    <w:rsid w:val="00B627CA"/>
    <w:rsid w:val="00B62A32"/>
    <w:rsid w:val="00B637CF"/>
    <w:rsid w:val="00B63873"/>
    <w:rsid w:val="00B64659"/>
    <w:rsid w:val="00B647E2"/>
    <w:rsid w:val="00B64B2C"/>
    <w:rsid w:val="00B64BC8"/>
    <w:rsid w:val="00B64BF2"/>
    <w:rsid w:val="00B64C70"/>
    <w:rsid w:val="00B65492"/>
    <w:rsid w:val="00B66C2C"/>
    <w:rsid w:val="00B66C58"/>
    <w:rsid w:val="00B673C2"/>
    <w:rsid w:val="00B67A76"/>
    <w:rsid w:val="00B67B92"/>
    <w:rsid w:val="00B67C17"/>
    <w:rsid w:val="00B7076F"/>
    <w:rsid w:val="00B70B9A"/>
    <w:rsid w:val="00B70C8A"/>
    <w:rsid w:val="00B71515"/>
    <w:rsid w:val="00B722FF"/>
    <w:rsid w:val="00B72BE9"/>
    <w:rsid w:val="00B72C1A"/>
    <w:rsid w:val="00B72E04"/>
    <w:rsid w:val="00B72F04"/>
    <w:rsid w:val="00B73315"/>
    <w:rsid w:val="00B73736"/>
    <w:rsid w:val="00B73A1C"/>
    <w:rsid w:val="00B73A24"/>
    <w:rsid w:val="00B749F1"/>
    <w:rsid w:val="00B74FC9"/>
    <w:rsid w:val="00B7503E"/>
    <w:rsid w:val="00B7531F"/>
    <w:rsid w:val="00B75350"/>
    <w:rsid w:val="00B755C2"/>
    <w:rsid w:val="00B75D70"/>
    <w:rsid w:val="00B76633"/>
    <w:rsid w:val="00B766E3"/>
    <w:rsid w:val="00B77051"/>
    <w:rsid w:val="00B77236"/>
    <w:rsid w:val="00B7767B"/>
    <w:rsid w:val="00B77D88"/>
    <w:rsid w:val="00B77F6A"/>
    <w:rsid w:val="00B812BA"/>
    <w:rsid w:val="00B81841"/>
    <w:rsid w:val="00B818E8"/>
    <w:rsid w:val="00B81BF0"/>
    <w:rsid w:val="00B8205E"/>
    <w:rsid w:val="00B82511"/>
    <w:rsid w:val="00B82BB2"/>
    <w:rsid w:val="00B8334E"/>
    <w:rsid w:val="00B83765"/>
    <w:rsid w:val="00B83AC0"/>
    <w:rsid w:val="00B83D65"/>
    <w:rsid w:val="00B83D9F"/>
    <w:rsid w:val="00B83F12"/>
    <w:rsid w:val="00B8477E"/>
    <w:rsid w:val="00B848B5"/>
    <w:rsid w:val="00B84F08"/>
    <w:rsid w:val="00B84F3F"/>
    <w:rsid w:val="00B85664"/>
    <w:rsid w:val="00B86D64"/>
    <w:rsid w:val="00B87309"/>
    <w:rsid w:val="00B8768B"/>
    <w:rsid w:val="00B878A5"/>
    <w:rsid w:val="00B9060C"/>
    <w:rsid w:val="00B90720"/>
    <w:rsid w:val="00B9096B"/>
    <w:rsid w:val="00B90C74"/>
    <w:rsid w:val="00B91330"/>
    <w:rsid w:val="00B91D6C"/>
    <w:rsid w:val="00B92D9A"/>
    <w:rsid w:val="00B9370B"/>
    <w:rsid w:val="00B938C9"/>
    <w:rsid w:val="00B94132"/>
    <w:rsid w:val="00B944E7"/>
    <w:rsid w:val="00B94610"/>
    <w:rsid w:val="00B95030"/>
    <w:rsid w:val="00B95210"/>
    <w:rsid w:val="00B955BA"/>
    <w:rsid w:val="00B95AC3"/>
    <w:rsid w:val="00B95ECF"/>
    <w:rsid w:val="00B95FAE"/>
    <w:rsid w:val="00B961DB"/>
    <w:rsid w:val="00B962C3"/>
    <w:rsid w:val="00B9644D"/>
    <w:rsid w:val="00B968B3"/>
    <w:rsid w:val="00B96CE0"/>
    <w:rsid w:val="00B9780D"/>
    <w:rsid w:val="00B97979"/>
    <w:rsid w:val="00B979BD"/>
    <w:rsid w:val="00B97D44"/>
    <w:rsid w:val="00BA002D"/>
    <w:rsid w:val="00BA05CC"/>
    <w:rsid w:val="00BA0805"/>
    <w:rsid w:val="00BA0908"/>
    <w:rsid w:val="00BA208B"/>
    <w:rsid w:val="00BA233B"/>
    <w:rsid w:val="00BA28A1"/>
    <w:rsid w:val="00BA2FE4"/>
    <w:rsid w:val="00BA3861"/>
    <w:rsid w:val="00BA4378"/>
    <w:rsid w:val="00BA4682"/>
    <w:rsid w:val="00BA49F0"/>
    <w:rsid w:val="00BA52E1"/>
    <w:rsid w:val="00BA565A"/>
    <w:rsid w:val="00BA5D10"/>
    <w:rsid w:val="00BA5E73"/>
    <w:rsid w:val="00BA61EC"/>
    <w:rsid w:val="00BA6470"/>
    <w:rsid w:val="00BA6BCC"/>
    <w:rsid w:val="00BA7090"/>
    <w:rsid w:val="00BA7337"/>
    <w:rsid w:val="00BA7355"/>
    <w:rsid w:val="00BA75A2"/>
    <w:rsid w:val="00BA7B82"/>
    <w:rsid w:val="00BB0694"/>
    <w:rsid w:val="00BB08A0"/>
    <w:rsid w:val="00BB151C"/>
    <w:rsid w:val="00BB19CC"/>
    <w:rsid w:val="00BB21E5"/>
    <w:rsid w:val="00BB331A"/>
    <w:rsid w:val="00BB35D1"/>
    <w:rsid w:val="00BB3839"/>
    <w:rsid w:val="00BB431E"/>
    <w:rsid w:val="00BB43C6"/>
    <w:rsid w:val="00BB4591"/>
    <w:rsid w:val="00BB48BE"/>
    <w:rsid w:val="00BB5EB1"/>
    <w:rsid w:val="00BB7130"/>
    <w:rsid w:val="00BB7357"/>
    <w:rsid w:val="00BB78BC"/>
    <w:rsid w:val="00BB7E50"/>
    <w:rsid w:val="00BB7E5C"/>
    <w:rsid w:val="00BC013C"/>
    <w:rsid w:val="00BC047C"/>
    <w:rsid w:val="00BC0897"/>
    <w:rsid w:val="00BC0A82"/>
    <w:rsid w:val="00BC1829"/>
    <w:rsid w:val="00BC3C36"/>
    <w:rsid w:val="00BC431C"/>
    <w:rsid w:val="00BC4350"/>
    <w:rsid w:val="00BC4EF4"/>
    <w:rsid w:val="00BC6175"/>
    <w:rsid w:val="00BC63F4"/>
    <w:rsid w:val="00BC644F"/>
    <w:rsid w:val="00BC647D"/>
    <w:rsid w:val="00BC6C28"/>
    <w:rsid w:val="00BD0236"/>
    <w:rsid w:val="00BD1B9F"/>
    <w:rsid w:val="00BD1BC7"/>
    <w:rsid w:val="00BD1BE8"/>
    <w:rsid w:val="00BD220F"/>
    <w:rsid w:val="00BD24B4"/>
    <w:rsid w:val="00BD2E57"/>
    <w:rsid w:val="00BD31C6"/>
    <w:rsid w:val="00BD3E1B"/>
    <w:rsid w:val="00BD49D1"/>
    <w:rsid w:val="00BD52BA"/>
    <w:rsid w:val="00BD597D"/>
    <w:rsid w:val="00BD5FC7"/>
    <w:rsid w:val="00BD6480"/>
    <w:rsid w:val="00BD67CE"/>
    <w:rsid w:val="00BD68E0"/>
    <w:rsid w:val="00BD6FAC"/>
    <w:rsid w:val="00BD6FBF"/>
    <w:rsid w:val="00BD728F"/>
    <w:rsid w:val="00BD75A6"/>
    <w:rsid w:val="00BD7821"/>
    <w:rsid w:val="00BD7932"/>
    <w:rsid w:val="00BD7FB3"/>
    <w:rsid w:val="00BE0500"/>
    <w:rsid w:val="00BE056C"/>
    <w:rsid w:val="00BE061C"/>
    <w:rsid w:val="00BE0BB9"/>
    <w:rsid w:val="00BE0E81"/>
    <w:rsid w:val="00BE116B"/>
    <w:rsid w:val="00BE12D6"/>
    <w:rsid w:val="00BE1429"/>
    <w:rsid w:val="00BE1496"/>
    <w:rsid w:val="00BE14E8"/>
    <w:rsid w:val="00BE1586"/>
    <w:rsid w:val="00BE1688"/>
    <w:rsid w:val="00BE1810"/>
    <w:rsid w:val="00BE2104"/>
    <w:rsid w:val="00BE2195"/>
    <w:rsid w:val="00BE2A70"/>
    <w:rsid w:val="00BE2C47"/>
    <w:rsid w:val="00BE2F0A"/>
    <w:rsid w:val="00BE33B9"/>
    <w:rsid w:val="00BE3FF9"/>
    <w:rsid w:val="00BE4249"/>
    <w:rsid w:val="00BE427C"/>
    <w:rsid w:val="00BE47CB"/>
    <w:rsid w:val="00BE4865"/>
    <w:rsid w:val="00BE566F"/>
    <w:rsid w:val="00BE5E25"/>
    <w:rsid w:val="00BE64A3"/>
    <w:rsid w:val="00BE67D2"/>
    <w:rsid w:val="00BE76F1"/>
    <w:rsid w:val="00BE7836"/>
    <w:rsid w:val="00BE7FFE"/>
    <w:rsid w:val="00BF06BE"/>
    <w:rsid w:val="00BF1202"/>
    <w:rsid w:val="00BF13B7"/>
    <w:rsid w:val="00BF2016"/>
    <w:rsid w:val="00BF20D7"/>
    <w:rsid w:val="00BF247F"/>
    <w:rsid w:val="00BF25CE"/>
    <w:rsid w:val="00BF2AE4"/>
    <w:rsid w:val="00BF2C34"/>
    <w:rsid w:val="00BF30CE"/>
    <w:rsid w:val="00BF3BF0"/>
    <w:rsid w:val="00BF46C4"/>
    <w:rsid w:val="00BF514E"/>
    <w:rsid w:val="00BF5207"/>
    <w:rsid w:val="00BF5566"/>
    <w:rsid w:val="00BF5911"/>
    <w:rsid w:val="00BF5D83"/>
    <w:rsid w:val="00BF5E3D"/>
    <w:rsid w:val="00BF65C2"/>
    <w:rsid w:val="00BF6EF1"/>
    <w:rsid w:val="00BF75D0"/>
    <w:rsid w:val="00BF7901"/>
    <w:rsid w:val="00BF7D15"/>
    <w:rsid w:val="00BF7D5F"/>
    <w:rsid w:val="00BF7D97"/>
    <w:rsid w:val="00C0005B"/>
    <w:rsid w:val="00C006CD"/>
    <w:rsid w:val="00C00E13"/>
    <w:rsid w:val="00C00F7E"/>
    <w:rsid w:val="00C01241"/>
    <w:rsid w:val="00C01270"/>
    <w:rsid w:val="00C0165F"/>
    <w:rsid w:val="00C017A4"/>
    <w:rsid w:val="00C01CED"/>
    <w:rsid w:val="00C01EFE"/>
    <w:rsid w:val="00C02128"/>
    <w:rsid w:val="00C02436"/>
    <w:rsid w:val="00C0278D"/>
    <w:rsid w:val="00C029A7"/>
    <w:rsid w:val="00C02A7C"/>
    <w:rsid w:val="00C02D6A"/>
    <w:rsid w:val="00C02EC5"/>
    <w:rsid w:val="00C0323C"/>
    <w:rsid w:val="00C03A71"/>
    <w:rsid w:val="00C03E99"/>
    <w:rsid w:val="00C03FC2"/>
    <w:rsid w:val="00C04004"/>
    <w:rsid w:val="00C04138"/>
    <w:rsid w:val="00C04E12"/>
    <w:rsid w:val="00C05D73"/>
    <w:rsid w:val="00C05F58"/>
    <w:rsid w:val="00C068F1"/>
    <w:rsid w:val="00C07191"/>
    <w:rsid w:val="00C073A7"/>
    <w:rsid w:val="00C07FB7"/>
    <w:rsid w:val="00C10210"/>
    <w:rsid w:val="00C10631"/>
    <w:rsid w:val="00C1096E"/>
    <w:rsid w:val="00C11080"/>
    <w:rsid w:val="00C113DE"/>
    <w:rsid w:val="00C11E4A"/>
    <w:rsid w:val="00C12072"/>
    <w:rsid w:val="00C124F5"/>
    <w:rsid w:val="00C129FB"/>
    <w:rsid w:val="00C12CEF"/>
    <w:rsid w:val="00C12F9B"/>
    <w:rsid w:val="00C13827"/>
    <w:rsid w:val="00C13CF8"/>
    <w:rsid w:val="00C13D63"/>
    <w:rsid w:val="00C14AF5"/>
    <w:rsid w:val="00C14E69"/>
    <w:rsid w:val="00C15524"/>
    <w:rsid w:val="00C157C2"/>
    <w:rsid w:val="00C15BD3"/>
    <w:rsid w:val="00C160AA"/>
    <w:rsid w:val="00C163A8"/>
    <w:rsid w:val="00C16603"/>
    <w:rsid w:val="00C170B9"/>
    <w:rsid w:val="00C17725"/>
    <w:rsid w:val="00C17729"/>
    <w:rsid w:val="00C17A80"/>
    <w:rsid w:val="00C17B12"/>
    <w:rsid w:val="00C17D36"/>
    <w:rsid w:val="00C202D9"/>
    <w:rsid w:val="00C205BD"/>
    <w:rsid w:val="00C20919"/>
    <w:rsid w:val="00C2199E"/>
    <w:rsid w:val="00C226E7"/>
    <w:rsid w:val="00C22BAF"/>
    <w:rsid w:val="00C23B17"/>
    <w:rsid w:val="00C24166"/>
    <w:rsid w:val="00C24571"/>
    <w:rsid w:val="00C2471B"/>
    <w:rsid w:val="00C2490A"/>
    <w:rsid w:val="00C24B40"/>
    <w:rsid w:val="00C24C80"/>
    <w:rsid w:val="00C24E70"/>
    <w:rsid w:val="00C24EB0"/>
    <w:rsid w:val="00C252C6"/>
    <w:rsid w:val="00C25873"/>
    <w:rsid w:val="00C25B46"/>
    <w:rsid w:val="00C260C1"/>
    <w:rsid w:val="00C261A2"/>
    <w:rsid w:val="00C261C5"/>
    <w:rsid w:val="00C26393"/>
    <w:rsid w:val="00C26395"/>
    <w:rsid w:val="00C263C7"/>
    <w:rsid w:val="00C264DF"/>
    <w:rsid w:val="00C267CF"/>
    <w:rsid w:val="00C26A80"/>
    <w:rsid w:val="00C277A1"/>
    <w:rsid w:val="00C27836"/>
    <w:rsid w:val="00C27AAA"/>
    <w:rsid w:val="00C27EDC"/>
    <w:rsid w:val="00C3056A"/>
    <w:rsid w:val="00C31549"/>
    <w:rsid w:val="00C31622"/>
    <w:rsid w:val="00C317CC"/>
    <w:rsid w:val="00C3193A"/>
    <w:rsid w:val="00C31F85"/>
    <w:rsid w:val="00C321EE"/>
    <w:rsid w:val="00C32544"/>
    <w:rsid w:val="00C32657"/>
    <w:rsid w:val="00C32C14"/>
    <w:rsid w:val="00C32E37"/>
    <w:rsid w:val="00C3303B"/>
    <w:rsid w:val="00C33799"/>
    <w:rsid w:val="00C33A7B"/>
    <w:rsid w:val="00C33F89"/>
    <w:rsid w:val="00C34138"/>
    <w:rsid w:val="00C34229"/>
    <w:rsid w:val="00C347CC"/>
    <w:rsid w:val="00C347E2"/>
    <w:rsid w:val="00C35126"/>
    <w:rsid w:val="00C3534E"/>
    <w:rsid w:val="00C359C9"/>
    <w:rsid w:val="00C35C27"/>
    <w:rsid w:val="00C3607E"/>
    <w:rsid w:val="00C36084"/>
    <w:rsid w:val="00C361DF"/>
    <w:rsid w:val="00C36549"/>
    <w:rsid w:val="00C36836"/>
    <w:rsid w:val="00C37728"/>
    <w:rsid w:val="00C37B26"/>
    <w:rsid w:val="00C403DC"/>
    <w:rsid w:val="00C403EB"/>
    <w:rsid w:val="00C40984"/>
    <w:rsid w:val="00C40C69"/>
    <w:rsid w:val="00C40C70"/>
    <w:rsid w:val="00C40E01"/>
    <w:rsid w:val="00C40F86"/>
    <w:rsid w:val="00C4108D"/>
    <w:rsid w:val="00C41F3D"/>
    <w:rsid w:val="00C420D2"/>
    <w:rsid w:val="00C42947"/>
    <w:rsid w:val="00C42AA0"/>
    <w:rsid w:val="00C42D0F"/>
    <w:rsid w:val="00C43915"/>
    <w:rsid w:val="00C44453"/>
    <w:rsid w:val="00C445EF"/>
    <w:rsid w:val="00C44866"/>
    <w:rsid w:val="00C44DCC"/>
    <w:rsid w:val="00C45533"/>
    <w:rsid w:val="00C4556B"/>
    <w:rsid w:val="00C45D79"/>
    <w:rsid w:val="00C45E0A"/>
    <w:rsid w:val="00C45F5D"/>
    <w:rsid w:val="00C474BA"/>
    <w:rsid w:val="00C476F7"/>
    <w:rsid w:val="00C478F5"/>
    <w:rsid w:val="00C47957"/>
    <w:rsid w:val="00C479FE"/>
    <w:rsid w:val="00C506F8"/>
    <w:rsid w:val="00C5097E"/>
    <w:rsid w:val="00C50E75"/>
    <w:rsid w:val="00C50FDD"/>
    <w:rsid w:val="00C51D29"/>
    <w:rsid w:val="00C52078"/>
    <w:rsid w:val="00C52AEF"/>
    <w:rsid w:val="00C52B64"/>
    <w:rsid w:val="00C52FB9"/>
    <w:rsid w:val="00C53104"/>
    <w:rsid w:val="00C53A95"/>
    <w:rsid w:val="00C53C07"/>
    <w:rsid w:val="00C5453E"/>
    <w:rsid w:val="00C549B4"/>
    <w:rsid w:val="00C55866"/>
    <w:rsid w:val="00C559CE"/>
    <w:rsid w:val="00C55A1A"/>
    <w:rsid w:val="00C55CBD"/>
    <w:rsid w:val="00C56829"/>
    <w:rsid w:val="00C568F0"/>
    <w:rsid w:val="00C56BA0"/>
    <w:rsid w:val="00C56BDC"/>
    <w:rsid w:val="00C60242"/>
    <w:rsid w:val="00C6031A"/>
    <w:rsid w:val="00C60524"/>
    <w:rsid w:val="00C60ABD"/>
    <w:rsid w:val="00C60BBC"/>
    <w:rsid w:val="00C60EE1"/>
    <w:rsid w:val="00C611B9"/>
    <w:rsid w:val="00C611CB"/>
    <w:rsid w:val="00C612C8"/>
    <w:rsid w:val="00C6169D"/>
    <w:rsid w:val="00C618EB"/>
    <w:rsid w:val="00C61D91"/>
    <w:rsid w:val="00C62418"/>
    <w:rsid w:val="00C628A1"/>
    <w:rsid w:val="00C62C2E"/>
    <w:rsid w:val="00C62DFE"/>
    <w:rsid w:val="00C62FD2"/>
    <w:rsid w:val="00C63523"/>
    <w:rsid w:val="00C637D8"/>
    <w:rsid w:val="00C639DD"/>
    <w:rsid w:val="00C6457B"/>
    <w:rsid w:val="00C647AE"/>
    <w:rsid w:val="00C6563B"/>
    <w:rsid w:val="00C6582C"/>
    <w:rsid w:val="00C65DD4"/>
    <w:rsid w:val="00C65E13"/>
    <w:rsid w:val="00C65EDF"/>
    <w:rsid w:val="00C66554"/>
    <w:rsid w:val="00C66A44"/>
    <w:rsid w:val="00C66AEC"/>
    <w:rsid w:val="00C66E70"/>
    <w:rsid w:val="00C66F07"/>
    <w:rsid w:val="00C672CC"/>
    <w:rsid w:val="00C70403"/>
    <w:rsid w:val="00C70D23"/>
    <w:rsid w:val="00C70EE4"/>
    <w:rsid w:val="00C71F0A"/>
    <w:rsid w:val="00C7235C"/>
    <w:rsid w:val="00C726C5"/>
    <w:rsid w:val="00C7286B"/>
    <w:rsid w:val="00C72F07"/>
    <w:rsid w:val="00C731FB"/>
    <w:rsid w:val="00C7321C"/>
    <w:rsid w:val="00C73AF0"/>
    <w:rsid w:val="00C73CA7"/>
    <w:rsid w:val="00C73E9F"/>
    <w:rsid w:val="00C73F32"/>
    <w:rsid w:val="00C74BBD"/>
    <w:rsid w:val="00C74EE8"/>
    <w:rsid w:val="00C752C5"/>
    <w:rsid w:val="00C75360"/>
    <w:rsid w:val="00C753FD"/>
    <w:rsid w:val="00C75601"/>
    <w:rsid w:val="00C7573C"/>
    <w:rsid w:val="00C75D13"/>
    <w:rsid w:val="00C7674D"/>
    <w:rsid w:val="00C76C44"/>
    <w:rsid w:val="00C77086"/>
    <w:rsid w:val="00C77136"/>
    <w:rsid w:val="00C778F6"/>
    <w:rsid w:val="00C77CE7"/>
    <w:rsid w:val="00C80562"/>
    <w:rsid w:val="00C810E1"/>
    <w:rsid w:val="00C812B7"/>
    <w:rsid w:val="00C818B0"/>
    <w:rsid w:val="00C819E1"/>
    <w:rsid w:val="00C81C9C"/>
    <w:rsid w:val="00C82A54"/>
    <w:rsid w:val="00C82D4E"/>
    <w:rsid w:val="00C83554"/>
    <w:rsid w:val="00C837FC"/>
    <w:rsid w:val="00C842ED"/>
    <w:rsid w:val="00C84303"/>
    <w:rsid w:val="00C84D7A"/>
    <w:rsid w:val="00C84E4D"/>
    <w:rsid w:val="00C85116"/>
    <w:rsid w:val="00C858C8"/>
    <w:rsid w:val="00C85916"/>
    <w:rsid w:val="00C860F1"/>
    <w:rsid w:val="00C862C0"/>
    <w:rsid w:val="00C865C3"/>
    <w:rsid w:val="00C8690A"/>
    <w:rsid w:val="00C86989"/>
    <w:rsid w:val="00C86C1E"/>
    <w:rsid w:val="00C86DA1"/>
    <w:rsid w:val="00C87045"/>
    <w:rsid w:val="00C870E7"/>
    <w:rsid w:val="00C87570"/>
    <w:rsid w:val="00C87660"/>
    <w:rsid w:val="00C87FB7"/>
    <w:rsid w:val="00C9064C"/>
    <w:rsid w:val="00C90804"/>
    <w:rsid w:val="00C90865"/>
    <w:rsid w:val="00C90931"/>
    <w:rsid w:val="00C90977"/>
    <w:rsid w:val="00C912BD"/>
    <w:rsid w:val="00C91743"/>
    <w:rsid w:val="00C91899"/>
    <w:rsid w:val="00C91A9E"/>
    <w:rsid w:val="00C922A0"/>
    <w:rsid w:val="00C922FA"/>
    <w:rsid w:val="00C923ED"/>
    <w:rsid w:val="00C9251A"/>
    <w:rsid w:val="00C92560"/>
    <w:rsid w:val="00C92655"/>
    <w:rsid w:val="00C92702"/>
    <w:rsid w:val="00C929E9"/>
    <w:rsid w:val="00C92D0A"/>
    <w:rsid w:val="00C92D34"/>
    <w:rsid w:val="00C93194"/>
    <w:rsid w:val="00C9354B"/>
    <w:rsid w:val="00C93C7B"/>
    <w:rsid w:val="00C93D04"/>
    <w:rsid w:val="00C93E35"/>
    <w:rsid w:val="00C940DF"/>
    <w:rsid w:val="00C94B20"/>
    <w:rsid w:val="00C94C93"/>
    <w:rsid w:val="00C94E73"/>
    <w:rsid w:val="00C95057"/>
    <w:rsid w:val="00C9528D"/>
    <w:rsid w:val="00C954B8"/>
    <w:rsid w:val="00C958BA"/>
    <w:rsid w:val="00C96130"/>
    <w:rsid w:val="00C968C2"/>
    <w:rsid w:val="00C97838"/>
    <w:rsid w:val="00C97B12"/>
    <w:rsid w:val="00C97EDE"/>
    <w:rsid w:val="00CA03D9"/>
    <w:rsid w:val="00CA0B12"/>
    <w:rsid w:val="00CA1A72"/>
    <w:rsid w:val="00CA1AA0"/>
    <w:rsid w:val="00CA1F8E"/>
    <w:rsid w:val="00CA22B3"/>
    <w:rsid w:val="00CA2F42"/>
    <w:rsid w:val="00CA3138"/>
    <w:rsid w:val="00CA3881"/>
    <w:rsid w:val="00CA4530"/>
    <w:rsid w:val="00CA4677"/>
    <w:rsid w:val="00CA4EAC"/>
    <w:rsid w:val="00CA5912"/>
    <w:rsid w:val="00CA59D9"/>
    <w:rsid w:val="00CA5BE4"/>
    <w:rsid w:val="00CA5BFA"/>
    <w:rsid w:val="00CA5EF3"/>
    <w:rsid w:val="00CA6256"/>
    <w:rsid w:val="00CA642D"/>
    <w:rsid w:val="00CA6563"/>
    <w:rsid w:val="00CA6884"/>
    <w:rsid w:val="00CA6F70"/>
    <w:rsid w:val="00CA70A6"/>
    <w:rsid w:val="00CA70E2"/>
    <w:rsid w:val="00CA7280"/>
    <w:rsid w:val="00CB02F2"/>
    <w:rsid w:val="00CB0388"/>
    <w:rsid w:val="00CB0558"/>
    <w:rsid w:val="00CB09C6"/>
    <w:rsid w:val="00CB0B9E"/>
    <w:rsid w:val="00CB1D68"/>
    <w:rsid w:val="00CB22E3"/>
    <w:rsid w:val="00CB2B01"/>
    <w:rsid w:val="00CB3179"/>
    <w:rsid w:val="00CB3379"/>
    <w:rsid w:val="00CB3577"/>
    <w:rsid w:val="00CB36F8"/>
    <w:rsid w:val="00CB3929"/>
    <w:rsid w:val="00CB392D"/>
    <w:rsid w:val="00CB3DE7"/>
    <w:rsid w:val="00CB3E50"/>
    <w:rsid w:val="00CB40CF"/>
    <w:rsid w:val="00CB421F"/>
    <w:rsid w:val="00CB481B"/>
    <w:rsid w:val="00CB49BD"/>
    <w:rsid w:val="00CB4C93"/>
    <w:rsid w:val="00CB544C"/>
    <w:rsid w:val="00CB5479"/>
    <w:rsid w:val="00CB552F"/>
    <w:rsid w:val="00CB6237"/>
    <w:rsid w:val="00CB6496"/>
    <w:rsid w:val="00CB663F"/>
    <w:rsid w:val="00CB6832"/>
    <w:rsid w:val="00CB6C88"/>
    <w:rsid w:val="00CB7788"/>
    <w:rsid w:val="00CB7CA6"/>
    <w:rsid w:val="00CC0A7E"/>
    <w:rsid w:val="00CC0EF7"/>
    <w:rsid w:val="00CC1168"/>
    <w:rsid w:val="00CC1A58"/>
    <w:rsid w:val="00CC1E83"/>
    <w:rsid w:val="00CC20C8"/>
    <w:rsid w:val="00CC2186"/>
    <w:rsid w:val="00CC25AE"/>
    <w:rsid w:val="00CC263D"/>
    <w:rsid w:val="00CC28EB"/>
    <w:rsid w:val="00CC2943"/>
    <w:rsid w:val="00CC2C89"/>
    <w:rsid w:val="00CC2CA2"/>
    <w:rsid w:val="00CC321B"/>
    <w:rsid w:val="00CC3300"/>
    <w:rsid w:val="00CC34B8"/>
    <w:rsid w:val="00CC36D2"/>
    <w:rsid w:val="00CC39F6"/>
    <w:rsid w:val="00CC3E19"/>
    <w:rsid w:val="00CC3F68"/>
    <w:rsid w:val="00CC414D"/>
    <w:rsid w:val="00CC444E"/>
    <w:rsid w:val="00CC453E"/>
    <w:rsid w:val="00CC460F"/>
    <w:rsid w:val="00CC522C"/>
    <w:rsid w:val="00CC57FD"/>
    <w:rsid w:val="00CC592B"/>
    <w:rsid w:val="00CC59BF"/>
    <w:rsid w:val="00CC602E"/>
    <w:rsid w:val="00CC6167"/>
    <w:rsid w:val="00CC6413"/>
    <w:rsid w:val="00CC6825"/>
    <w:rsid w:val="00CC6BAC"/>
    <w:rsid w:val="00CC6CC2"/>
    <w:rsid w:val="00CC6D82"/>
    <w:rsid w:val="00CC70CB"/>
    <w:rsid w:val="00CC7256"/>
    <w:rsid w:val="00CC7520"/>
    <w:rsid w:val="00CC76E3"/>
    <w:rsid w:val="00CC7AF5"/>
    <w:rsid w:val="00CC7C13"/>
    <w:rsid w:val="00CC7E40"/>
    <w:rsid w:val="00CD07F4"/>
    <w:rsid w:val="00CD10EA"/>
    <w:rsid w:val="00CD13F0"/>
    <w:rsid w:val="00CD13FF"/>
    <w:rsid w:val="00CD1E3B"/>
    <w:rsid w:val="00CD1EA2"/>
    <w:rsid w:val="00CD20F7"/>
    <w:rsid w:val="00CD210A"/>
    <w:rsid w:val="00CD2413"/>
    <w:rsid w:val="00CD25DC"/>
    <w:rsid w:val="00CD34E6"/>
    <w:rsid w:val="00CD3852"/>
    <w:rsid w:val="00CD3871"/>
    <w:rsid w:val="00CD3AD9"/>
    <w:rsid w:val="00CD3AF9"/>
    <w:rsid w:val="00CD4F7B"/>
    <w:rsid w:val="00CD5216"/>
    <w:rsid w:val="00CD59D1"/>
    <w:rsid w:val="00CD5AAD"/>
    <w:rsid w:val="00CD6184"/>
    <w:rsid w:val="00CD61E9"/>
    <w:rsid w:val="00CD64F5"/>
    <w:rsid w:val="00CD69EF"/>
    <w:rsid w:val="00CD6B56"/>
    <w:rsid w:val="00CD7227"/>
    <w:rsid w:val="00CD7237"/>
    <w:rsid w:val="00CD7829"/>
    <w:rsid w:val="00CD790D"/>
    <w:rsid w:val="00CD7A4E"/>
    <w:rsid w:val="00CD7ABA"/>
    <w:rsid w:val="00CD7D6E"/>
    <w:rsid w:val="00CE0127"/>
    <w:rsid w:val="00CE049B"/>
    <w:rsid w:val="00CE0B98"/>
    <w:rsid w:val="00CE0C05"/>
    <w:rsid w:val="00CE0C1C"/>
    <w:rsid w:val="00CE0E17"/>
    <w:rsid w:val="00CE0F45"/>
    <w:rsid w:val="00CE1049"/>
    <w:rsid w:val="00CE127C"/>
    <w:rsid w:val="00CE15FE"/>
    <w:rsid w:val="00CE1678"/>
    <w:rsid w:val="00CE1C48"/>
    <w:rsid w:val="00CE1D5A"/>
    <w:rsid w:val="00CE29A7"/>
    <w:rsid w:val="00CE2FC9"/>
    <w:rsid w:val="00CE4175"/>
    <w:rsid w:val="00CE4A4C"/>
    <w:rsid w:val="00CE4AB8"/>
    <w:rsid w:val="00CE4B9F"/>
    <w:rsid w:val="00CE4E03"/>
    <w:rsid w:val="00CE5DF6"/>
    <w:rsid w:val="00CE5E89"/>
    <w:rsid w:val="00CE6177"/>
    <w:rsid w:val="00CE6694"/>
    <w:rsid w:val="00CE6778"/>
    <w:rsid w:val="00CE68BF"/>
    <w:rsid w:val="00CE6DAE"/>
    <w:rsid w:val="00CE6DC2"/>
    <w:rsid w:val="00CE7016"/>
    <w:rsid w:val="00CE7AB5"/>
    <w:rsid w:val="00CE7B62"/>
    <w:rsid w:val="00CE7B70"/>
    <w:rsid w:val="00CE7F56"/>
    <w:rsid w:val="00CF0315"/>
    <w:rsid w:val="00CF07D1"/>
    <w:rsid w:val="00CF0B77"/>
    <w:rsid w:val="00CF0FB2"/>
    <w:rsid w:val="00CF11A2"/>
    <w:rsid w:val="00CF19F8"/>
    <w:rsid w:val="00CF1C1B"/>
    <w:rsid w:val="00CF296B"/>
    <w:rsid w:val="00CF2C96"/>
    <w:rsid w:val="00CF2D5C"/>
    <w:rsid w:val="00CF2E01"/>
    <w:rsid w:val="00CF398F"/>
    <w:rsid w:val="00CF3AA4"/>
    <w:rsid w:val="00CF3D5F"/>
    <w:rsid w:val="00CF3F29"/>
    <w:rsid w:val="00CF4B8C"/>
    <w:rsid w:val="00CF4EFE"/>
    <w:rsid w:val="00CF627F"/>
    <w:rsid w:val="00CF6FE1"/>
    <w:rsid w:val="00CF74C1"/>
    <w:rsid w:val="00CF79F5"/>
    <w:rsid w:val="00CF7D5B"/>
    <w:rsid w:val="00CF7DE4"/>
    <w:rsid w:val="00D00244"/>
    <w:rsid w:val="00D0082A"/>
    <w:rsid w:val="00D00B40"/>
    <w:rsid w:val="00D00D6D"/>
    <w:rsid w:val="00D011BF"/>
    <w:rsid w:val="00D019F8"/>
    <w:rsid w:val="00D01AB6"/>
    <w:rsid w:val="00D01DB7"/>
    <w:rsid w:val="00D01FC1"/>
    <w:rsid w:val="00D030C7"/>
    <w:rsid w:val="00D03D1B"/>
    <w:rsid w:val="00D03E58"/>
    <w:rsid w:val="00D04FE5"/>
    <w:rsid w:val="00D050A3"/>
    <w:rsid w:val="00D050E2"/>
    <w:rsid w:val="00D05992"/>
    <w:rsid w:val="00D05D39"/>
    <w:rsid w:val="00D05D8C"/>
    <w:rsid w:val="00D05F9A"/>
    <w:rsid w:val="00D06650"/>
    <w:rsid w:val="00D06AA7"/>
    <w:rsid w:val="00D06AE5"/>
    <w:rsid w:val="00D06E2C"/>
    <w:rsid w:val="00D076D6"/>
    <w:rsid w:val="00D07781"/>
    <w:rsid w:val="00D07BFD"/>
    <w:rsid w:val="00D07CE0"/>
    <w:rsid w:val="00D10736"/>
    <w:rsid w:val="00D10EFA"/>
    <w:rsid w:val="00D11486"/>
    <w:rsid w:val="00D115C3"/>
    <w:rsid w:val="00D11683"/>
    <w:rsid w:val="00D11B9B"/>
    <w:rsid w:val="00D11F70"/>
    <w:rsid w:val="00D129A9"/>
    <w:rsid w:val="00D14BDA"/>
    <w:rsid w:val="00D14D2F"/>
    <w:rsid w:val="00D15000"/>
    <w:rsid w:val="00D150B3"/>
    <w:rsid w:val="00D15C04"/>
    <w:rsid w:val="00D15C44"/>
    <w:rsid w:val="00D15DBC"/>
    <w:rsid w:val="00D1607B"/>
    <w:rsid w:val="00D161FB"/>
    <w:rsid w:val="00D1690C"/>
    <w:rsid w:val="00D1692E"/>
    <w:rsid w:val="00D17127"/>
    <w:rsid w:val="00D1753E"/>
    <w:rsid w:val="00D17893"/>
    <w:rsid w:val="00D20946"/>
    <w:rsid w:val="00D209E4"/>
    <w:rsid w:val="00D20CB3"/>
    <w:rsid w:val="00D21998"/>
    <w:rsid w:val="00D219FC"/>
    <w:rsid w:val="00D22F25"/>
    <w:rsid w:val="00D23000"/>
    <w:rsid w:val="00D230C9"/>
    <w:rsid w:val="00D2310B"/>
    <w:rsid w:val="00D23213"/>
    <w:rsid w:val="00D234BB"/>
    <w:rsid w:val="00D23651"/>
    <w:rsid w:val="00D2379C"/>
    <w:rsid w:val="00D23A1E"/>
    <w:rsid w:val="00D23F7F"/>
    <w:rsid w:val="00D24432"/>
    <w:rsid w:val="00D24AD8"/>
    <w:rsid w:val="00D24BB9"/>
    <w:rsid w:val="00D24EA7"/>
    <w:rsid w:val="00D250B1"/>
    <w:rsid w:val="00D2579B"/>
    <w:rsid w:val="00D25DF8"/>
    <w:rsid w:val="00D25E1D"/>
    <w:rsid w:val="00D26343"/>
    <w:rsid w:val="00D264BB"/>
    <w:rsid w:val="00D2663B"/>
    <w:rsid w:val="00D26C91"/>
    <w:rsid w:val="00D270F9"/>
    <w:rsid w:val="00D27914"/>
    <w:rsid w:val="00D27A8D"/>
    <w:rsid w:val="00D30343"/>
    <w:rsid w:val="00D303D5"/>
    <w:rsid w:val="00D312C0"/>
    <w:rsid w:val="00D3181F"/>
    <w:rsid w:val="00D31A81"/>
    <w:rsid w:val="00D32A45"/>
    <w:rsid w:val="00D32E3B"/>
    <w:rsid w:val="00D333AD"/>
    <w:rsid w:val="00D33739"/>
    <w:rsid w:val="00D3390D"/>
    <w:rsid w:val="00D344D1"/>
    <w:rsid w:val="00D3462E"/>
    <w:rsid w:val="00D34FE2"/>
    <w:rsid w:val="00D35632"/>
    <w:rsid w:val="00D35704"/>
    <w:rsid w:val="00D358BE"/>
    <w:rsid w:val="00D36638"/>
    <w:rsid w:val="00D368B5"/>
    <w:rsid w:val="00D369ED"/>
    <w:rsid w:val="00D36DF8"/>
    <w:rsid w:val="00D3727A"/>
    <w:rsid w:val="00D37295"/>
    <w:rsid w:val="00D375DE"/>
    <w:rsid w:val="00D37C5F"/>
    <w:rsid w:val="00D40268"/>
    <w:rsid w:val="00D40765"/>
    <w:rsid w:val="00D40941"/>
    <w:rsid w:val="00D40C29"/>
    <w:rsid w:val="00D410E8"/>
    <w:rsid w:val="00D4129C"/>
    <w:rsid w:val="00D414D7"/>
    <w:rsid w:val="00D42395"/>
    <w:rsid w:val="00D42DDE"/>
    <w:rsid w:val="00D42E98"/>
    <w:rsid w:val="00D43283"/>
    <w:rsid w:val="00D43EF7"/>
    <w:rsid w:val="00D44F91"/>
    <w:rsid w:val="00D4571B"/>
    <w:rsid w:val="00D45912"/>
    <w:rsid w:val="00D45B1E"/>
    <w:rsid w:val="00D46197"/>
    <w:rsid w:val="00D46646"/>
    <w:rsid w:val="00D4664E"/>
    <w:rsid w:val="00D46A29"/>
    <w:rsid w:val="00D46B4F"/>
    <w:rsid w:val="00D46B61"/>
    <w:rsid w:val="00D47A55"/>
    <w:rsid w:val="00D507AA"/>
    <w:rsid w:val="00D50C82"/>
    <w:rsid w:val="00D50E7D"/>
    <w:rsid w:val="00D52746"/>
    <w:rsid w:val="00D52769"/>
    <w:rsid w:val="00D5303F"/>
    <w:rsid w:val="00D536C2"/>
    <w:rsid w:val="00D53D6B"/>
    <w:rsid w:val="00D53EFB"/>
    <w:rsid w:val="00D53F1D"/>
    <w:rsid w:val="00D54534"/>
    <w:rsid w:val="00D54E57"/>
    <w:rsid w:val="00D551EC"/>
    <w:rsid w:val="00D555AF"/>
    <w:rsid w:val="00D55A56"/>
    <w:rsid w:val="00D55BE8"/>
    <w:rsid w:val="00D55CE3"/>
    <w:rsid w:val="00D567E3"/>
    <w:rsid w:val="00D56E77"/>
    <w:rsid w:val="00D570ED"/>
    <w:rsid w:val="00D57236"/>
    <w:rsid w:val="00D574A5"/>
    <w:rsid w:val="00D57569"/>
    <w:rsid w:val="00D57D73"/>
    <w:rsid w:val="00D57DB8"/>
    <w:rsid w:val="00D57E65"/>
    <w:rsid w:val="00D61711"/>
    <w:rsid w:val="00D61CCA"/>
    <w:rsid w:val="00D61E8A"/>
    <w:rsid w:val="00D62B14"/>
    <w:rsid w:val="00D62F39"/>
    <w:rsid w:val="00D63505"/>
    <w:rsid w:val="00D63A6B"/>
    <w:rsid w:val="00D63C66"/>
    <w:rsid w:val="00D64373"/>
    <w:rsid w:val="00D64A01"/>
    <w:rsid w:val="00D650E1"/>
    <w:rsid w:val="00D659A8"/>
    <w:rsid w:val="00D65E2E"/>
    <w:rsid w:val="00D66863"/>
    <w:rsid w:val="00D6698F"/>
    <w:rsid w:val="00D66C89"/>
    <w:rsid w:val="00D66E13"/>
    <w:rsid w:val="00D6707B"/>
    <w:rsid w:val="00D6722E"/>
    <w:rsid w:val="00D672EA"/>
    <w:rsid w:val="00D67E13"/>
    <w:rsid w:val="00D67E7D"/>
    <w:rsid w:val="00D67ED3"/>
    <w:rsid w:val="00D701A5"/>
    <w:rsid w:val="00D701C7"/>
    <w:rsid w:val="00D70963"/>
    <w:rsid w:val="00D71DE6"/>
    <w:rsid w:val="00D729CD"/>
    <w:rsid w:val="00D72C19"/>
    <w:rsid w:val="00D72D52"/>
    <w:rsid w:val="00D72E6E"/>
    <w:rsid w:val="00D7306E"/>
    <w:rsid w:val="00D7320C"/>
    <w:rsid w:val="00D73865"/>
    <w:rsid w:val="00D73A23"/>
    <w:rsid w:val="00D7455A"/>
    <w:rsid w:val="00D745C9"/>
    <w:rsid w:val="00D746D6"/>
    <w:rsid w:val="00D74EFF"/>
    <w:rsid w:val="00D75019"/>
    <w:rsid w:val="00D7542D"/>
    <w:rsid w:val="00D75B3D"/>
    <w:rsid w:val="00D763EE"/>
    <w:rsid w:val="00D76B9E"/>
    <w:rsid w:val="00D77413"/>
    <w:rsid w:val="00D7758F"/>
    <w:rsid w:val="00D77608"/>
    <w:rsid w:val="00D77B50"/>
    <w:rsid w:val="00D801CB"/>
    <w:rsid w:val="00D808D8"/>
    <w:rsid w:val="00D81143"/>
    <w:rsid w:val="00D81468"/>
    <w:rsid w:val="00D8176F"/>
    <w:rsid w:val="00D81A57"/>
    <w:rsid w:val="00D81F02"/>
    <w:rsid w:val="00D827A0"/>
    <w:rsid w:val="00D829EB"/>
    <w:rsid w:val="00D82A2C"/>
    <w:rsid w:val="00D82AB1"/>
    <w:rsid w:val="00D82C2A"/>
    <w:rsid w:val="00D8346F"/>
    <w:rsid w:val="00D843B2"/>
    <w:rsid w:val="00D8474F"/>
    <w:rsid w:val="00D84C76"/>
    <w:rsid w:val="00D85292"/>
    <w:rsid w:val="00D85646"/>
    <w:rsid w:val="00D857E9"/>
    <w:rsid w:val="00D858AF"/>
    <w:rsid w:val="00D85B38"/>
    <w:rsid w:val="00D8649C"/>
    <w:rsid w:val="00D86678"/>
    <w:rsid w:val="00D86A02"/>
    <w:rsid w:val="00D86FC7"/>
    <w:rsid w:val="00D8796C"/>
    <w:rsid w:val="00D87EDC"/>
    <w:rsid w:val="00D901C7"/>
    <w:rsid w:val="00D90448"/>
    <w:rsid w:val="00D90519"/>
    <w:rsid w:val="00D9066E"/>
    <w:rsid w:val="00D90B54"/>
    <w:rsid w:val="00D90D65"/>
    <w:rsid w:val="00D90E05"/>
    <w:rsid w:val="00D9167B"/>
    <w:rsid w:val="00D91B8E"/>
    <w:rsid w:val="00D91BD8"/>
    <w:rsid w:val="00D920D4"/>
    <w:rsid w:val="00D926D8"/>
    <w:rsid w:val="00D927D5"/>
    <w:rsid w:val="00D92976"/>
    <w:rsid w:val="00D93C9D"/>
    <w:rsid w:val="00D93D15"/>
    <w:rsid w:val="00D93DAB"/>
    <w:rsid w:val="00D94535"/>
    <w:rsid w:val="00D9474C"/>
    <w:rsid w:val="00D94955"/>
    <w:rsid w:val="00D955B2"/>
    <w:rsid w:val="00D95A99"/>
    <w:rsid w:val="00D9686A"/>
    <w:rsid w:val="00D969EF"/>
    <w:rsid w:val="00D97245"/>
    <w:rsid w:val="00D97F60"/>
    <w:rsid w:val="00DA0283"/>
    <w:rsid w:val="00DA0762"/>
    <w:rsid w:val="00DA07F8"/>
    <w:rsid w:val="00DA111D"/>
    <w:rsid w:val="00DA1133"/>
    <w:rsid w:val="00DA172F"/>
    <w:rsid w:val="00DA2919"/>
    <w:rsid w:val="00DA2C7B"/>
    <w:rsid w:val="00DA2E49"/>
    <w:rsid w:val="00DA2EC1"/>
    <w:rsid w:val="00DA2F8F"/>
    <w:rsid w:val="00DA329F"/>
    <w:rsid w:val="00DA3C67"/>
    <w:rsid w:val="00DA3EA4"/>
    <w:rsid w:val="00DA418B"/>
    <w:rsid w:val="00DA5011"/>
    <w:rsid w:val="00DA5CE3"/>
    <w:rsid w:val="00DA7481"/>
    <w:rsid w:val="00DA7B18"/>
    <w:rsid w:val="00DA7EA9"/>
    <w:rsid w:val="00DB0E42"/>
    <w:rsid w:val="00DB12DC"/>
    <w:rsid w:val="00DB1450"/>
    <w:rsid w:val="00DB150F"/>
    <w:rsid w:val="00DB19A3"/>
    <w:rsid w:val="00DB1A8B"/>
    <w:rsid w:val="00DB210B"/>
    <w:rsid w:val="00DB29D3"/>
    <w:rsid w:val="00DB2C86"/>
    <w:rsid w:val="00DB362F"/>
    <w:rsid w:val="00DB36E8"/>
    <w:rsid w:val="00DB3F37"/>
    <w:rsid w:val="00DB43CA"/>
    <w:rsid w:val="00DB4B7C"/>
    <w:rsid w:val="00DB5017"/>
    <w:rsid w:val="00DB56BF"/>
    <w:rsid w:val="00DB5790"/>
    <w:rsid w:val="00DB5B1A"/>
    <w:rsid w:val="00DB5FCF"/>
    <w:rsid w:val="00DB63EC"/>
    <w:rsid w:val="00DB6719"/>
    <w:rsid w:val="00DB6985"/>
    <w:rsid w:val="00DB713A"/>
    <w:rsid w:val="00DB715D"/>
    <w:rsid w:val="00DB76EF"/>
    <w:rsid w:val="00DB7833"/>
    <w:rsid w:val="00DB7A93"/>
    <w:rsid w:val="00DB7B38"/>
    <w:rsid w:val="00DC06C9"/>
    <w:rsid w:val="00DC07D3"/>
    <w:rsid w:val="00DC095D"/>
    <w:rsid w:val="00DC09EF"/>
    <w:rsid w:val="00DC1327"/>
    <w:rsid w:val="00DC2282"/>
    <w:rsid w:val="00DC26A1"/>
    <w:rsid w:val="00DC26E6"/>
    <w:rsid w:val="00DC2884"/>
    <w:rsid w:val="00DC3502"/>
    <w:rsid w:val="00DC3FFA"/>
    <w:rsid w:val="00DC401C"/>
    <w:rsid w:val="00DC402F"/>
    <w:rsid w:val="00DC40A9"/>
    <w:rsid w:val="00DC4194"/>
    <w:rsid w:val="00DC42F2"/>
    <w:rsid w:val="00DC44FF"/>
    <w:rsid w:val="00DC4C40"/>
    <w:rsid w:val="00DC4D24"/>
    <w:rsid w:val="00DC4E0B"/>
    <w:rsid w:val="00DC5757"/>
    <w:rsid w:val="00DC648C"/>
    <w:rsid w:val="00DC65D2"/>
    <w:rsid w:val="00DC6639"/>
    <w:rsid w:val="00DC6C71"/>
    <w:rsid w:val="00DC6D52"/>
    <w:rsid w:val="00DC6F01"/>
    <w:rsid w:val="00DC6F8C"/>
    <w:rsid w:val="00DC7568"/>
    <w:rsid w:val="00DC75AE"/>
    <w:rsid w:val="00DC7671"/>
    <w:rsid w:val="00DC7740"/>
    <w:rsid w:val="00DC776B"/>
    <w:rsid w:val="00DC7DD0"/>
    <w:rsid w:val="00DD0073"/>
    <w:rsid w:val="00DD008B"/>
    <w:rsid w:val="00DD0171"/>
    <w:rsid w:val="00DD02E6"/>
    <w:rsid w:val="00DD0750"/>
    <w:rsid w:val="00DD07F4"/>
    <w:rsid w:val="00DD0E02"/>
    <w:rsid w:val="00DD142B"/>
    <w:rsid w:val="00DD193B"/>
    <w:rsid w:val="00DD2C72"/>
    <w:rsid w:val="00DD328F"/>
    <w:rsid w:val="00DD3D9D"/>
    <w:rsid w:val="00DD3D9F"/>
    <w:rsid w:val="00DD42B7"/>
    <w:rsid w:val="00DD432A"/>
    <w:rsid w:val="00DD47BE"/>
    <w:rsid w:val="00DD4857"/>
    <w:rsid w:val="00DD489E"/>
    <w:rsid w:val="00DD4BAC"/>
    <w:rsid w:val="00DD4BED"/>
    <w:rsid w:val="00DD5143"/>
    <w:rsid w:val="00DD5328"/>
    <w:rsid w:val="00DD5464"/>
    <w:rsid w:val="00DD5497"/>
    <w:rsid w:val="00DD58BD"/>
    <w:rsid w:val="00DD5934"/>
    <w:rsid w:val="00DD59F6"/>
    <w:rsid w:val="00DD5ABD"/>
    <w:rsid w:val="00DD5E4B"/>
    <w:rsid w:val="00DD5F4E"/>
    <w:rsid w:val="00DD68C6"/>
    <w:rsid w:val="00DD68E9"/>
    <w:rsid w:val="00DD6C56"/>
    <w:rsid w:val="00DD7016"/>
    <w:rsid w:val="00DD706A"/>
    <w:rsid w:val="00DD70FD"/>
    <w:rsid w:val="00DD7219"/>
    <w:rsid w:val="00DD76A0"/>
    <w:rsid w:val="00DD7C2B"/>
    <w:rsid w:val="00DD7C4E"/>
    <w:rsid w:val="00DE0CBA"/>
    <w:rsid w:val="00DE0DED"/>
    <w:rsid w:val="00DE10CC"/>
    <w:rsid w:val="00DE1967"/>
    <w:rsid w:val="00DE28EC"/>
    <w:rsid w:val="00DE2BCB"/>
    <w:rsid w:val="00DE36F2"/>
    <w:rsid w:val="00DE3ADF"/>
    <w:rsid w:val="00DE3F2B"/>
    <w:rsid w:val="00DE408E"/>
    <w:rsid w:val="00DE4956"/>
    <w:rsid w:val="00DE4A02"/>
    <w:rsid w:val="00DE4A89"/>
    <w:rsid w:val="00DE4BCC"/>
    <w:rsid w:val="00DE5194"/>
    <w:rsid w:val="00DE53F1"/>
    <w:rsid w:val="00DE548B"/>
    <w:rsid w:val="00DE5A01"/>
    <w:rsid w:val="00DE5A1E"/>
    <w:rsid w:val="00DE6388"/>
    <w:rsid w:val="00DE6574"/>
    <w:rsid w:val="00DE75A3"/>
    <w:rsid w:val="00DE7643"/>
    <w:rsid w:val="00DE79D9"/>
    <w:rsid w:val="00DF0791"/>
    <w:rsid w:val="00DF0A0F"/>
    <w:rsid w:val="00DF1241"/>
    <w:rsid w:val="00DF19C9"/>
    <w:rsid w:val="00DF2017"/>
    <w:rsid w:val="00DF32A9"/>
    <w:rsid w:val="00DF33C9"/>
    <w:rsid w:val="00DF3861"/>
    <w:rsid w:val="00DF3AEA"/>
    <w:rsid w:val="00DF40F0"/>
    <w:rsid w:val="00DF4AC4"/>
    <w:rsid w:val="00DF52C2"/>
    <w:rsid w:val="00DF60D6"/>
    <w:rsid w:val="00DF6D47"/>
    <w:rsid w:val="00DF7091"/>
    <w:rsid w:val="00DF7E3E"/>
    <w:rsid w:val="00E00108"/>
    <w:rsid w:val="00E0019A"/>
    <w:rsid w:val="00E006A7"/>
    <w:rsid w:val="00E00F77"/>
    <w:rsid w:val="00E01A53"/>
    <w:rsid w:val="00E01C9B"/>
    <w:rsid w:val="00E020EB"/>
    <w:rsid w:val="00E02965"/>
    <w:rsid w:val="00E03E6C"/>
    <w:rsid w:val="00E03FB9"/>
    <w:rsid w:val="00E044B2"/>
    <w:rsid w:val="00E04BC5"/>
    <w:rsid w:val="00E04D08"/>
    <w:rsid w:val="00E05F4A"/>
    <w:rsid w:val="00E064D2"/>
    <w:rsid w:val="00E068F8"/>
    <w:rsid w:val="00E07CC9"/>
    <w:rsid w:val="00E104A4"/>
    <w:rsid w:val="00E10666"/>
    <w:rsid w:val="00E10688"/>
    <w:rsid w:val="00E107FB"/>
    <w:rsid w:val="00E10EA9"/>
    <w:rsid w:val="00E115C4"/>
    <w:rsid w:val="00E11755"/>
    <w:rsid w:val="00E11893"/>
    <w:rsid w:val="00E11A6B"/>
    <w:rsid w:val="00E11B5C"/>
    <w:rsid w:val="00E11CCE"/>
    <w:rsid w:val="00E1243B"/>
    <w:rsid w:val="00E13352"/>
    <w:rsid w:val="00E13406"/>
    <w:rsid w:val="00E13740"/>
    <w:rsid w:val="00E138EC"/>
    <w:rsid w:val="00E13C3D"/>
    <w:rsid w:val="00E13CA9"/>
    <w:rsid w:val="00E13D98"/>
    <w:rsid w:val="00E14751"/>
    <w:rsid w:val="00E14904"/>
    <w:rsid w:val="00E149E7"/>
    <w:rsid w:val="00E14C85"/>
    <w:rsid w:val="00E15006"/>
    <w:rsid w:val="00E15483"/>
    <w:rsid w:val="00E156E1"/>
    <w:rsid w:val="00E159FC"/>
    <w:rsid w:val="00E15B03"/>
    <w:rsid w:val="00E15B48"/>
    <w:rsid w:val="00E15F61"/>
    <w:rsid w:val="00E173BF"/>
    <w:rsid w:val="00E17BDF"/>
    <w:rsid w:val="00E21547"/>
    <w:rsid w:val="00E21EBC"/>
    <w:rsid w:val="00E22021"/>
    <w:rsid w:val="00E228C4"/>
    <w:rsid w:val="00E22E13"/>
    <w:rsid w:val="00E2337B"/>
    <w:rsid w:val="00E23909"/>
    <w:rsid w:val="00E2395A"/>
    <w:rsid w:val="00E23DD2"/>
    <w:rsid w:val="00E23E26"/>
    <w:rsid w:val="00E24002"/>
    <w:rsid w:val="00E24016"/>
    <w:rsid w:val="00E242EA"/>
    <w:rsid w:val="00E24499"/>
    <w:rsid w:val="00E24944"/>
    <w:rsid w:val="00E24DE2"/>
    <w:rsid w:val="00E25536"/>
    <w:rsid w:val="00E25950"/>
    <w:rsid w:val="00E26FEB"/>
    <w:rsid w:val="00E27190"/>
    <w:rsid w:val="00E27280"/>
    <w:rsid w:val="00E273C3"/>
    <w:rsid w:val="00E2750A"/>
    <w:rsid w:val="00E27DCD"/>
    <w:rsid w:val="00E30359"/>
    <w:rsid w:val="00E30583"/>
    <w:rsid w:val="00E309EF"/>
    <w:rsid w:val="00E30B33"/>
    <w:rsid w:val="00E31B18"/>
    <w:rsid w:val="00E31FA8"/>
    <w:rsid w:val="00E33399"/>
    <w:rsid w:val="00E33532"/>
    <w:rsid w:val="00E339BD"/>
    <w:rsid w:val="00E33A25"/>
    <w:rsid w:val="00E34215"/>
    <w:rsid w:val="00E344B8"/>
    <w:rsid w:val="00E345B3"/>
    <w:rsid w:val="00E351CC"/>
    <w:rsid w:val="00E35B9B"/>
    <w:rsid w:val="00E35DA4"/>
    <w:rsid w:val="00E3706B"/>
    <w:rsid w:val="00E37405"/>
    <w:rsid w:val="00E379BB"/>
    <w:rsid w:val="00E37D00"/>
    <w:rsid w:val="00E37FCB"/>
    <w:rsid w:val="00E4055E"/>
    <w:rsid w:val="00E4115B"/>
    <w:rsid w:val="00E41B5E"/>
    <w:rsid w:val="00E41B6F"/>
    <w:rsid w:val="00E42142"/>
    <w:rsid w:val="00E42232"/>
    <w:rsid w:val="00E42464"/>
    <w:rsid w:val="00E42537"/>
    <w:rsid w:val="00E428F6"/>
    <w:rsid w:val="00E42A43"/>
    <w:rsid w:val="00E42EC9"/>
    <w:rsid w:val="00E43468"/>
    <w:rsid w:val="00E43E0E"/>
    <w:rsid w:val="00E44098"/>
    <w:rsid w:val="00E440C7"/>
    <w:rsid w:val="00E448BD"/>
    <w:rsid w:val="00E453B5"/>
    <w:rsid w:val="00E463C7"/>
    <w:rsid w:val="00E46E7D"/>
    <w:rsid w:val="00E47E78"/>
    <w:rsid w:val="00E5033E"/>
    <w:rsid w:val="00E50356"/>
    <w:rsid w:val="00E503CE"/>
    <w:rsid w:val="00E50A32"/>
    <w:rsid w:val="00E514D2"/>
    <w:rsid w:val="00E515EB"/>
    <w:rsid w:val="00E518B5"/>
    <w:rsid w:val="00E51E6D"/>
    <w:rsid w:val="00E52BA0"/>
    <w:rsid w:val="00E52F56"/>
    <w:rsid w:val="00E53CA7"/>
    <w:rsid w:val="00E53E9A"/>
    <w:rsid w:val="00E544B0"/>
    <w:rsid w:val="00E548FE"/>
    <w:rsid w:val="00E54DAC"/>
    <w:rsid w:val="00E55131"/>
    <w:rsid w:val="00E56332"/>
    <w:rsid w:val="00E56568"/>
    <w:rsid w:val="00E568B6"/>
    <w:rsid w:val="00E56AB8"/>
    <w:rsid w:val="00E56D63"/>
    <w:rsid w:val="00E570B6"/>
    <w:rsid w:val="00E576A6"/>
    <w:rsid w:val="00E57764"/>
    <w:rsid w:val="00E57B76"/>
    <w:rsid w:val="00E6002C"/>
    <w:rsid w:val="00E6057D"/>
    <w:rsid w:val="00E606D0"/>
    <w:rsid w:val="00E60843"/>
    <w:rsid w:val="00E60D6E"/>
    <w:rsid w:val="00E60D96"/>
    <w:rsid w:val="00E60F91"/>
    <w:rsid w:val="00E60FAD"/>
    <w:rsid w:val="00E61326"/>
    <w:rsid w:val="00E6164D"/>
    <w:rsid w:val="00E6180B"/>
    <w:rsid w:val="00E621D1"/>
    <w:rsid w:val="00E6264F"/>
    <w:rsid w:val="00E627ED"/>
    <w:rsid w:val="00E62A8A"/>
    <w:rsid w:val="00E62CAD"/>
    <w:rsid w:val="00E62DBC"/>
    <w:rsid w:val="00E6326F"/>
    <w:rsid w:val="00E64C06"/>
    <w:rsid w:val="00E64C97"/>
    <w:rsid w:val="00E654E3"/>
    <w:rsid w:val="00E65EEF"/>
    <w:rsid w:val="00E65FEB"/>
    <w:rsid w:val="00E66043"/>
    <w:rsid w:val="00E66352"/>
    <w:rsid w:val="00E666EB"/>
    <w:rsid w:val="00E66FE6"/>
    <w:rsid w:val="00E67720"/>
    <w:rsid w:val="00E679C8"/>
    <w:rsid w:val="00E67AA7"/>
    <w:rsid w:val="00E67CA3"/>
    <w:rsid w:val="00E67D0E"/>
    <w:rsid w:val="00E67D3E"/>
    <w:rsid w:val="00E700F1"/>
    <w:rsid w:val="00E701EA"/>
    <w:rsid w:val="00E70919"/>
    <w:rsid w:val="00E70EB8"/>
    <w:rsid w:val="00E71093"/>
    <w:rsid w:val="00E71336"/>
    <w:rsid w:val="00E71670"/>
    <w:rsid w:val="00E71D9F"/>
    <w:rsid w:val="00E71E4F"/>
    <w:rsid w:val="00E71E58"/>
    <w:rsid w:val="00E72126"/>
    <w:rsid w:val="00E725A2"/>
    <w:rsid w:val="00E726CB"/>
    <w:rsid w:val="00E72F9D"/>
    <w:rsid w:val="00E73693"/>
    <w:rsid w:val="00E7381B"/>
    <w:rsid w:val="00E73FE0"/>
    <w:rsid w:val="00E74176"/>
    <w:rsid w:val="00E74EEC"/>
    <w:rsid w:val="00E74F0C"/>
    <w:rsid w:val="00E751B2"/>
    <w:rsid w:val="00E75377"/>
    <w:rsid w:val="00E76DB9"/>
    <w:rsid w:val="00E77037"/>
    <w:rsid w:val="00E776FF"/>
    <w:rsid w:val="00E80894"/>
    <w:rsid w:val="00E80EC9"/>
    <w:rsid w:val="00E81014"/>
    <w:rsid w:val="00E8176C"/>
    <w:rsid w:val="00E81F8D"/>
    <w:rsid w:val="00E82536"/>
    <w:rsid w:val="00E82678"/>
    <w:rsid w:val="00E8291F"/>
    <w:rsid w:val="00E8312E"/>
    <w:rsid w:val="00E8347F"/>
    <w:rsid w:val="00E837A4"/>
    <w:rsid w:val="00E839A9"/>
    <w:rsid w:val="00E83F22"/>
    <w:rsid w:val="00E8493F"/>
    <w:rsid w:val="00E84995"/>
    <w:rsid w:val="00E8549D"/>
    <w:rsid w:val="00E8554D"/>
    <w:rsid w:val="00E857E5"/>
    <w:rsid w:val="00E8595B"/>
    <w:rsid w:val="00E85A96"/>
    <w:rsid w:val="00E86384"/>
    <w:rsid w:val="00E86ABE"/>
    <w:rsid w:val="00E87557"/>
    <w:rsid w:val="00E876D2"/>
    <w:rsid w:val="00E90A1D"/>
    <w:rsid w:val="00E90A8E"/>
    <w:rsid w:val="00E91227"/>
    <w:rsid w:val="00E9177F"/>
    <w:rsid w:val="00E91815"/>
    <w:rsid w:val="00E91D59"/>
    <w:rsid w:val="00E91E71"/>
    <w:rsid w:val="00E925DC"/>
    <w:rsid w:val="00E9260B"/>
    <w:rsid w:val="00E92845"/>
    <w:rsid w:val="00E92849"/>
    <w:rsid w:val="00E928EA"/>
    <w:rsid w:val="00E92A31"/>
    <w:rsid w:val="00E92C94"/>
    <w:rsid w:val="00E93865"/>
    <w:rsid w:val="00E938DE"/>
    <w:rsid w:val="00E93CE3"/>
    <w:rsid w:val="00E94260"/>
    <w:rsid w:val="00E94843"/>
    <w:rsid w:val="00E94CB8"/>
    <w:rsid w:val="00E956F5"/>
    <w:rsid w:val="00E95B23"/>
    <w:rsid w:val="00E9620C"/>
    <w:rsid w:val="00E96AEA"/>
    <w:rsid w:val="00E973E0"/>
    <w:rsid w:val="00E973FF"/>
    <w:rsid w:val="00E97AC5"/>
    <w:rsid w:val="00EA0124"/>
    <w:rsid w:val="00EA09F4"/>
    <w:rsid w:val="00EA0F55"/>
    <w:rsid w:val="00EA10D7"/>
    <w:rsid w:val="00EA182A"/>
    <w:rsid w:val="00EA1953"/>
    <w:rsid w:val="00EA1E18"/>
    <w:rsid w:val="00EA2049"/>
    <w:rsid w:val="00EA25D0"/>
    <w:rsid w:val="00EA27B6"/>
    <w:rsid w:val="00EA30F2"/>
    <w:rsid w:val="00EA3727"/>
    <w:rsid w:val="00EA49C7"/>
    <w:rsid w:val="00EA4BEF"/>
    <w:rsid w:val="00EA4F4A"/>
    <w:rsid w:val="00EA5631"/>
    <w:rsid w:val="00EA5B3F"/>
    <w:rsid w:val="00EA615C"/>
    <w:rsid w:val="00EA6902"/>
    <w:rsid w:val="00EA6A34"/>
    <w:rsid w:val="00EA6BCB"/>
    <w:rsid w:val="00EA7217"/>
    <w:rsid w:val="00EA776C"/>
    <w:rsid w:val="00EB00FA"/>
    <w:rsid w:val="00EB0ADE"/>
    <w:rsid w:val="00EB0B37"/>
    <w:rsid w:val="00EB0B47"/>
    <w:rsid w:val="00EB1763"/>
    <w:rsid w:val="00EB176A"/>
    <w:rsid w:val="00EB199D"/>
    <w:rsid w:val="00EB224B"/>
    <w:rsid w:val="00EB26E6"/>
    <w:rsid w:val="00EB2CF6"/>
    <w:rsid w:val="00EB3032"/>
    <w:rsid w:val="00EB31B7"/>
    <w:rsid w:val="00EB33D2"/>
    <w:rsid w:val="00EB3636"/>
    <w:rsid w:val="00EB3A5A"/>
    <w:rsid w:val="00EB3D9A"/>
    <w:rsid w:val="00EB4173"/>
    <w:rsid w:val="00EB4371"/>
    <w:rsid w:val="00EB511B"/>
    <w:rsid w:val="00EB5576"/>
    <w:rsid w:val="00EB5D37"/>
    <w:rsid w:val="00EB5F81"/>
    <w:rsid w:val="00EB63E0"/>
    <w:rsid w:val="00EB659F"/>
    <w:rsid w:val="00EB6A4C"/>
    <w:rsid w:val="00EB6B5F"/>
    <w:rsid w:val="00EB6C72"/>
    <w:rsid w:val="00EB6E00"/>
    <w:rsid w:val="00EB7F17"/>
    <w:rsid w:val="00EC039A"/>
    <w:rsid w:val="00EC04A0"/>
    <w:rsid w:val="00EC0B7B"/>
    <w:rsid w:val="00EC0E66"/>
    <w:rsid w:val="00EC1074"/>
    <w:rsid w:val="00EC1481"/>
    <w:rsid w:val="00EC1BDF"/>
    <w:rsid w:val="00EC1BEA"/>
    <w:rsid w:val="00EC1E41"/>
    <w:rsid w:val="00EC1FD6"/>
    <w:rsid w:val="00EC28E7"/>
    <w:rsid w:val="00EC3359"/>
    <w:rsid w:val="00EC3517"/>
    <w:rsid w:val="00EC367E"/>
    <w:rsid w:val="00EC38D9"/>
    <w:rsid w:val="00EC3A54"/>
    <w:rsid w:val="00EC3B86"/>
    <w:rsid w:val="00EC43F3"/>
    <w:rsid w:val="00EC48A0"/>
    <w:rsid w:val="00EC4D7C"/>
    <w:rsid w:val="00EC4F62"/>
    <w:rsid w:val="00EC512A"/>
    <w:rsid w:val="00EC51E2"/>
    <w:rsid w:val="00EC5391"/>
    <w:rsid w:val="00EC5AEC"/>
    <w:rsid w:val="00EC62A5"/>
    <w:rsid w:val="00EC67FF"/>
    <w:rsid w:val="00EC69FE"/>
    <w:rsid w:val="00ED0041"/>
    <w:rsid w:val="00ED01E2"/>
    <w:rsid w:val="00ED07C9"/>
    <w:rsid w:val="00ED0E38"/>
    <w:rsid w:val="00ED0E66"/>
    <w:rsid w:val="00ED0F17"/>
    <w:rsid w:val="00ED17BE"/>
    <w:rsid w:val="00ED186B"/>
    <w:rsid w:val="00ED229E"/>
    <w:rsid w:val="00ED3061"/>
    <w:rsid w:val="00ED3088"/>
    <w:rsid w:val="00ED351D"/>
    <w:rsid w:val="00ED3A6C"/>
    <w:rsid w:val="00ED3B1B"/>
    <w:rsid w:val="00ED3BA0"/>
    <w:rsid w:val="00ED4009"/>
    <w:rsid w:val="00ED4276"/>
    <w:rsid w:val="00ED42DD"/>
    <w:rsid w:val="00ED4771"/>
    <w:rsid w:val="00ED4CC0"/>
    <w:rsid w:val="00ED4DFE"/>
    <w:rsid w:val="00ED515C"/>
    <w:rsid w:val="00ED51BF"/>
    <w:rsid w:val="00ED538A"/>
    <w:rsid w:val="00ED54DA"/>
    <w:rsid w:val="00ED598E"/>
    <w:rsid w:val="00ED5B5D"/>
    <w:rsid w:val="00ED5B75"/>
    <w:rsid w:val="00ED5F0F"/>
    <w:rsid w:val="00ED61E3"/>
    <w:rsid w:val="00ED685F"/>
    <w:rsid w:val="00ED6EAA"/>
    <w:rsid w:val="00ED73B2"/>
    <w:rsid w:val="00ED7B78"/>
    <w:rsid w:val="00ED7F61"/>
    <w:rsid w:val="00EE0700"/>
    <w:rsid w:val="00EE09E5"/>
    <w:rsid w:val="00EE1DE5"/>
    <w:rsid w:val="00EE2397"/>
    <w:rsid w:val="00EE23D4"/>
    <w:rsid w:val="00EE350B"/>
    <w:rsid w:val="00EE36C3"/>
    <w:rsid w:val="00EE3C0F"/>
    <w:rsid w:val="00EE3D34"/>
    <w:rsid w:val="00EE3ED1"/>
    <w:rsid w:val="00EE4051"/>
    <w:rsid w:val="00EE4883"/>
    <w:rsid w:val="00EE48BF"/>
    <w:rsid w:val="00EE4D32"/>
    <w:rsid w:val="00EE4F07"/>
    <w:rsid w:val="00EE5A5B"/>
    <w:rsid w:val="00EE5B37"/>
    <w:rsid w:val="00EE5ECD"/>
    <w:rsid w:val="00EE6174"/>
    <w:rsid w:val="00EE6B91"/>
    <w:rsid w:val="00EE70A8"/>
    <w:rsid w:val="00EE7740"/>
    <w:rsid w:val="00EE7A2D"/>
    <w:rsid w:val="00EE7EF3"/>
    <w:rsid w:val="00EF0321"/>
    <w:rsid w:val="00EF0FC2"/>
    <w:rsid w:val="00EF1051"/>
    <w:rsid w:val="00EF1953"/>
    <w:rsid w:val="00EF1F08"/>
    <w:rsid w:val="00EF2314"/>
    <w:rsid w:val="00EF2B26"/>
    <w:rsid w:val="00EF2CC6"/>
    <w:rsid w:val="00EF2FB4"/>
    <w:rsid w:val="00EF3714"/>
    <w:rsid w:val="00EF37C5"/>
    <w:rsid w:val="00EF4F0A"/>
    <w:rsid w:val="00EF5171"/>
    <w:rsid w:val="00EF532F"/>
    <w:rsid w:val="00EF53A7"/>
    <w:rsid w:val="00EF5658"/>
    <w:rsid w:val="00EF5E01"/>
    <w:rsid w:val="00EF60B1"/>
    <w:rsid w:val="00EF6180"/>
    <w:rsid w:val="00EF63C7"/>
    <w:rsid w:val="00EF6ADD"/>
    <w:rsid w:val="00EF6E1D"/>
    <w:rsid w:val="00EF6F41"/>
    <w:rsid w:val="00EF75F0"/>
    <w:rsid w:val="00EF7D21"/>
    <w:rsid w:val="00F0016D"/>
    <w:rsid w:val="00F0020B"/>
    <w:rsid w:val="00F00D8F"/>
    <w:rsid w:val="00F0126B"/>
    <w:rsid w:val="00F017DC"/>
    <w:rsid w:val="00F02498"/>
    <w:rsid w:val="00F024A2"/>
    <w:rsid w:val="00F02B47"/>
    <w:rsid w:val="00F033C1"/>
    <w:rsid w:val="00F03F9F"/>
    <w:rsid w:val="00F042E0"/>
    <w:rsid w:val="00F05A08"/>
    <w:rsid w:val="00F05ACD"/>
    <w:rsid w:val="00F060A6"/>
    <w:rsid w:val="00F06CCD"/>
    <w:rsid w:val="00F07089"/>
    <w:rsid w:val="00F0721D"/>
    <w:rsid w:val="00F0778D"/>
    <w:rsid w:val="00F07F87"/>
    <w:rsid w:val="00F10010"/>
    <w:rsid w:val="00F10527"/>
    <w:rsid w:val="00F106D3"/>
    <w:rsid w:val="00F1073F"/>
    <w:rsid w:val="00F10B1D"/>
    <w:rsid w:val="00F10CCE"/>
    <w:rsid w:val="00F10D63"/>
    <w:rsid w:val="00F10E42"/>
    <w:rsid w:val="00F118A6"/>
    <w:rsid w:val="00F11B4C"/>
    <w:rsid w:val="00F11DF7"/>
    <w:rsid w:val="00F126BC"/>
    <w:rsid w:val="00F1284F"/>
    <w:rsid w:val="00F12BFC"/>
    <w:rsid w:val="00F12CB6"/>
    <w:rsid w:val="00F130C8"/>
    <w:rsid w:val="00F138CF"/>
    <w:rsid w:val="00F13C03"/>
    <w:rsid w:val="00F141A2"/>
    <w:rsid w:val="00F14553"/>
    <w:rsid w:val="00F1469B"/>
    <w:rsid w:val="00F14DAF"/>
    <w:rsid w:val="00F15853"/>
    <w:rsid w:val="00F15A9A"/>
    <w:rsid w:val="00F15EC1"/>
    <w:rsid w:val="00F1739B"/>
    <w:rsid w:val="00F175E0"/>
    <w:rsid w:val="00F17A28"/>
    <w:rsid w:val="00F2019E"/>
    <w:rsid w:val="00F20D79"/>
    <w:rsid w:val="00F20E8B"/>
    <w:rsid w:val="00F213C7"/>
    <w:rsid w:val="00F2187D"/>
    <w:rsid w:val="00F21A52"/>
    <w:rsid w:val="00F2214B"/>
    <w:rsid w:val="00F22597"/>
    <w:rsid w:val="00F228A9"/>
    <w:rsid w:val="00F23917"/>
    <w:rsid w:val="00F23A92"/>
    <w:rsid w:val="00F2489A"/>
    <w:rsid w:val="00F24E81"/>
    <w:rsid w:val="00F25219"/>
    <w:rsid w:val="00F2553B"/>
    <w:rsid w:val="00F25995"/>
    <w:rsid w:val="00F25AEA"/>
    <w:rsid w:val="00F25D11"/>
    <w:rsid w:val="00F25DB3"/>
    <w:rsid w:val="00F25ED2"/>
    <w:rsid w:val="00F267AD"/>
    <w:rsid w:val="00F26D5F"/>
    <w:rsid w:val="00F270E2"/>
    <w:rsid w:val="00F27693"/>
    <w:rsid w:val="00F27F2A"/>
    <w:rsid w:val="00F304CD"/>
    <w:rsid w:val="00F31674"/>
    <w:rsid w:val="00F317C5"/>
    <w:rsid w:val="00F3241B"/>
    <w:rsid w:val="00F32431"/>
    <w:rsid w:val="00F325CD"/>
    <w:rsid w:val="00F32C38"/>
    <w:rsid w:val="00F3330D"/>
    <w:rsid w:val="00F33417"/>
    <w:rsid w:val="00F34212"/>
    <w:rsid w:val="00F34571"/>
    <w:rsid w:val="00F34BA5"/>
    <w:rsid w:val="00F35484"/>
    <w:rsid w:val="00F354A2"/>
    <w:rsid w:val="00F3593D"/>
    <w:rsid w:val="00F35BD7"/>
    <w:rsid w:val="00F361FF"/>
    <w:rsid w:val="00F36256"/>
    <w:rsid w:val="00F3656E"/>
    <w:rsid w:val="00F365BC"/>
    <w:rsid w:val="00F37231"/>
    <w:rsid w:val="00F377CC"/>
    <w:rsid w:val="00F37840"/>
    <w:rsid w:val="00F37BC6"/>
    <w:rsid w:val="00F4011F"/>
    <w:rsid w:val="00F40A7A"/>
    <w:rsid w:val="00F40FD7"/>
    <w:rsid w:val="00F411A4"/>
    <w:rsid w:val="00F414E2"/>
    <w:rsid w:val="00F41675"/>
    <w:rsid w:val="00F41BD7"/>
    <w:rsid w:val="00F41EEA"/>
    <w:rsid w:val="00F420F6"/>
    <w:rsid w:val="00F429CD"/>
    <w:rsid w:val="00F43097"/>
    <w:rsid w:val="00F435BC"/>
    <w:rsid w:val="00F438BF"/>
    <w:rsid w:val="00F43D09"/>
    <w:rsid w:val="00F44043"/>
    <w:rsid w:val="00F440F9"/>
    <w:rsid w:val="00F4464A"/>
    <w:rsid w:val="00F44759"/>
    <w:rsid w:val="00F44BA3"/>
    <w:rsid w:val="00F4514A"/>
    <w:rsid w:val="00F45255"/>
    <w:rsid w:val="00F45BBA"/>
    <w:rsid w:val="00F464D8"/>
    <w:rsid w:val="00F46D4A"/>
    <w:rsid w:val="00F46DA0"/>
    <w:rsid w:val="00F46FE1"/>
    <w:rsid w:val="00F474F9"/>
    <w:rsid w:val="00F4754A"/>
    <w:rsid w:val="00F47E09"/>
    <w:rsid w:val="00F50097"/>
    <w:rsid w:val="00F5092E"/>
    <w:rsid w:val="00F50E99"/>
    <w:rsid w:val="00F5105B"/>
    <w:rsid w:val="00F51442"/>
    <w:rsid w:val="00F51568"/>
    <w:rsid w:val="00F516CC"/>
    <w:rsid w:val="00F51761"/>
    <w:rsid w:val="00F5200F"/>
    <w:rsid w:val="00F520C5"/>
    <w:rsid w:val="00F524B4"/>
    <w:rsid w:val="00F5328E"/>
    <w:rsid w:val="00F53810"/>
    <w:rsid w:val="00F53E80"/>
    <w:rsid w:val="00F546C9"/>
    <w:rsid w:val="00F54AE5"/>
    <w:rsid w:val="00F54B05"/>
    <w:rsid w:val="00F557C6"/>
    <w:rsid w:val="00F55CD9"/>
    <w:rsid w:val="00F55E4A"/>
    <w:rsid w:val="00F55FF9"/>
    <w:rsid w:val="00F56C7C"/>
    <w:rsid w:val="00F56FBA"/>
    <w:rsid w:val="00F57B10"/>
    <w:rsid w:val="00F601F2"/>
    <w:rsid w:val="00F606C1"/>
    <w:rsid w:val="00F60F5B"/>
    <w:rsid w:val="00F6196E"/>
    <w:rsid w:val="00F62394"/>
    <w:rsid w:val="00F630AA"/>
    <w:rsid w:val="00F631BB"/>
    <w:rsid w:val="00F6337C"/>
    <w:rsid w:val="00F638AE"/>
    <w:rsid w:val="00F64172"/>
    <w:rsid w:val="00F64302"/>
    <w:rsid w:val="00F649C0"/>
    <w:rsid w:val="00F64AD0"/>
    <w:rsid w:val="00F650C8"/>
    <w:rsid w:val="00F662BD"/>
    <w:rsid w:val="00F66311"/>
    <w:rsid w:val="00F6633B"/>
    <w:rsid w:val="00F668B0"/>
    <w:rsid w:val="00F66A34"/>
    <w:rsid w:val="00F66E13"/>
    <w:rsid w:val="00F670FC"/>
    <w:rsid w:val="00F671B8"/>
    <w:rsid w:val="00F67723"/>
    <w:rsid w:val="00F6795D"/>
    <w:rsid w:val="00F67BB3"/>
    <w:rsid w:val="00F67E4C"/>
    <w:rsid w:val="00F67EA5"/>
    <w:rsid w:val="00F7092E"/>
    <w:rsid w:val="00F71AC6"/>
    <w:rsid w:val="00F71B09"/>
    <w:rsid w:val="00F72396"/>
    <w:rsid w:val="00F72ADC"/>
    <w:rsid w:val="00F72BFE"/>
    <w:rsid w:val="00F73564"/>
    <w:rsid w:val="00F73BA7"/>
    <w:rsid w:val="00F73EE7"/>
    <w:rsid w:val="00F73F48"/>
    <w:rsid w:val="00F74D97"/>
    <w:rsid w:val="00F74ED5"/>
    <w:rsid w:val="00F752F0"/>
    <w:rsid w:val="00F75B41"/>
    <w:rsid w:val="00F75D09"/>
    <w:rsid w:val="00F75EB4"/>
    <w:rsid w:val="00F75F98"/>
    <w:rsid w:val="00F760E2"/>
    <w:rsid w:val="00F765D0"/>
    <w:rsid w:val="00F768E9"/>
    <w:rsid w:val="00F769B8"/>
    <w:rsid w:val="00F76BC9"/>
    <w:rsid w:val="00F76FF2"/>
    <w:rsid w:val="00F77056"/>
    <w:rsid w:val="00F77278"/>
    <w:rsid w:val="00F7763E"/>
    <w:rsid w:val="00F8019B"/>
    <w:rsid w:val="00F808BD"/>
    <w:rsid w:val="00F80DFA"/>
    <w:rsid w:val="00F814F9"/>
    <w:rsid w:val="00F8195F"/>
    <w:rsid w:val="00F819B8"/>
    <w:rsid w:val="00F81A11"/>
    <w:rsid w:val="00F81E19"/>
    <w:rsid w:val="00F81EE3"/>
    <w:rsid w:val="00F81FA0"/>
    <w:rsid w:val="00F82A41"/>
    <w:rsid w:val="00F82A42"/>
    <w:rsid w:val="00F833D0"/>
    <w:rsid w:val="00F838FD"/>
    <w:rsid w:val="00F83D35"/>
    <w:rsid w:val="00F83DC2"/>
    <w:rsid w:val="00F84270"/>
    <w:rsid w:val="00F84628"/>
    <w:rsid w:val="00F8470C"/>
    <w:rsid w:val="00F84821"/>
    <w:rsid w:val="00F84A9A"/>
    <w:rsid w:val="00F84A9C"/>
    <w:rsid w:val="00F84F72"/>
    <w:rsid w:val="00F8580E"/>
    <w:rsid w:val="00F85E11"/>
    <w:rsid w:val="00F861B5"/>
    <w:rsid w:val="00F8621D"/>
    <w:rsid w:val="00F868C9"/>
    <w:rsid w:val="00F8721B"/>
    <w:rsid w:val="00F874BD"/>
    <w:rsid w:val="00F87B72"/>
    <w:rsid w:val="00F87F6C"/>
    <w:rsid w:val="00F901E6"/>
    <w:rsid w:val="00F9093D"/>
    <w:rsid w:val="00F9117B"/>
    <w:rsid w:val="00F914EE"/>
    <w:rsid w:val="00F91ECC"/>
    <w:rsid w:val="00F927D5"/>
    <w:rsid w:val="00F930D9"/>
    <w:rsid w:val="00F933A2"/>
    <w:rsid w:val="00F93F8C"/>
    <w:rsid w:val="00F94184"/>
    <w:rsid w:val="00F944D9"/>
    <w:rsid w:val="00F948EE"/>
    <w:rsid w:val="00F94A3D"/>
    <w:rsid w:val="00F94B4E"/>
    <w:rsid w:val="00F952BF"/>
    <w:rsid w:val="00F9562D"/>
    <w:rsid w:val="00F95A16"/>
    <w:rsid w:val="00F95A8D"/>
    <w:rsid w:val="00F9606C"/>
    <w:rsid w:val="00F96534"/>
    <w:rsid w:val="00F9679E"/>
    <w:rsid w:val="00F969F9"/>
    <w:rsid w:val="00F96AE3"/>
    <w:rsid w:val="00F96D36"/>
    <w:rsid w:val="00F976F1"/>
    <w:rsid w:val="00F977B5"/>
    <w:rsid w:val="00F97C4A"/>
    <w:rsid w:val="00F97CF6"/>
    <w:rsid w:val="00FA04D4"/>
    <w:rsid w:val="00FA0A78"/>
    <w:rsid w:val="00FA1605"/>
    <w:rsid w:val="00FA1920"/>
    <w:rsid w:val="00FA29A3"/>
    <w:rsid w:val="00FA2CCF"/>
    <w:rsid w:val="00FA2D27"/>
    <w:rsid w:val="00FA2F27"/>
    <w:rsid w:val="00FA338B"/>
    <w:rsid w:val="00FA34C3"/>
    <w:rsid w:val="00FA3AE8"/>
    <w:rsid w:val="00FA3D7C"/>
    <w:rsid w:val="00FA4591"/>
    <w:rsid w:val="00FA4E3D"/>
    <w:rsid w:val="00FA51D5"/>
    <w:rsid w:val="00FA52D9"/>
    <w:rsid w:val="00FA63FA"/>
    <w:rsid w:val="00FA67A1"/>
    <w:rsid w:val="00FA73BC"/>
    <w:rsid w:val="00FA73CF"/>
    <w:rsid w:val="00FA74ED"/>
    <w:rsid w:val="00FA7F78"/>
    <w:rsid w:val="00FB0E41"/>
    <w:rsid w:val="00FB105A"/>
    <w:rsid w:val="00FB1171"/>
    <w:rsid w:val="00FB12F6"/>
    <w:rsid w:val="00FB164D"/>
    <w:rsid w:val="00FB1A18"/>
    <w:rsid w:val="00FB21D1"/>
    <w:rsid w:val="00FB2771"/>
    <w:rsid w:val="00FB29E0"/>
    <w:rsid w:val="00FB2AB4"/>
    <w:rsid w:val="00FB2C56"/>
    <w:rsid w:val="00FB2E11"/>
    <w:rsid w:val="00FB3685"/>
    <w:rsid w:val="00FB3AC3"/>
    <w:rsid w:val="00FB3ADA"/>
    <w:rsid w:val="00FB3B9F"/>
    <w:rsid w:val="00FB3E00"/>
    <w:rsid w:val="00FB47F8"/>
    <w:rsid w:val="00FB4D2A"/>
    <w:rsid w:val="00FB5706"/>
    <w:rsid w:val="00FB5A66"/>
    <w:rsid w:val="00FB5BE1"/>
    <w:rsid w:val="00FB5E7D"/>
    <w:rsid w:val="00FB60BC"/>
    <w:rsid w:val="00FB60C2"/>
    <w:rsid w:val="00FB630E"/>
    <w:rsid w:val="00FB69FC"/>
    <w:rsid w:val="00FB6E89"/>
    <w:rsid w:val="00FB6EA5"/>
    <w:rsid w:val="00FB6F61"/>
    <w:rsid w:val="00FB701D"/>
    <w:rsid w:val="00FB720C"/>
    <w:rsid w:val="00FB760F"/>
    <w:rsid w:val="00FB7862"/>
    <w:rsid w:val="00FC025C"/>
    <w:rsid w:val="00FC065C"/>
    <w:rsid w:val="00FC0E8D"/>
    <w:rsid w:val="00FC15FF"/>
    <w:rsid w:val="00FC164D"/>
    <w:rsid w:val="00FC1BBE"/>
    <w:rsid w:val="00FC1CD5"/>
    <w:rsid w:val="00FC1D93"/>
    <w:rsid w:val="00FC2056"/>
    <w:rsid w:val="00FC2AA5"/>
    <w:rsid w:val="00FC2FC1"/>
    <w:rsid w:val="00FC3C28"/>
    <w:rsid w:val="00FC49B7"/>
    <w:rsid w:val="00FC4BB4"/>
    <w:rsid w:val="00FC4F05"/>
    <w:rsid w:val="00FC5652"/>
    <w:rsid w:val="00FC5A8F"/>
    <w:rsid w:val="00FC5F44"/>
    <w:rsid w:val="00FC69DA"/>
    <w:rsid w:val="00FC6B59"/>
    <w:rsid w:val="00FC6D79"/>
    <w:rsid w:val="00FC72E7"/>
    <w:rsid w:val="00FC7D4E"/>
    <w:rsid w:val="00FC7F78"/>
    <w:rsid w:val="00FD037F"/>
    <w:rsid w:val="00FD0438"/>
    <w:rsid w:val="00FD1238"/>
    <w:rsid w:val="00FD142B"/>
    <w:rsid w:val="00FD1C36"/>
    <w:rsid w:val="00FD3A40"/>
    <w:rsid w:val="00FD3C8E"/>
    <w:rsid w:val="00FD430B"/>
    <w:rsid w:val="00FD435C"/>
    <w:rsid w:val="00FD465A"/>
    <w:rsid w:val="00FD4E61"/>
    <w:rsid w:val="00FD4EC3"/>
    <w:rsid w:val="00FD5263"/>
    <w:rsid w:val="00FD5444"/>
    <w:rsid w:val="00FD5DF0"/>
    <w:rsid w:val="00FD6520"/>
    <w:rsid w:val="00FD6542"/>
    <w:rsid w:val="00FD6806"/>
    <w:rsid w:val="00FD705D"/>
    <w:rsid w:val="00FE01B6"/>
    <w:rsid w:val="00FE0243"/>
    <w:rsid w:val="00FE0523"/>
    <w:rsid w:val="00FE087E"/>
    <w:rsid w:val="00FE09EE"/>
    <w:rsid w:val="00FE0A53"/>
    <w:rsid w:val="00FE12D5"/>
    <w:rsid w:val="00FE1AE2"/>
    <w:rsid w:val="00FE1C4C"/>
    <w:rsid w:val="00FE1D00"/>
    <w:rsid w:val="00FE222E"/>
    <w:rsid w:val="00FE295C"/>
    <w:rsid w:val="00FE298B"/>
    <w:rsid w:val="00FE2CA0"/>
    <w:rsid w:val="00FE2DC1"/>
    <w:rsid w:val="00FE3252"/>
    <w:rsid w:val="00FE3EA5"/>
    <w:rsid w:val="00FE3F5B"/>
    <w:rsid w:val="00FE419C"/>
    <w:rsid w:val="00FE4AF1"/>
    <w:rsid w:val="00FE5015"/>
    <w:rsid w:val="00FE5405"/>
    <w:rsid w:val="00FE5A7A"/>
    <w:rsid w:val="00FE5E1D"/>
    <w:rsid w:val="00FE72B3"/>
    <w:rsid w:val="00FE785C"/>
    <w:rsid w:val="00FE7AD4"/>
    <w:rsid w:val="00FE7F36"/>
    <w:rsid w:val="00FE7FB4"/>
    <w:rsid w:val="00FF02C9"/>
    <w:rsid w:val="00FF05AB"/>
    <w:rsid w:val="00FF05B2"/>
    <w:rsid w:val="00FF069C"/>
    <w:rsid w:val="00FF1429"/>
    <w:rsid w:val="00FF15A7"/>
    <w:rsid w:val="00FF19D7"/>
    <w:rsid w:val="00FF19E2"/>
    <w:rsid w:val="00FF1D89"/>
    <w:rsid w:val="00FF2125"/>
    <w:rsid w:val="00FF2CE6"/>
    <w:rsid w:val="00FF3007"/>
    <w:rsid w:val="00FF3026"/>
    <w:rsid w:val="00FF3D4C"/>
    <w:rsid w:val="00FF3DAD"/>
    <w:rsid w:val="00FF3DCA"/>
    <w:rsid w:val="00FF3E1A"/>
    <w:rsid w:val="00FF4238"/>
    <w:rsid w:val="00FF43E0"/>
    <w:rsid w:val="00FF5B49"/>
    <w:rsid w:val="00FF6086"/>
    <w:rsid w:val="00FF6DD5"/>
    <w:rsid w:val="00FF6ED2"/>
    <w:rsid w:val="00FF763D"/>
    <w:rsid w:val="00FF766B"/>
    <w:rsid w:val="00FF7B93"/>
    <w:rsid w:val="01AB44F2"/>
    <w:rsid w:val="01B07742"/>
    <w:rsid w:val="0216C20E"/>
    <w:rsid w:val="021E214E"/>
    <w:rsid w:val="022522FC"/>
    <w:rsid w:val="036CD750"/>
    <w:rsid w:val="03DFA4ED"/>
    <w:rsid w:val="04177E3F"/>
    <w:rsid w:val="0442B185"/>
    <w:rsid w:val="04594D05"/>
    <w:rsid w:val="04881A58"/>
    <w:rsid w:val="04EE4D20"/>
    <w:rsid w:val="051AB5A1"/>
    <w:rsid w:val="0534F140"/>
    <w:rsid w:val="0555BC34"/>
    <w:rsid w:val="056FB877"/>
    <w:rsid w:val="05D430B7"/>
    <w:rsid w:val="062734DE"/>
    <w:rsid w:val="06F18C95"/>
    <w:rsid w:val="0728AC49"/>
    <w:rsid w:val="074E54B8"/>
    <w:rsid w:val="0770461B"/>
    <w:rsid w:val="0825F059"/>
    <w:rsid w:val="0851F1BC"/>
    <w:rsid w:val="08968309"/>
    <w:rsid w:val="08F34094"/>
    <w:rsid w:val="08F3DC20"/>
    <w:rsid w:val="08F66D88"/>
    <w:rsid w:val="0906A67A"/>
    <w:rsid w:val="0915F3AB"/>
    <w:rsid w:val="091DEEE7"/>
    <w:rsid w:val="09253644"/>
    <w:rsid w:val="095EA484"/>
    <w:rsid w:val="09CDE983"/>
    <w:rsid w:val="09D036D2"/>
    <w:rsid w:val="0A50D89C"/>
    <w:rsid w:val="0A6D9766"/>
    <w:rsid w:val="0A72396C"/>
    <w:rsid w:val="0BD579D9"/>
    <w:rsid w:val="0C2F420C"/>
    <w:rsid w:val="0C4EC35D"/>
    <w:rsid w:val="0C850A6F"/>
    <w:rsid w:val="0CA43CE7"/>
    <w:rsid w:val="0CAD854C"/>
    <w:rsid w:val="0CCE4FAE"/>
    <w:rsid w:val="0CFE26D9"/>
    <w:rsid w:val="0D041C4D"/>
    <w:rsid w:val="0D99B435"/>
    <w:rsid w:val="0DA53994"/>
    <w:rsid w:val="0E0D585D"/>
    <w:rsid w:val="0E7B474F"/>
    <w:rsid w:val="0E8F73A1"/>
    <w:rsid w:val="0EB5A4E2"/>
    <w:rsid w:val="0EC2C6D7"/>
    <w:rsid w:val="0F062934"/>
    <w:rsid w:val="0F247C90"/>
    <w:rsid w:val="0F6BCD2A"/>
    <w:rsid w:val="0FEB4106"/>
    <w:rsid w:val="0FF2A5B9"/>
    <w:rsid w:val="0FF7C118"/>
    <w:rsid w:val="0FFA7E53"/>
    <w:rsid w:val="1096B30B"/>
    <w:rsid w:val="10CE609A"/>
    <w:rsid w:val="10D2E3D2"/>
    <w:rsid w:val="1118584D"/>
    <w:rsid w:val="112A53DC"/>
    <w:rsid w:val="112CC573"/>
    <w:rsid w:val="11CCFBC3"/>
    <w:rsid w:val="121F8DD6"/>
    <w:rsid w:val="122CF4C1"/>
    <w:rsid w:val="1232D9BA"/>
    <w:rsid w:val="127811D3"/>
    <w:rsid w:val="12849C4C"/>
    <w:rsid w:val="12B0B3F0"/>
    <w:rsid w:val="12CB17AF"/>
    <w:rsid w:val="12CCA1F3"/>
    <w:rsid w:val="12F5AED3"/>
    <w:rsid w:val="132EFD33"/>
    <w:rsid w:val="13627726"/>
    <w:rsid w:val="138465AB"/>
    <w:rsid w:val="13AA71C6"/>
    <w:rsid w:val="13B6E740"/>
    <w:rsid w:val="14000EAB"/>
    <w:rsid w:val="145B9BAA"/>
    <w:rsid w:val="14710466"/>
    <w:rsid w:val="14C49742"/>
    <w:rsid w:val="14DBD1D9"/>
    <w:rsid w:val="15359EC8"/>
    <w:rsid w:val="1592B8DA"/>
    <w:rsid w:val="159A49D9"/>
    <w:rsid w:val="15C56856"/>
    <w:rsid w:val="174D89DA"/>
    <w:rsid w:val="1783F9D3"/>
    <w:rsid w:val="17986670"/>
    <w:rsid w:val="17A8D7F9"/>
    <w:rsid w:val="17CA8459"/>
    <w:rsid w:val="17CFAA9C"/>
    <w:rsid w:val="184A27CC"/>
    <w:rsid w:val="18773E85"/>
    <w:rsid w:val="18ACD9A4"/>
    <w:rsid w:val="18BBE96C"/>
    <w:rsid w:val="18E62ED1"/>
    <w:rsid w:val="190F04A1"/>
    <w:rsid w:val="192061AC"/>
    <w:rsid w:val="19224F3F"/>
    <w:rsid w:val="1954E712"/>
    <w:rsid w:val="1ABFC87A"/>
    <w:rsid w:val="1ACC4C0B"/>
    <w:rsid w:val="1AFF5DD8"/>
    <w:rsid w:val="1B1F3B08"/>
    <w:rsid w:val="1B2A3507"/>
    <w:rsid w:val="1B4E14C5"/>
    <w:rsid w:val="1B549AF6"/>
    <w:rsid w:val="1B63762D"/>
    <w:rsid w:val="1BAB6C11"/>
    <w:rsid w:val="1C125D76"/>
    <w:rsid w:val="1C882EDC"/>
    <w:rsid w:val="1C99D22F"/>
    <w:rsid w:val="1CB95380"/>
    <w:rsid w:val="1CD5116F"/>
    <w:rsid w:val="1CE65102"/>
    <w:rsid w:val="1D49058E"/>
    <w:rsid w:val="1D4A9671"/>
    <w:rsid w:val="1D729BC5"/>
    <w:rsid w:val="1D8C9808"/>
    <w:rsid w:val="1DDF0B28"/>
    <w:rsid w:val="1DE3D161"/>
    <w:rsid w:val="1DF39FFE"/>
    <w:rsid w:val="1DFA202B"/>
    <w:rsid w:val="1E4C9EE3"/>
    <w:rsid w:val="1EC74A28"/>
    <w:rsid w:val="1F018D49"/>
    <w:rsid w:val="1F0F039E"/>
    <w:rsid w:val="1F578B3A"/>
    <w:rsid w:val="1F70B957"/>
    <w:rsid w:val="1FAB330A"/>
    <w:rsid w:val="2017005D"/>
    <w:rsid w:val="203CA8CC"/>
    <w:rsid w:val="20498F17"/>
    <w:rsid w:val="2081D28C"/>
    <w:rsid w:val="208B1FDD"/>
    <w:rsid w:val="209A6276"/>
    <w:rsid w:val="20B91A79"/>
    <w:rsid w:val="214D589E"/>
    <w:rsid w:val="217FDA33"/>
    <w:rsid w:val="21DBD32C"/>
    <w:rsid w:val="21E558CF"/>
    <w:rsid w:val="21E9822E"/>
    <w:rsid w:val="220C3545"/>
    <w:rsid w:val="2223C910"/>
    <w:rsid w:val="22242EB2"/>
    <w:rsid w:val="22884150"/>
    <w:rsid w:val="229E831F"/>
    <w:rsid w:val="22C743F2"/>
    <w:rsid w:val="22E2A1F6"/>
    <w:rsid w:val="22E4EB94"/>
    <w:rsid w:val="22F7733A"/>
    <w:rsid w:val="22FC9B88"/>
    <w:rsid w:val="23311EE3"/>
    <w:rsid w:val="2370E03B"/>
    <w:rsid w:val="23DD82C5"/>
    <w:rsid w:val="24278430"/>
    <w:rsid w:val="2428FE06"/>
    <w:rsid w:val="25433E8F"/>
    <w:rsid w:val="254761DC"/>
    <w:rsid w:val="2549E773"/>
    <w:rsid w:val="256C02CE"/>
    <w:rsid w:val="25A7B6CF"/>
    <w:rsid w:val="2722A41E"/>
    <w:rsid w:val="27548966"/>
    <w:rsid w:val="2808417D"/>
    <w:rsid w:val="280E1123"/>
    <w:rsid w:val="285D890F"/>
    <w:rsid w:val="28EACC30"/>
    <w:rsid w:val="2933C2EF"/>
    <w:rsid w:val="296C5594"/>
    <w:rsid w:val="2992D99E"/>
    <w:rsid w:val="2A197239"/>
    <w:rsid w:val="2A58420A"/>
    <w:rsid w:val="2AC01EE1"/>
    <w:rsid w:val="2AF59EA8"/>
    <w:rsid w:val="2B949259"/>
    <w:rsid w:val="2BD8BEFF"/>
    <w:rsid w:val="2C6BC4D2"/>
    <w:rsid w:val="2CDCC0AA"/>
    <w:rsid w:val="2CF3BDF8"/>
    <w:rsid w:val="2D470B69"/>
    <w:rsid w:val="2D51CA4E"/>
    <w:rsid w:val="2E3481E4"/>
    <w:rsid w:val="2E35C52B"/>
    <w:rsid w:val="2E550FEA"/>
    <w:rsid w:val="2E7F8177"/>
    <w:rsid w:val="2EBAE5C4"/>
    <w:rsid w:val="2F2D1ACA"/>
    <w:rsid w:val="2F5A0DB4"/>
    <w:rsid w:val="2FA755D5"/>
    <w:rsid w:val="2FC0F22D"/>
    <w:rsid w:val="2FC2EA6B"/>
    <w:rsid w:val="302AFA13"/>
    <w:rsid w:val="30397263"/>
    <w:rsid w:val="305CEB07"/>
    <w:rsid w:val="30FB2259"/>
    <w:rsid w:val="3145C540"/>
    <w:rsid w:val="319BCB0C"/>
    <w:rsid w:val="319DEB83"/>
    <w:rsid w:val="32583F3B"/>
    <w:rsid w:val="325E992A"/>
    <w:rsid w:val="328B96AC"/>
    <w:rsid w:val="3325C342"/>
    <w:rsid w:val="3339BBE4"/>
    <w:rsid w:val="335B0E35"/>
    <w:rsid w:val="33A0B12B"/>
    <w:rsid w:val="33FA9B61"/>
    <w:rsid w:val="34031BA3"/>
    <w:rsid w:val="359EEC04"/>
    <w:rsid w:val="3603AE04"/>
    <w:rsid w:val="36134216"/>
    <w:rsid w:val="36941479"/>
    <w:rsid w:val="36A897E3"/>
    <w:rsid w:val="36B20233"/>
    <w:rsid w:val="36D67BB2"/>
    <w:rsid w:val="370F5736"/>
    <w:rsid w:val="37221549"/>
    <w:rsid w:val="37C3DCB3"/>
    <w:rsid w:val="38421586"/>
    <w:rsid w:val="38446A28"/>
    <w:rsid w:val="3855BF1F"/>
    <w:rsid w:val="388F3CB3"/>
    <w:rsid w:val="3892320B"/>
    <w:rsid w:val="38DE7E0D"/>
    <w:rsid w:val="38E767B2"/>
    <w:rsid w:val="3961CCE5"/>
    <w:rsid w:val="39CA4FB9"/>
    <w:rsid w:val="39E4B75A"/>
    <w:rsid w:val="3A0EB2F1"/>
    <w:rsid w:val="3A19302D"/>
    <w:rsid w:val="3B215A3B"/>
    <w:rsid w:val="3B79D972"/>
    <w:rsid w:val="3B80E22E"/>
    <w:rsid w:val="3B955DF3"/>
    <w:rsid w:val="3BDDCB6F"/>
    <w:rsid w:val="3BE4F944"/>
    <w:rsid w:val="3C0DFF73"/>
    <w:rsid w:val="3C84B941"/>
    <w:rsid w:val="3C9CE57F"/>
    <w:rsid w:val="3CD55C5C"/>
    <w:rsid w:val="3D19245B"/>
    <w:rsid w:val="3D26D35D"/>
    <w:rsid w:val="3D5E1B4A"/>
    <w:rsid w:val="3DA7E9F3"/>
    <w:rsid w:val="3DAA674C"/>
    <w:rsid w:val="3DF9CA11"/>
    <w:rsid w:val="3E2EFE47"/>
    <w:rsid w:val="3E56D570"/>
    <w:rsid w:val="3E5E9025"/>
    <w:rsid w:val="3E8B8DA7"/>
    <w:rsid w:val="3EA58679"/>
    <w:rsid w:val="3F10B628"/>
    <w:rsid w:val="3F3CDE58"/>
    <w:rsid w:val="3FE13D91"/>
    <w:rsid w:val="3FFA237C"/>
    <w:rsid w:val="401D0905"/>
    <w:rsid w:val="401D2F1D"/>
    <w:rsid w:val="402298AB"/>
    <w:rsid w:val="405782B8"/>
    <w:rsid w:val="4062649B"/>
    <w:rsid w:val="40777C02"/>
    <w:rsid w:val="40FAB7E2"/>
    <w:rsid w:val="410E6E18"/>
    <w:rsid w:val="41127738"/>
    <w:rsid w:val="4150A280"/>
    <w:rsid w:val="41F9DEDE"/>
    <w:rsid w:val="42045C1A"/>
    <w:rsid w:val="421C8E34"/>
    <w:rsid w:val="422C5617"/>
    <w:rsid w:val="424EAFDE"/>
    <w:rsid w:val="4295D1DC"/>
    <w:rsid w:val="42F940A0"/>
    <w:rsid w:val="4393E8E8"/>
    <w:rsid w:val="43BEB1AD"/>
    <w:rsid w:val="43E23656"/>
    <w:rsid w:val="44193F6D"/>
    <w:rsid w:val="4472DA86"/>
    <w:rsid w:val="447E3291"/>
    <w:rsid w:val="4487ABCA"/>
    <w:rsid w:val="4494751C"/>
    <w:rsid w:val="44D287B2"/>
    <w:rsid w:val="456895B7"/>
    <w:rsid w:val="457FF7AC"/>
    <w:rsid w:val="458BDB8A"/>
    <w:rsid w:val="45C28848"/>
    <w:rsid w:val="45D794D0"/>
    <w:rsid w:val="46764599"/>
    <w:rsid w:val="46922CA3"/>
    <w:rsid w:val="46BB7DB2"/>
    <w:rsid w:val="46C5FAEE"/>
    <w:rsid w:val="47621B06"/>
    <w:rsid w:val="4791E777"/>
    <w:rsid w:val="481215FA"/>
    <w:rsid w:val="48B8A5D4"/>
    <w:rsid w:val="48F5FD27"/>
    <w:rsid w:val="48FDEB67"/>
    <w:rsid w:val="4901B525"/>
    <w:rsid w:val="4986C257"/>
    <w:rsid w:val="49AF6A01"/>
    <w:rsid w:val="49EF8807"/>
    <w:rsid w:val="4A1D2FAA"/>
    <w:rsid w:val="4A3F05CF"/>
    <w:rsid w:val="4A6F5894"/>
    <w:rsid w:val="4A74BA25"/>
    <w:rsid w:val="4A76808D"/>
    <w:rsid w:val="4A7C3214"/>
    <w:rsid w:val="4A8880F1"/>
    <w:rsid w:val="4A943B76"/>
    <w:rsid w:val="4B290451"/>
    <w:rsid w:val="4B631B87"/>
    <w:rsid w:val="4C8AC1D0"/>
    <w:rsid w:val="4C9900E1"/>
    <w:rsid w:val="4C9CDB56"/>
    <w:rsid w:val="4CAB0D30"/>
    <w:rsid w:val="4D656122"/>
    <w:rsid w:val="4D716370"/>
    <w:rsid w:val="4DAA5811"/>
    <w:rsid w:val="4DDC9D5B"/>
    <w:rsid w:val="4DF2B397"/>
    <w:rsid w:val="4E2273A0"/>
    <w:rsid w:val="4E3BCDD3"/>
    <w:rsid w:val="4E6737BE"/>
    <w:rsid w:val="4E80F1DC"/>
    <w:rsid w:val="4F6142CD"/>
    <w:rsid w:val="4F9D60EF"/>
    <w:rsid w:val="4FC8E259"/>
    <w:rsid w:val="4FD2D6EC"/>
    <w:rsid w:val="50368CAA"/>
    <w:rsid w:val="5057090E"/>
    <w:rsid w:val="50937D06"/>
    <w:rsid w:val="50F7C275"/>
    <w:rsid w:val="5129BCE1"/>
    <w:rsid w:val="51493E32"/>
    <w:rsid w:val="515322FB"/>
    <w:rsid w:val="51AFB87C"/>
    <w:rsid w:val="51CCD221"/>
    <w:rsid w:val="51E397E2"/>
    <w:rsid w:val="5211C910"/>
    <w:rsid w:val="529392D6"/>
    <w:rsid w:val="5294F858"/>
    <w:rsid w:val="52FD39D6"/>
    <w:rsid w:val="53006B9C"/>
    <w:rsid w:val="530B4E46"/>
    <w:rsid w:val="530C17C8"/>
    <w:rsid w:val="5312288D"/>
    <w:rsid w:val="536EFB76"/>
    <w:rsid w:val="539CA59E"/>
    <w:rsid w:val="53C9294B"/>
    <w:rsid w:val="53D99AD4"/>
    <w:rsid w:val="5424B8E1"/>
    <w:rsid w:val="5430C8B9"/>
    <w:rsid w:val="54684E0F"/>
    <w:rsid w:val="549219CB"/>
    <w:rsid w:val="54B78F69"/>
    <w:rsid w:val="558EB980"/>
    <w:rsid w:val="56215FA1"/>
    <w:rsid w:val="56FB0891"/>
    <w:rsid w:val="5730CD05"/>
    <w:rsid w:val="57C92315"/>
    <w:rsid w:val="57D07828"/>
    <w:rsid w:val="57EBD62C"/>
    <w:rsid w:val="5879B794"/>
    <w:rsid w:val="58BD7D80"/>
    <w:rsid w:val="58D1B9FE"/>
    <w:rsid w:val="58EFA2ED"/>
    <w:rsid w:val="5937E9E9"/>
    <w:rsid w:val="59A2754C"/>
    <w:rsid w:val="59F5635E"/>
    <w:rsid w:val="5A286309"/>
    <w:rsid w:val="5AB0EB05"/>
    <w:rsid w:val="5AF41BFE"/>
    <w:rsid w:val="5B12EF95"/>
    <w:rsid w:val="5B812CD7"/>
    <w:rsid w:val="5BB45538"/>
    <w:rsid w:val="5C8AC1E9"/>
    <w:rsid w:val="5D1CFD38"/>
    <w:rsid w:val="5D2FA36D"/>
    <w:rsid w:val="5D5A7004"/>
    <w:rsid w:val="5D793685"/>
    <w:rsid w:val="5DAC4BAC"/>
    <w:rsid w:val="5DEAA1AA"/>
    <w:rsid w:val="5E0A3827"/>
    <w:rsid w:val="5E1D4B3E"/>
    <w:rsid w:val="5E2CA6CC"/>
    <w:rsid w:val="5E3D5CC7"/>
    <w:rsid w:val="5E91964F"/>
    <w:rsid w:val="5EDD9C76"/>
    <w:rsid w:val="5FC42103"/>
    <w:rsid w:val="60237C30"/>
    <w:rsid w:val="6023ADE1"/>
    <w:rsid w:val="6055D0AB"/>
    <w:rsid w:val="6070B1DD"/>
    <w:rsid w:val="607359BE"/>
    <w:rsid w:val="60800BA6"/>
    <w:rsid w:val="60A7E003"/>
    <w:rsid w:val="611DD90B"/>
    <w:rsid w:val="612AA9C5"/>
    <w:rsid w:val="615AB262"/>
    <w:rsid w:val="61931FFD"/>
    <w:rsid w:val="61E5B210"/>
    <w:rsid w:val="61EECC7E"/>
    <w:rsid w:val="61F59D1B"/>
    <w:rsid w:val="62593627"/>
    <w:rsid w:val="626AEB8B"/>
    <w:rsid w:val="62D45AFE"/>
    <w:rsid w:val="632D59E3"/>
    <w:rsid w:val="639D7993"/>
    <w:rsid w:val="63AA6308"/>
    <w:rsid w:val="63AFF2AE"/>
    <w:rsid w:val="63C16698"/>
    <w:rsid w:val="644D2B6D"/>
    <w:rsid w:val="64A8D50D"/>
    <w:rsid w:val="64C591DD"/>
    <w:rsid w:val="64D3DA51"/>
    <w:rsid w:val="64EDEEDF"/>
    <w:rsid w:val="64F581F5"/>
    <w:rsid w:val="65E09394"/>
    <w:rsid w:val="65E5CCBA"/>
    <w:rsid w:val="660CC609"/>
    <w:rsid w:val="6637987C"/>
    <w:rsid w:val="665CDB49"/>
    <w:rsid w:val="66795DA5"/>
    <w:rsid w:val="668A4445"/>
    <w:rsid w:val="66CD2CCF"/>
    <w:rsid w:val="673278C3"/>
    <w:rsid w:val="674C3D86"/>
    <w:rsid w:val="680A28CF"/>
    <w:rsid w:val="6870617F"/>
    <w:rsid w:val="688363D1"/>
    <w:rsid w:val="689DC27F"/>
    <w:rsid w:val="68F97B8F"/>
    <w:rsid w:val="6912BB88"/>
    <w:rsid w:val="6978B908"/>
    <w:rsid w:val="697C4630"/>
    <w:rsid w:val="6990E59E"/>
    <w:rsid w:val="69E65645"/>
    <w:rsid w:val="6A4C843E"/>
    <w:rsid w:val="6A777E63"/>
    <w:rsid w:val="6AB3D122"/>
    <w:rsid w:val="6B112C01"/>
    <w:rsid w:val="6B153DCE"/>
    <w:rsid w:val="6B3A6045"/>
    <w:rsid w:val="6B3FFCC3"/>
    <w:rsid w:val="6B9750A1"/>
    <w:rsid w:val="6BD9BB9B"/>
    <w:rsid w:val="6C520A92"/>
    <w:rsid w:val="6C5499B1"/>
    <w:rsid w:val="6CAEC244"/>
    <w:rsid w:val="6CB3E6F2"/>
    <w:rsid w:val="6CF229E3"/>
    <w:rsid w:val="6D1C7891"/>
    <w:rsid w:val="6D3C6E53"/>
    <w:rsid w:val="6D9A0B47"/>
    <w:rsid w:val="6DC89694"/>
    <w:rsid w:val="6DD9081D"/>
    <w:rsid w:val="6DDB2E70"/>
    <w:rsid w:val="6E2F02CD"/>
    <w:rsid w:val="6E833BDE"/>
    <w:rsid w:val="6EC8695F"/>
    <w:rsid w:val="6F024C9A"/>
    <w:rsid w:val="6F9B4795"/>
    <w:rsid w:val="6FA98BF9"/>
    <w:rsid w:val="6FB40CF6"/>
    <w:rsid w:val="6FBB35F4"/>
    <w:rsid w:val="706383C7"/>
    <w:rsid w:val="706AC1C4"/>
    <w:rsid w:val="70B77729"/>
    <w:rsid w:val="70D2D52D"/>
    <w:rsid w:val="71DD5DE1"/>
    <w:rsid w:val="71EB10A4"/>
    <w:rsid w:val="71F40A6E"/>
    <w:rsid w:val="7200DA24"/>
    <w:rsid w:val="7232CA1A"/>
    <w:rsid w:val="7270B23B"/>
    <w:rsid w:val="72AF4ACD"/>
    <w:rsid w:val="73268B7D"/>
    <w:rsid w:val="74E04B28"/>
    <w:rsid w:val="756945B6"/>
    <w:rsid w:val="7581FAE6"/>
    <w:rsid w:val="759C2DDF"/>
    <w:rsid w:val="75A3AB07"/>
    <w:rsid w:val="75A520AB"/>
    <w:rsid w:val="75BDD55F"/>
    <w:rsid w:val="75F77B2C"/>
    <w:rsid w:val="7602D10A"/>
    <w:rsid w:val="760A1778"/>
    <w:rsid w:val="7641A0DB"/>
    <w:rsid w:val="7689FC61"/>
    <w:rsid w:val="76B6F9E3"/>
    <w:rsid w:val="76F998BA"/>
    <w:rsid w:val="7713EA3F"/>
    <w:rsid w:val="77457EFB"/>
    <w:rsid w:val="77C4C068"/>
    <w:rsid w:val="783FAA25"/>
    <w:rsid w:val="787E5C68"/>
    <w:rsid w:val="78AFEC76"/>
    <w:rsid w:val="78D395CC"/>
    <w:rsid w:val="78F51636"/>
    <w:rsid w:val="7902C538"/>
    <w:rsid w:val="7916F46C"/>
    <w:rsid w:val="793E8AD4"/>
    <w:rsid w:val="79C1387C"/>
    <w:rsid w:val="7A11A40A"/>
    <w:rsid w:val="7A1CA709"/>
    <w:rsid w:val="7A35EF74"/>
    <w:rsid w:val="7AD973F3"/>
    <w:rsid w:val="7B55E5A0"/>
    <w:rsid w:val="7B7D61E5"/>
    <w:rsid w:val="7BFD8E67"/>
    <w:rsid w:val="7C6EE6A4"/>
    <w:rsid w:val="7D35B0D1"/>
    <w:rsid w:val="7D39D41E"/>
    <w:rsid w:val="7D585F2C"/>
    <w:rsid w:val="7D5C7D36"/>
    <w:rsid w:val="7D788558"/>
    <w:rsid w:val="7DA8D337"/>
    <w:rsid w:val="7DDEBA5E"/>
    <w:rsid w:val="7E06809C"/>
    <w:rsid w:val="7E47F7FB"/>
    <w:rsid w:val="7E67467B"/>
    <w:rsid w:val="7ECBECD0"/>
    <w:rsid w:val="7F033979"/>
    <w:rsid w:val="7F362B48"/>
    <w:rsid w:val="7F90EE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6BE00"/>
  <w15:chartTrackingRefBased/>
  <w15:docId w15:val="{540ECF9D-DCAA-4856-9173-4311D8DC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32E"/>
    <w:rPr>
      <w:lang w:val="en-GB"/>
    </w:rPr>
  </w:style>
  <w:style w:type="paragraph" w:styleId="Heading1">
    <w:name w:val="heading 1"/>
    <w:basedOn w:val="Normal"/>
    <w:next w:val="Normal"/>
    <w:link w:val="Heading1Char"/>
    <w:uiPriority w:val="9"/>
    <w:qFormat/>
    <w:rsid w:val="00EF2B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2B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6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B26"/>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EF2B26"/>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EF2B26"/>
    <w:rPr>
      <w:color w:val="0563C1" w:themeColor="hyperlink"/>
      <w:u w:val="single"/>
    </w:rPr>
  </w:style>
  <w:style w:type="character" w:customStyle="1" w:styleId="UnresolvedMention1">
    <w:name w:val="Unresolved Mention1"/>
    <w:basedOn w:val="DefaultParagraphFont"/>
    <w:uiPriority w:val="99"/>
    <w:semiHidden/>
    <w:unhideWhenUsed/>
    <w:rsid w:val="00EF2B26"/>
    <w:rPr>
      <w:color w:val="605E5C"/>
      <w:shd w:val="clear" w:color="auto" w:fill="E1DFDD"/>
    </w:rPr>
  </w:style>
  <w:style w:type="paragraph" w:styleId="ListParagraph">
    <w:name w:val="List Paragraph"/>
    <w:basedOn w:val="Normal"/>
    <w:uiPriority w:val="34"/>
    <w:qFormat/>
    <w:rsid w:val="00EF2B26"/>
    <w:pPr>
      <w:ind w:left="720"/>
      <w:contextualSpacing/>
    </w:pPr>
  </w:style>
  <w:style w:type="character" w:styleId="CommentReference">
    <w:name w:val="annotation reference"/>
    <w:basedOn w:val="DefaultParagraphFont"/>
    <w:uiPriority w:val="99"/>
    <w:semiHidden/>
    <w:unhideWhenUsed/>
    <w:rsid w:val="00EF2B26"/>
    <w:rPr>
      <w:sz w:val="16"/>
      <w:szCs w:val="16"/>
    </w:rPr>
  </w:style>
  <w:style w:type="paragraph" w:styleId="CommentText">
    <w:name w:val="annotation text"/>
    <w:basedOn w:val="Normal"/>
    <w:link w:val="CommentTextChar"/>
    <w:uiPriority w:val="99"/>
    <w:unhideWhenUsed/>
    <w:rsid w:val="00EF2B26"/>
    <w:pPr>
      <w:spacing w:line="240" w:lineRule="auto"/>
    </w:pPr>
    <w:rPr>
      <w:sz w:val="20"/>
      <w:szCs w:val="20"/>
    </w:rPr>
  </w:style>
  <w:style w:type="character" w:customStyle="1" w:styleId="CommentTextChar">
    <w:name w:val="Comment Text Char"/>
    <w:basedOn w:val="DefaultParagraphFont"/>
    <w:link w:val="CommentText"/>
    <w:uiPriority w:val="99"/>
    <w:rsid w:val="00EF2B26"/>
    <w:rPr>
      <w:sz w:val="20"/>
      <w:szCs w:val="20"/>
      <w:lang w:val="en-GB"/>
    </w:rPr>
  </w:style>
  <w:style w:type="paragraph" w:styleId="CommentSubject">
    <w:name w:val="annotation subject"/>
    <w:basedOn w:val="CommentText"/>
    <w:next w:val="CommentText"/>
    <w:link w:val="CommentSubjectChar"/>
    <w:uiPriority w:val="99"/>
    <w:semiHidden/>
    <w:unhideWhenUsed/>
    <w:rsid w:val="00EF2B26"/>
    <w:rPr>
      <w:b/>
      <w:bCs/>
    </w:rPr>
  </w:style>
  <w:style w:type="character" w:customStyle="1" w:styleId="CommentSubjectChar">
    <w:name w:val="Comment Subject Char"/>
    <w:basedOn w:val="CommentTextChar"/>
    <w:link w:val="CommentSubject"/>
    <w:uiPriority w:val="99"/>
    <w:semiHidden/>
    <w:rsid w:val="00EF2B26"/>
    <w:rPr>
      <w:b/>
      <w:bCs/>
      <w:sz w:val="20"/>
      <w:szCs w:val="20"/>
      <w:lang w:val="en-GB"/>
    </w:rPr>
  </w:style>
  <w:style w:type="paragraph" w:styleId="Caption">
    <w:name w:val="caption"/>
    <w:basedOn w:val="Normal"/>
    <w:next w:val="Normal"/>
    <w:uiPriority w:val="35"/>
    <w:unhideWhenUsed/>
    <w:qFormat/>
    <w:rsid w:val="00EF2B26"/>
    <w:pPr>
      <w:spacing w:line="240" w:lineRule="auto"/>
    </w:pPr>
    <w:rPr>
      <w:rFonts w:eastAsiaTheme="minorEastAsia"/>
      <w:b/>
      <w:bCs/>
      <w:smallCaps/>
      <w:color w:val="44546A" w:themeColor="text2"/>
    </w:rPr>
  </w:style>
  <w:style w:type="character" w:styleId="FootnoteReference">
    <w:name w:val="footnote reference"/>
    <w:basedOn w:val="DefaultParagraphFont"/>
    <w:uiPriority w:val="99"/>
    <w:semiHidden/>
    <w:unhideWhenUsed/>
    <w:rsid w:val="00EF2B26"/>
    <w:rPr>
      <w:vertAlign w:val="superscript"/>
    </w:rPr>
  </w:style>
  <w:style w:type="character" w:customStyle="1" w:styleId="FootnoteTextChar">
    <w:name w:val="Footnote Text Char"/>
    <w:basedOn w:val="DefaultParagraphFont"/>
    <w:link w:val="FootnoteText"/>
    <w:uiPriority w:val="99"/>
    <w:rsid w:val="00EF2B26"/>
    <w:rPr>
      <w:sz w:val="20"/>
      <w:szCs w:val="20"/>
    </w:rPr>
  </w:style>
  <w:style w:type="paragraph" w:styleId="FootnoteText">
    <w:name w:val="footnote text"/>
    <w:basedOn w:val="Normal"/>
    <w:link w:val="FootnoteTextChar"/>
    <w:uiPriority w:val="99"/>
    <w:unhideWhenUsed/>
    <w:rsid w:val="00EF2B26"/>
    <w:pPr>
      <w:spacing w:after="0" w:line="240" w:lineRule="auto"/>
    </w:pPr>
    <w:rPr>
      <w:sz w:val="20"/>
      <w:szCs w:val="20"/>
      <w:lang w:val="en-US"/>
    </w:rPr>
  </w:style>
  <w:style w:type="character" w:customStyle="1" w:styleId="FootnoteTextChar1">
    <w:name w:val="Footnote Text Char1"/>
    <w:basedOn w:val="DefaultParagraphFont"/>
    <w:uiPriority w:val="99"/>
    <w:semiHidden/>
    <w:rsid w:val="00EF2B26"/>
    <w:rPr>
      <w:sz w:val="20"/>
      <w:szCs w:val="20"/>
      <w:lang w:val="en-GB"/>
    </w:rPr>
  </w:style>
  <w:style w:type="paragraph" w:styleId="Header">
    <w:name w:val="header"/>
    <w:basedOn w:val="Normal"/>
    <w:link w:val="HeaderChar"/>
    <w:uiPriority w:val="99"/>
    <w:unhideWhenUsed/>
    <w:rsid w:val="00EF2B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B26"/>
    <w:rPr>
      <w:lang w:val="en-GB"/>
    </w:rPr>
  </w:style>
  <w:style w:type="paragraph" w:styleId="Footer">
    <w:name w:val="footer"/>
    <w:basedOn w:val="Normal"/>
    <w:link w:val="FooterChar"/>
    <w:uiPriority w:val="99"/>
    <w:unhideWhenUsed/>
    <w:rsid w:val="00EF2B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B26"/>
    <w:rPr>
      <w:lang w:val="en-GB"/>
    </w:rPr>
  </w:style>
  <w:style w:type="character" w:styleId="PlaceholderText">
    <w:name w:val="Placeholder Text"/>
    <w:basedOn w:val="DefaultParagraphFont"/>
    <w:uiPriority w:val="99"/>
    <w:semiHidden/>
    <w:rsid w:val="00EF2B26"/>
    <w:rPr>
      <w:color w:val="808080"/>
    </w:rPr>
  </w:style>
  <w:style w:type="table" w:styleId="TableGrid">
    <w:name w:val="Table Grid"/>
    <w:basedOn w:val="TableNormal"/>
    <w:uiPriority w:val="39"/>
    <w:rsid w:val="00EF2B2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2B26"/>
    <w:rPr>
      <w:color w:val="954F72" w:themeColor="followedHyperlink"/>
      <w:u w:val="single"/>
    </w:rPr>
  </w:style>
  <w:style w:type="table" w:styleId="GridTable1Light-Accent5">
    <w:name w:val="Grid Table 1 Light Accent 5"/>
    <w:basedOn w:val="TableNormal"/>
    <w:uiPriority w:val="46"/>
    <w:rsid w:val="00EF2B26"/>
    <w:pPr>
      <w:spacing w:after="0" w:line="240" w:lineRule="auto"/>
    </w:pPr>
    <w:rPr>
      <w:lang w:val="es-E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EF2B26"/>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EF2B26"/>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EF2B26"/>
    <w:pPr>
      <w:spacing w:after="0" w:line="240" w:lineRule="auto"/>
    </w:pPr>
    <w:rPr>
      <w:lang w:val="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604953"/>
    <w:pPr>
      <w:spacing w:after="0" w:line="240" w:lineRule="auto"/>
    </w:pPr>
    <w:rPr>
      <w:lang w:val="en-GB"/>
    </w:rPr>
  </w:style>
  <w:style w:type="paragraph" w:styleId="TOCHeading">
    <w:name w:val="TOC Heading"/>
    <w:basedOn w:val="Heading1"/>
    <w:next w:val="Normal"/>
    <w:uiPriority w:val="39"/>
    <w:unhideWhenUsed/>
    <w:qFormat/>
    <w:rsid w:val="00E8493F"/>
    <w:pPr>
      <w:outlineLvl w:val="9"/>
    </w:pPr>
    <w:rPr>
      <w:lang w:val="en-US"/>
    </w:rPr>
  </w:style>
  <w:style w:type="paragraph" w:styleId="TOC1">
    <w:name w:val="toc 1"/>
    <w:basedOn w:val="Normal"/>
    <w:next w:val="Normal"/>
    <w:autoRedefine/>
    <w:uiPriority w:val="39"/>
    <w:unhideWhenUsed/>
    <w:rsid w:val="00CC70CB"/>
    <w:pPr>
      <w:tabs>
        <w:tab w:val="right" w:leader="dot" w:pos="9350"/>
      </w:tabs>
      <w:spacing w:after="100"/>
    </w:pPr>
  </w:style>
  <w:style w:type="paragraph" w:styleId="TOC2">
    <w:name w:val="toc 2"/>
    <w:basedOn w:val="Normal"/>
    <w:next w:val="Normal"/>
    <w:autoRedefine/>
    <w:uiPriority w:val="39"/>
    <w:unhideWhenUsed/>
    <w:rsid w:val="000152C0"/>
    <w:pPr>
      <w:tabs>
        <w:tab w:val="left" w:pos="880"/>
        <w:tab w:val="right" w:leader="dot" w:pos="9350"/>
      </w:tabs>
      <w:spacing w:after="100"/>
      <w:ind w:left="220"/>
    </w:pPr>
  </w:style>
  <w:style w:type="paragraph" w:customStyle="1" w:styleId="Default">
    <w:name w:val="Default"/>
    <w:rsid w:val="00BB7E5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TableofFigures">
    <w:name w:val="table of figures"/>
    <w:basedOn w:val="Normal"/>
    <w:next w:val="Normal"/>
    <w:uiPriority w:val="99"/>
    <w:unhideWhenUsed/>
    <w:rsid w:val="007452A9"/>
    <w:pPr>
      <w:spacing w:after="0"/>
    </w:pPr>
  </w:style>
  <w:style w:type="character" w:customStyle="1" w:styleId="Heading3Char">
    <w:name w:val="Heading 3 Char"/>
    <w:basedOn w:val="DefaultParagraphFont"/>
    <w:link w:val="Heading3"/>
    <w:uiPriority w:val="9"/>
    <w:rsid w:val="00E66043"/>
    <w:rPr>
      <w:rFonts w:asciiTheme="majorHAnsi" w:eastAsiaTheme="majorEastAsia" w:hAnsiTheme="majorHAnsi" w:cstheme="majorBidi"/>
      <w:color w:val="1F3763" w:themeColor="accent1" w:themeShade="7F"/>
      <w:sz w:val="24"/>
      <w:szCs w:val="24"/>
      <w:lang w:val="en-GB"/>
    </w:rPr>
  </w:style>
  <w:style w:type="paragraph" w:styleId="BalloonText">
    <w:name w:val="Balloon Text"/>
    <w:basedOn w:val="Normal"/>
    <w:link w:val="BalloonTextChar"/>
    <w:uiPriority w:val="99"/>
    <w:semiHidden/>
    <w:unhideWhenUsed/>
    <w:rsid w:val="00BD68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8E0"/>
    <w:rPr>
      <w:rFonts w:ascii="Segoe UI" w:hAnsi="Segoe UI" w:cs="Segoe UI"/>
      <w:sz w:val="18"/>
      <w:szCs w:val="18"/>
      <w:lang w:val="en-GB"/>
    </w:rPr>
  </w:style>
  <w:style w:type="paragraph" w:customStyle="1" w:styleId="paragraph">
    <w:name w:val="paragraph"/>
    <w:basedOn w:val="Normal"/>
    <w:rsid w:val="00222F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222FD0"/>
  </w:style>
  <w:style w:type="character" w:customStyle="1" w:styleId="eop">
    <w:name w:val="eop"/>
    <w:basedOn w:val="DefaultParagraphFont"/>
    <w:rsid w:val="00222FD0"/>
  </w:style>
  <w:style w:type="character" w:styleId="Emphasis">
    <w:name w:val="Emphasis"/>
    <w:basedOn w:val="DefaultParagraphFont"/>
    <w:uiPriority w:val="20"/>
    <w:qFormat/>
    <w:rsid w:val="00D8649C"/>
    <w:rPr>
      <w:i/>
      <w:iCs/>
    </w:rPr>
  </w:style>
  <w:style w:type="character" w:customStyle="1" w:styleId="hgkelc">
    <w:name w:val="hgkelc"/>
    <w:basedOn w:val="DefaultParagraphFont"/>
    <w:rsid w:val="0062499B"/>
  </w:style>
  <w:style w:type="paragraph" w:styleId="Bibliography">
    <w:name w:val="Bibliography"/>
    <w:basedOn w:val="Normal"/>
    <w:next w:val="Normal"/>
    <w:uiPriority w:val="37"/>
    <w:semiHidden/>
    <w:unhideWhenUsed/>
    <w:rsid w:val="00E701EA"/>
  </w:style>
  <w:style w:type="paragraph" w:styleId="NoSpacing">
    <w:name w:val="No Spacing"/>
    <w:uiPriority w:val="1"/>
    <w:qFormat/>
    <w:rsid w:val="009D3671"/>
    <w:pPr>
      <w:spacing w:after="0" w:line="240" w:lineRule="auto"/>
    </w:pPr>
    <w:rPr>
      <w:rFonts w:eastAsiaTheme="minorEastAsia"/>
      <w:lang w:val="en-GB"/>
    </w:rPr>
  </w:style>
  <w:style w:type="character" w:customStyle="1" w:styleId="cf01">
    <w:name w:val="cf01"/>
    <w:basedOn w:val="DefaultParagraphFont"/>
    <w:rsid w:val="00221509"/>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201911"/>
    <w:rPr>
      <w:color w:val="605E5C"/>
      <w:shd w:val="clear" w:color="auto" w:fill="E1DFDD"/>
    </w:rPr>
  </w:style>
  <w:style w:type="paragraph" w:styleId="BodyText">
    <w:name w:val="Body Text"/>
    <w:basedOn w:val="Normal"/>
    <w:link w:val="BodyTextChar"/>
    <w:uiPriority w:val="1"/>
    <w:qFormat/>
    <w:rsid w:val="000A0647"/>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A0647"/>
    <w:rPr>
      <w:rFonts w:ascii="Times New Roman" w:eastAsia="Times New Roman" w:hAnsi="Times New Roman" w:cs="Times New Roman"/>
      <w:sz w:val="20"/>
      <w:szCs w:val="20"/>
      <w:lang w:val="en-GB"/>
    </w:rPr>
  </w:style>
  <w:style w:type="paragraph" w:customStyle="1" w:styleId="TableParagraph">
    <w:name w:val="Table Paragraph"/>
    <w:basedOn w:val="Normal"/>
    <w:uiPriority w:val="1"/>
    <w:qFormat/>
    <w:rsid w:val="000A0647"/>
    <w:pPr>
      <w:widowControl w:val="0"/>
      <w:autoSpaceDE w:val="0"/>
      <w:autoSpaceDN w:val="0"/>
      <w:spacing w:after="0" w:line="240" w:lineRule="auto"/>
    </w:pPr>
    <w:rPr>
      <w:rFonts w:ascii="Times New Roman" w:eastAsia="Times New Roman" w:hAnsi="Times New Roman" w:cs="Times New Roman"/>
    </w:rPr>
  </w:style>
  <w:style w:type="paragraph" w:styleId="Title">
    <w:name w:val="Title"/>
    <w:basedOn w:val="Normal"/>
    <w:next w:val="Normal"/>
    <w:link w:val="TitleChar"/>
    <w:uiPriority w:val="1"/>
    <w:qFormat/>
    <w:rsid w:val="00A6432A"/>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0"/>
    <w:rsid w:val="00A6432A"/>
    <w:rPr>
      <w:rFonts w:ascii="Times New Roman" w:hAnsi="Times New Roman" w:cs="Times New Roman"/>
      <w:sz w:val="24"/>
      <w:szCs w:val="24"/>
      <w:lang w:val="en-GB"/>
    </w:rPr>
  </w:style>
  <w:style w:type="table" w:customStyle="1" w:styleId="GridTable4-Accent11">
    <w:name w:val="Grid Table 4 - Accent 11"/>
    <w:basedOn w:val="TableNormal"/>
    <w:next w:val="GridTable4-Accent1"/>
    <w:uiPriority w:val="49"/>
    <w:rsid w:val="00701592"/>
    <w:pPr>
      <w:spacing w:after="0" w:line="240" w:lineRule="auto"/>
    </w:pPr>
    <w:rPr>
      <w:lang w:val="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674">
      <w:bodyDiv w:val="1"/>
      <w:marLeft w:val="0"/>
      <w:marRight w:val="0"/>
      <w:marTop w:val="0"/>
      <w:marBottom w:val="0"/>
      <w:divBdr>
        <w:top w:val="none" w:sz="0" w:space="0" w:color="auto"/>
        <w:left w:val="none" w:sz="0" w:space="0" w:color="auto"/>
        <w:bottom w:val="none" w:sz="0" w:space="0" w:color="auto"/>
        <w:right w:val="none" w:sz="0" w:space="0" w:color="auto"/>
      </w:divBdr>
    </w:div>
    <w:div w:id="7877159">
      <w:bodyDiv w:val="1"/>
      <w:marLeft w:val="0"/>
      <w:marRight w:val="0"/>
      <w:marTop w:val="0"/>
      <w:marBottom w:val="0"/>
      <w:divBdr>
        <w:top w:val="none" w:sz="0" w:space="0" w:color="auto"/>
        <w:left w:val="none" w:sz="0" w:space="0" w:color="auto"/>
        <w:bottom w:val="none" w:sz="0" w:space="0" w:color="auto"/>
        <w:right w:val="none" w:sz="0" w:space="0" w:color="auto"/>
      </w:divBdr>
      <w:divsChild>
        <w:div w:id="26563838">
          <w:marLeft w:val="480"/>
          <w:marRight w:val="0"/>
          <w:marTop w:val="0"/>
          <w:marBottom w:val="0"/>
          <w:divBdr>
            <w:top w:val="none" w:sz="0" w:space="0" w:color="auto"/>
            <w:left w:val="none" w:sz="0" w:space="0" w:color="auto"/>
            <w:bottom w:val="none" w:sz="0" w:space="0" w:color="auto"/>
            <w:right w:val="none" w:sz="0" w:space="0" w:color="auto"/>
          </w:divBdr>
        </w:div>
        <w:div w:id="98063585">
          <w:marLeft w:val="480"/>
          <w:marRight w:val="0"/>
          <w:marTop w:val="0"/>
          <w:marBottom w:val="0"/>
          <w:divBdr>
            <w:top w:val="none" w:sz="0" w:space="0" w:color="auto"/>
            <w:left w:val="none" w:sz="0" w:space="0" w:color="auto"/>
            <w:bottom w:val="none" w:sz="0" w:space="0" w:color="auto"/>
            <w:right w:val="none" w:sz="0" w:space="0" w:color="auto"/>
          </w:divBdr>
        </w:div>
        <w:div w:id="106240883">
          <w:marLeft w:val="480"/>
          <w:marRight w:val="0"/>
          <w:marTop w:val="0"/>
          <w:marBottom w:val="0"/>
          <w:divBdr>
            <w:top w:val="none" w:sz="0" w:space="0" w:color="auto"/>
            <w:left w:val="none" w:sz="0" w:space="0" w:color="auto"/>
            <w:bottom w:val="none" w:sz="0" w:space="0" w:color="auto"/>
            <w:right w:val="none" w:sz="0" w:space="0" w:color="auto"/>
          </w:divBdr>
        </w:div>
        <w:div w:id="113600899">
          <w:marLeft w:val="480"/>
          <w:marRight w:val="0"/>
          <w:marTop w:val="0"/>
          <w:marBottom w:val="0"/>
          <w:divBdr>
            <w:top w:val="none" w:sz="0" w:space="0" w:color="auto"/>
            <w:left w:val="none" w:sz="0" w:space="0" w:color="auto"/>
            <w:bottom w:val="none" w:sz="0" w:space="0" w:color="auto"/>
            <w:right w:val="none" w:sz="0" w:space="0" w:color="auto"/>
          </w:divBdr>
        </w:div>
        <w:div w:id="118764979">
          <w:marLeft w:val="480"/>
          <w:marRight w:val="0"/>
          <w:marTop w:val="0"/>
          <w:marBottom w:val="0"/>
          <w:divBdr>
            <w:top w:val="none" w:sz="0" w:space="0" w:color="auto"/>
            <w:left w:val="none" w:sz="0" w:space="0" w:color="auto"/>
            <w:bottom w:val="none" w:sz="0" w:space="0" w:color="auto"/>
            <w:right w:val="none" w:sz="0" w:space="0" w:color="auto"/>
          </w:divBdr>
        </w:div>
        <w:div w:id="151874478">
          <w:marLeft w:val="480"/>
          <w:marRight w:val="0"/>
          <w:marTop w:val="0"/>
          <w:marBottom w:val="0"/>
          <w:divBdr>
            <w:top w:val="none" w:sz="0" w:space="0" w:color="auto"/>
            <w:left w:val="none" w:sz="0" w:space="0" w:color="auto"/>
            <w:bottom w:val="none" w:sz="0" w:space="0" w:color="auto"/>
            <w:right w:val="none" w:sz="0" w:space="0" w:color="auto"/>
          </w:divBdr>
        </w:div>
        <w:div w:id="159127593">
          <w:marLeft w:val="480"/>
          <w:marRight w:val="0"/>
          <w:marTop w:val="0"/>
          <w:marBottom w:val="0"/>
          <w:divBdr>
            <w:top w:val="none" w:sz="0" w:space="0" w:color="auto"/>
            <w:left w:val="none" w:sz="0" w:space="0" w:color="auto"/>
            <w:bottom w:val="none" w:sz="0" w:space="0" w:color="auto"/>
            <w:right w:val="none" w:sz="0" w:space="0" w:color="auto"/>
          </w:divBdr>
        </w:div>
        <w:div w:id="169877032">
          <w:marLeft w:val="480"/>
          <w:marRight w:val="0"/>
          <w:marTop w:val="0"/>
          <w:marBottom w:val="0"/>
          <w:divBdr>
            <w:top w:val="none" w:sz="0" w:space="0" w:color="auto"/>
            <w:left w:val="none" w:sz="0" w:space="0" w:color="auto"/>
            <w:bottom w:val="none" w:sz="0" w:space="0" w:color="auto"/>
            <w:right w:val="none" w:sz="0" w:space="0" w:color="auto"/>
          </w:divBdr>
        </w:div>
        <w:div w:id="191841715">
          <w:marLeft w:val="480"/>
          <w:marRight w:val="0"/>
          <w:marTop w:val="0"/>
          <w:marBottom w:val="0"/>
          <w:divBdr>
            <w:top w:val="none" w:sz="0" w:space="0" w:color="auto"/>
            <w:left w:val="none" w:sz="0" w:space="0" w:color="auto"/>
            <w:bottom w:val="none" w:sz="0" w:space="0" w:color="auto"/>
            <w:right w:val="none" w:sz="0" w:space="0" w:color="auto"/>
          </w:divBdr>
        </w:div>
        <w:div w:id="204488117">
          <w:marLeft w:val="480"/>
          <w:marRight w:val="0"/>
          <w:marTop w:val="0"/>
          <w:marBottom w:val="0"/>
          <w:divBdr>
            <w:top w:val="none" w:sz="0" w:space="0" w:color="auto"/>
            <w:left w:val="none" w:sz="0" w:space="0" w:color="auto"/>
            <w:bottom w:val="none" w:sz="0" w:space="0" w:color="auto"/>
            <w:right w:val="none" w:sz="0" w:space="0" w:color="auto"/>
          </w:divBdr>
        </w:div>
        <w:div w:id="212691428">
          <w:marLeft w:val="480"/>
          <w:marRight w:val="0"/>
          <w:marTop w:val="0"/>
          <w:marBottom w:val="0"/>
          <w:divBdr>
            <w:top w:val="none" w:sz="0" w:space="0" w:color="auto"/>
            <w:left w:val="none" w:sz="0" w:space="0" w:color="auto"/>
            <w:bottom w:val="none" w:sz="0" w:space="0" w:color="auto"/>
            <w:right w:val="none" w:sz="0" w:space="0" w:color="auto"/>
          </w:divBdr>
        </w:div>
        <w:div w:id="213277002">
          <w:marLeft w:val="480"/>
          <w:marRight w:val="0"/>
          <w:marTop w:val="0"/>
          <w:marBottom w:val="0"/>
          <w:divBdr>
            <w:top w:val="none" w:sz="0" w:space="0" w:color="auto"/>
            <w:left w:val="none" w:sz="0" w:space="0" w:color="auto"/>
            <w:bottom w:val="none" w:sz="0" w:space="0" w:color="auto"/>
            <w:right w:val="none" w:sz="0" w:space="0" w:color="auto"/>
          </w:divBdr>
        </w:div>
        <w:div w:id="297303791">
          <w:marLeft w:val="480"/>
          <w:marRight w:val="0"/>
          <w:marTop w:val="0"/>
          <w:marBottom w:val="0"/>
          <w:divBdr>
            <w:top w:val="none" w:sz="0" w:space="0" w:color="auto"/>
            <w:left w:val="none" w:sz="0" w:space="0" w:color="auto"/>
            <w:bottom w:val="none" w:sz="0" w:space="0" w:color="auto"/>
            <w:right w:val="none" w:sz="0" w:space="0" w:color="auto"/>
          </w:divBdr>
        </w:div>
        <w:div w:id="304628397">
          <w:marLeft w:val="480"/>
          <w:marRight w:val="0"/>
          <w:marTop w:val="0"/>
          <w:marBottom w:val="0"/>
          <w:divBdr>
            <w:top w:val="none" w:sz="0" w:space="0" w:color="auto"/>
            <w:left w:val="none" w:sz="0" w:space="0" w:color="auto"/>
            <w:bottom w:val="none" w:sz="0" w:space="0" w:color="auto"/>
            <w:right w:val="none" w:sz="0" w:space="0" w:color="auto"/>
          </w:divBdr>
        </w:div>
        <w:div w:id="342438012">
          <w:marLeft w:val="480"/>
          <w:marRight w:val="0"/>
          <w:marTop w:val="0"/>
          <w:marBottom w:val="0"/>
          <w:divBdr>
            <w:top w:val="none" w:sz="0" w:space="0" w:color="auto"/>
            <w:left w:val="none" w:sz="0" w:space="0" w:color="auto"/>
            <w:bottom w:val="none" w:sz="0" w:space="0" w:color="auto"/>
            <w:right w:val="none" w:sz="0" w:space="0" w:color="auto"/>
          </w:divBdr>
        </w:div>
        <w:div w:id="400107377">
          <w:marLeft w:val="480"/>
          <w:marRight w:val="0"/>
          <w:marTop w:val="0"/>
          <w:marBottom w:val="0"/>
          <w:divBdr>
            <w:top w:val="none" w:sz="0" w:space="0" w:color="auto"/>
            <w:left w:val="none" w:sz="0" w:space="0" w:color="auto"/>
            <w:bottom w:val="none" w:sz="0" w:space="0" w:color="auto"/>
            <w:right w:val="none" w:sz="0" w:space="0" w:color="auto"/>
          </w:divBdr>
        </w:div>
        <w:div w:id="418135142">
          <w:marLeft w:val="480"/>
          <w:marRight w:val="0"/>
          <w:marTop w:val="0"/>
          <w:marBottom w:val="0"/>
          <w:divBdr>
            <w:top w:val="none" w:sz="0" w:space="0" w:color="auto"/>
            <w:left w:val="none" w:sz="0" w:space="0" w:color="auto"/>
            <w:bottom w:val="none" w:sz="0" w:space="0" w:color="auto"/>
            <w:right w:val="none" w:sz="0" w:space="0" w:color="auto"/>
          </w:divBdr>
        </w:div>
        <w:div w:id="430010960">
          <w:marLeft w:val="480"/>
          <w:marRight w:val="0"/>
          <w:marTop w:val="0"/>
          <w:marBottom w:val="0"/>
          <w:divBdr>
            <w:top w:val="none" w:sz="0" w:space="0" w:color="auto"/>
            <w:left w:val="none" w:sz="0" w:space="0" w:color="auto"/>
            <w:bottom w:val="none" w:sz="0" w:space="0" w:color="auto"/>
            <w:right w:val="none" w:sz="0" w:space="0" w:color="auto"/>
          </w:divBdr>
        </w:div>
        <w:div w:id="490800058">
          <w:marLeft w:val="480"/>
          <w:marRight w:val="0"/>
          <w:marTop w:val="0"/>
          <w:marBottom w:val="0"/>
          <w:divBdr>
            <w:top w:val="none" w:sz="0" w:space="0" w:color="auto"/>
            <w:left w:val="none" w:sz="0" w:space="0" w:color="auto"/>
            <w:bottom w:val="none" w:sz="0" w:space="0" w:color="auto"/>
            <w:right w:val="none" w:sz="0" w:space="0" w:color="auto"/>
          </w:divBdr>
        </w:div>
        <w:div w:id="519855784">
          <w:marLeft w:val="480"/>
          <w:marRight w:val="0"/>
          <w:marTop w:val="0"/>
          <w:marBottom w:val="0"/>
          <w:divBdr>
            <w:top w:val="none" w:sz="0" w:space="0" w:color="auto"/>
            <w:left w:val="none" w:sz="0" w:space="0" w:color="auto"/>
            <w:bottom w:val="none" w:sz="0" w:space="0" w:color="auto"/>
            <w:right w:val="none" w:sz="0" w:space="0" w:color="auto"/>
          </w:divBdr>
        </w:div>
        <w:div w:id="525099906">
          <w:marLeft w:val="480"/>
          <w:marRight w:val="0"/>
          <w:marTop w:val="0"/>
          <w:marBottom w:val="0"/>
          <w:divBdr>
            <w:top w:val="none" w:sz="0" w:space="0" w:color="auto"/>
            <w:left w:val="none" w:sz="0" w:space="0" w:color="auto"/>
            <w:bottom w:val="none" w:sz="0" w:space="0" w:color="auto"/>
            <w:right w:val="none" w:sz="0" w:space="0" w:color="auto"/>
          </w:divBdr>
        </w:div>
        <w:div w:id="618803543">
          <w:marLeft w:val="480"/>
          <w:marRight w:val="0"/>
          <w:marTop w:val="0"/>
          <w:marBottom w:val="0"/>
          <w:divBdr>
            <w:top w:val="none" w:sz="0" w:space="0" w:color="auto"/>
            <w:left w:val="none" w:sz="0" w:space="0" w:color="auto"/>
            <w:bottom w:val="none" w:sz="0" w:space="0" w:color="auto"/>
            <w:right w:val="none" w:sz="0" w:space="0" w:color="auto"/>
          </w:divBdr>
        </w:div>
        <w:div w:id="648173905">
          <w:marLeft w:val="480"/>
          <w:marRight w:val="0"/>
          <w:marTop w:val="0"/>
          <w:marBottom w:val="0"/>
          <w:divBdr>
            <w:top w:val="none" w:sz="0" w:space="0" w:color="auto"/>
            <w:left w:val="none" w:sz="0" w:space="0" w:color="auto"/>
            <w:bottom w:val="none" w:sz="0" w:space="0" w:color="auto"/>
            <w:right w:val="none" w:sz="0" w:space="0" w:color="auto"/>
          </w:divBdr>
        </w:div>
        <w:div w:id="668407048">
          <w:marLeft w:val="480"/>
          <w:marRight w:val="0"/>
          <w:marTop w:val="0"/>
          <w:marBottom w:val="0"/>
          <w:divBdr>
            <w:top w:val="none" w:sz="0" w:space="0" w:color="auto"/>
            <w:left w:val="none" w:sz="0" w:space="0" w:color="auto"/>
            <w:bottom w:val="none" w:sz="0" w:space="0" w:color="auto"/>
            <w:right w:val="none" w:sz="0" w:space="0" w:color="auto"/>
          </w:divBdr>
        </w:div>
        <w:div w:id="721028834">
          <w:marLeft w:val="480"/>
          <w:marRight w:val="0"/>
          <w:marTop w:val="0"/>
          <w:marBottom w:val="0"/>
          <w:divBdr>
            <w:top w:val="none" w:sz="0" w:space="0" w:color="auto"/>
            <w:left w:val="none" w:sz="0" w:space="0" w:color="auto"/>
            <w:bottom w:val="none" w:sz="0" w:space="0" w:color="auto"/>
            <w:right w:val="none" w:sz="0" w:space="0" w:color="auto"/>
          </w:divBdr>
        </w:div>
        <w:div w:id="752510303">
          <w:marLeft w:val="480"/>
          <w:marRight w:val="0"/>
          <w:marTop w:val="0"/>
          <w:marBottom w:val="0"/>
          <w:divBdr>
            <w:top w:val="none" w:sz="0" w:space="0" w:color="auto"/>
            <w:left w:val="none" w:sz="0" w:space="0" w:color="auto"/>
            <w:bottom w:val="none" w:sz="0" w:space="0" w:color="auto"/>
            <w:right w:val="none" w:sz="0" w:space="0" w:color="auto"/>
          </w:divBdr>
        </w:div>
        <w:div w:id="823159603">
          <w:marLeft w:val="480"/>
          <w:marRight w:val="0"/>
          <w:marTop w:val="0"/>
          <w:marBottom w:val="0"/>
          <w:divBdr>
            <w:top w:val="none" w:sz="0" w:space="0" w:color="auto"/>
            <w:left w:val="none" w:sz="0" w:space="0" w:color="auto"/>
            <w:bottom w:val="none" w:sz="0" w:space="0" w:color="auto"/>
            <w:right w:val="none" w:sz="0" w:space="0" w:color="auto"/>
          </w:divBdr>
        </w:div>
        <w:div w:id="924727602">
          <w:marLeft w:val="480"/>
          <w:marRight w:val="0"/>
          <w:marTop w:val="0"/>
          <w:marBottom w:val="0"/>
          <w:divBdr>
            <w:top w:val="none" w:sz="0" w:space="0" w:color="auto"/>
            <w:left w:val="none" w:sz="0" w:space="0" w:color="auto"/>
            <w:bottom w:val="none" w:sz="0" w:space="0" w:color="auto"/>
            <w:right w:val="none" w:sz="0" w:space="0" w:color="auto"/>
          </w:divBdr>
        </w:div>
        <w:div w:id="974723309">
          <w:marLeft w:val="480"/>
          <w:marRight w:val="0"/>
          <w:marTop w:val="0"/>
          <w:marBottom w:val="0"/>
          <w:divBdr>
            <w:top w:val="none" w:sz="0" w:space="0" w:color="auto"/>
            <w:left w:val="none" w:sz="0" w:space="0" w:color="auto"/>
            <w:bottom w:val="none" w:sz="0" w:space="0" w:color="auto"/>
            <w:right w:val="none" w:sz="0" w:space="0" w:color="auto"/>
          </w:divBdr>
        </w:div>
        <w:div w:id="1015349542">
          <w:marLeft w:val="480"/>
          <w:marRight w:val="0"/>
          <w:marTop w:val="0"/>
          <w:marBottom w:val="0"/>
          <w:divBdr>
            <w:top w:val="none" w:sz="0" w:space="0" w:color="auto"/>
            <w:left w:val="none" w:sz="0" w:space="0" w:color="auto"/>
            <w:bottom w:val="none" w:sz="0" w:space="0" w:color="auto"/>
            <w:right w:val="none" w:sz="0" w:space="0" w:color="auto"/>
          </w:divBdr>
        </w:div>
        <w:div w:id="1042286697">
          <w:marLeft w:val="480"/>
          <w:marRight w:val="0"/>
          <w:marTop w:val="0"/>
          <w:marBottom w:val="0"/>
          <w:divBdr>
            <w:top w:val="none" w:sz="0" w:space="0" w:color="auto"/>
            <w:left w:val="none" w:sz="0" w:space="0" w:color="auto"/>
            <w:bottom w:val="none" w:sz="0" w:space="0" w:color="auto"/>
            <w:right w:val="none" w:sz="0" w:space="0" w:color="auto"/>
          </w:divBdr>
        </w:div>
        <w:div w:id="1071732721">
          <w:marLeft w:val="480"/>
          <w:marRight w:val="0"/>
          <w:marTop w:val="0"/>
          <w:marBottom w:val="0"/>
          <w:divBdr>
            <w:top w:val="none" w:sz="0" w:space="0" w:color="auto"/>
            <w:left w:val="none" w:sz="0" w:space="0" w:color="auto"/>
            <w:bottom w:val="none" w:sz="0" w:space="0" w:color="auto"/>
            <w:right w:val="none" w:sz="0" w:space="0" w:color="auto"/>
          </w:divBdr>
        </w:div>
        <w:div w:id="1091271084">
          <w:marLeft w:val="480"/>
          <w:marRight w:val="0"/>
          <w:marTop w:val="0"/>
          <w:marBottom w:val="0"/>
          <w:divBdr>
            <w:top w:val="none" w:sz="0" w:space="0" w:color="auto"/>
            <w:left w:val="none" w:sz="0" w:space="0" w:color="auto"/>
            <w:bottom w:val="none" w:sz="0" w:space="0" w:color="auto"/>
            <w:right w:val="none" w:sz="0" w:space="0" w:color="auto"/>
          </w:divBdr>
        </w:div>
        <w:div w:id="1129589301">
          <w:marLeft w:val="480"/>
          <w:marRight w:val="0"/>
          <w:marTop w:val="0"/>
          <w:marBottom w:val="0"/>
          <w:divBdr>
            <w:top w:val="none" w:sz="0" w:space="0" w:color="auto"/>
            <w:left w:val="none" w:sz="0" w:space="0" w:color="auto"/>
            <w:bottom w:val="none" w:sz="0" w:space="0" w:color="auto"/>
            <w:right w:val="none" w:sz="0" w:space="0" w:color="auto"/>
          </w:divBdr>
        </w:div>
        <w:div w:id="1182011796">
          <w:marLeft w:val="480"/>
          <w:marRight w:val="0"/>
          <w:marTop w:val="0"/>
          <w:marBottom w:val="0"/>
          <w:divBdr>
            <w:top w:val="none" w:sz="0" w:space="0" w:color="auto"/>
            <w:left w:val="none" w:sz="0" w:space="0" w:color="auto"/>
            <w:bottom w:val="none" w:sz="0" w:space="0" w:color="auto"/>
            <w:right w:val="none" w:sz="0" w:space="0" w:color="auto"/>
          </w:divBdr>
        </w:div>
        <w:div w:id="1199926175">
          <w:marLeft w:val="480"/>
          <w:marRight w:val="0"/>
          <w:marTop w:val="0"/>
          <w:marBottom w:val="0"/>
          <w:divBdr>
            <w:top w:val="none" w:sz="0" w:space="0" w:color="auto"/>
            <w:left w:val="none" w:sz="0" w:space="0" w:color="auto"/>
            <w:bottom w:val="none" w:sz="0" w:space="0" w:color="auto"/>
            <w:right w:val="none" w:sz="0" w:space="0" w:color="auto"/>
          </w:divBdr>
        </w:div>
        <w:div w:id="1402413639">
          <w:marLeft w:val="480"/>
          <w:marRight w:val="0"/>
          <w:marTop w:val="0"/>
          <w:marBottom w:val="0"/>
          <w:divBdr>
            <w:top w:val="none" w:sz="0" w:space="0" w:color="auto"/>
            <w:left w:val="none" w:sz="0" w:space="0" w:color="auto"/>
            <w:bottom w:val="none" w:sz="0" w:space="0" w:color="auto"/>
            <w:right w:val="none" w:sz="0" w:space="0" w:color="auto"/>
          </w:divBdr>
        </w:div>
        <w:div w:id="1420055003">
          <w:marLeft w:val="480"/>
          <w:marRight w:val="0"/>
          <w:marTop w:val="0"/>
          <w:marBottom w:val="0"/>
          <w:divBdr>
            <w:top w:val="none" w:sz="0" w:space="0" w:color="auto"/>
            <w:left w:val="none" w:sz="0" w:space="0" w:color="auto"/>
            <w:bottom w:val="none" w:sz="0" w:space="0" w:color="auto"/>
            <w:right w:val="none" w:sz="0" w:space="0" w:color="auto"/>
          </w:divBdr>
        </w:div>
        <w:div w:id="1488352801">
          <w:marLeft w:val="480"/>
          <w:marRight w:val="0"/>
          <w:marTop w:val="0"/>
          <w:marBottom w:val="0"/>
          <w:divBdr>
            <w:top w:val="none" w:sz="0" w:space="0" w:color="auto"/>
            <w:left w:val="none" w:sz="0" w:space="0" w:color="auto"/>
            <w:bottom w:val="none" w:sz="0" w:space="0" w:color="auto"/>
            <w:right w:val="none" w:sz="0" w:space="0" w:color="auto"/>
          </w:divBdr>
        </w:div>
        <w:div w:id="1596403479">
          <w:marLeft w:val="480"/>
          <w:marRight w:val="0"/>
          <w:marTop w:val="0"/>
          <w:marBottom w:val="0"/>
          <w:divBdr>
            <w:top w:val="none" w:sz="0" w:space="0" w:color="auto"/>
            <w:left w:val="none" w:sz="0" w:space="0" w:color="auto"/>
            <w:bottom w:val="none" w:sz="0" w:space="0" w:color="auto"/>
            <w:right w:val="none" w:sz="0" w:space="0" w:color="auto"/>
          </w:divBdr>
        </w:div>
        <w:div w:id="1680427687">
          <w:marLeft w:val="480"/>
          <w:marRight w:val="0"/>
          <w:marTop w:val="0"/>
          <w:marBottom w:val="0"/>
          <w:divBdr>
            <w:top w:val="none" w:sz="0" w:space="0" w:color="auto"/>
            <w:left w:val="none" w:sz="0" w:space="0" w:color="auto"/>
            <w:bottom w:val="none" w:sz="0" w:space="0" w:color="auto"/>
            <w:right w:val="none" w:sz="0" w:space="0" w:color="auto"/>
          </w:divBdr>
        </w:div>
        <w:div w:id="1702514420">
          <w:marLeft w:val="480"/>
          <w:marRight w:val="0"/>
          <w:marTop w:val="0"/>
          <w:marBottom w:val="0"/>
          <w:divBdr>
            <w:top w:val="none" w:sz="0" w:space="0" w:color="auto"/>
            <w:left w:val="none" w:sz="0" w:space="0" w:color="auto"/>
            <w:bottom w:val="none" w:sz="0" w:space="0" w:color="auto"/>
            <w:right w:val="none" w:sz="0" w:space="0" w:color="auto"/>
          </w:divBdr>
        </w:div>
        <w:div w:id="1768042586">
          <w:marLeft w:val="480"/>
          <w:marRight w:val="0"/>
          <w:marTop w:val="0"/>
          <w:marBottom w:val="0"/>
          <w:divBdr>
            <w:top w:val="none" w:sz="0" w:space="0" w:color="auto"/>
            <w:left w:val="none" w:sz="0" w:space="0" w:color="auto"/>
            <w:bottom w:val="none" w:sz="0" w:space="0" w:color="auto"/>
            <w:right w:val="none" w:sz="0" w:space="0" w:color="auto"/>
          </w:divBdr>
        </w:div>
        <w:div w:id="1796753651">
          <w:marLeft w:val="480"/>
          <w:marRight w:val="0"/>
          <w:marTop w:val="0"/>
          <w:marBottom w:val="0"/>
          <w:divBdr>
            <w:top w:val="none" w:sz="0" w:space="0" w:color="auto"/>
            <w:left w:val="none" w:sz="0" w:space="0" w:color="auto"/>
            <w:bottom w:val="none" w:sz="0" w:space="0" w:color="auto"/>
            <w:right w:val="none" w:sz="0" w:space="0" w:color="auto"/>
          </w:divBdr>
        </w:div>
        <w:div w:id="1829710561">
          <w:marLeft w:val="480"/>
          <w:marRight w:val="0"/>
          <w:marTop w:val="0"/>
          <w:marBottom w:val="0"/>
          <w:divBdr>
            <w:top w:val="none" w:sz="0" w:space="0" w:color="auto"/>
            <w:left w:val="none" w:sz="0" w:space="0" w:color="auto"/>
            <w:bottom w:val="none" w:sz="0" w:space="0" w:color="auto"/>
            <w:right w:val="none" w:sz="0" w:space="0" w:color="auto"/>
          </w:divBdr>
        </w:div>
        <w:div w:id="1843472201">
          <w:marLeft w:val="480"/>
          <w:marRight w:val="0"/>
          <w:marTop w:val="0"/>
          <w:marBottom w:val="0"/>
          <w:divBdr>
            <w:top w:val="none" w:sz="0" w:space="0" w:color="auto"/>
            <w:left w:val="none" w:sz="0" w:space="0" w:color="auto"/>
            <w:bottom w:val="none" w:sz="0" w:space="0" w:color="auto"/>
            <w:right w:val="none" w:sz="0" w:space="0" w:color="auto"/>
          </w:divBdr>
        </w:div>
        <w:div w:id="1860927361">
          <w:marLeft w:val="480"/>
          <w:marRight w:val="0"/>
          <w:marTop w:val="0"/>
          <w:marBottom w:val="0"/>
          <w:divBdr>
            <w:top w:val="none" w:sz="0" w:space="0" w:color="auto"/>
            <w:left w:val="none" w:sz="0" w:space="0" w:color="auto"/>
            <w:bottom w:val="none" w:sz="0" w:space="0" w:color="auto"/>
            <w:right w:val="none" w:sz="0" w:space="0" w:color="auto"/>
          </w:divBdr>
        </w:div>
        <w:div w:id="1862280217">
          <w:marLeft w:val="480"/>
          <w:marRight w:val="0"/>
          <w:marTop w:val="0"/>
          <w:marBottom w:val="0"/>
          <w:divBdr>
            <w:top w:val="none" w:sz="0" w:space="0" w:color="auto"/>
            <w:left w:val="none" w:sz="0" w:space="0" w:color="auto"/>
            <w:bottom w:val="none" w:sz="0" w:space="0" w:color="auto"/>
            <w:right w:val="none" w:sz="0" w:space="0" w:color="auto"/>
          </w:divBdr>
        </w:div>
        <w:div w:id="1886023256">
          <w:marLeft w:val="480"/>
          <w:marRight w:val="0"/>
          <w:marTop w:val="0"/>
          <w:marBottom w:val="0"/>
          <w:divBdr>
            <w:top w:val="none" w:sz="0" w:space="0" w:color="auto"/>
            <w:left w:val="none" w:sz="0" w:space="0" w:color="auto"/>
            <w:bottom w:val="none" w:sz="0" w:space="0" w:color="auto"/>
            <w:right w:val="none" w:sz="0" w:space="0" w:color="auto"/>
          </w:divBdr>
        </w:div>
        <w:div w:id="1886140174">
          <w:marLeft w:val="480"/>
          <w:marRight w:val="0"/>
          <w:marTop w:val="0"/>
          <w:marBottom w:val="0"/>
          <w:divBdr>
            <w:top w:val="none" w:sz="0" w:space="0" w:color="auto"/>
            <w:left w:val="none" w:sz="0" w:space="0" w:color="auto"/>
            <w:bottom w:val="none" w:sz="0" w:space="0" w:color="auto"/>
            <w:right w:val="none" w:sz="0" w:space="0" w:color="auto"/>
          </w:divBdr>
        </w:div>
        <w:div w:id="1890678359">
          <w:marLeft w:val="480"/>
          <w:marRight w:val="0"/>
          <w:marTop w:val="0"/>
          <w:marBottom w:val="0"/>
          <w:divBdr>
            <w:top w:val="none" w:sz="0" w:space="0" w:color="auto"/>
            <w:left w:val="none" w:sz="0" w:space="0" w:color="auto"/>
            <w:bottom w:val="none" w:sz="0" w:space="0" w:color="auto"/>
            <w:right w:val="none" w:sz="0" w:space="0" w:color="auto"/>
          </w:divBdr>
        </w:div>
        <w:div w:id="1943953348">
          <w:marLeft w:val="480"/>
          <w:marRight w:val="0"/>
          <w:marTop w:val="0"/>
          <w:marBottom w:val="0"/>
          <w:divBdr>
            <w:top w:val="none" w:sz="0" w:space="0" w:color="auto"/>
            <w:left w:val="none" w:sz="0" w:space="0" w:color="auto"/>
            <w:bottom w:val="none" w:sz="0" w:space="0" w:color="auto"/>
            <w:right w:val="none" w:sz="0" w:space="0" w:color="auto"/>
          </w:divBdr>
        </w:div>
        <w:div w:id="2026058842">
          <w:marLeft w:val="480"/>
          <w:marRight w:val="0"/>
          <w:marTop w:val="0"/>
          <w:marBottom w:val="0"/>
          <w:divBdr>
            <w:top w:val="none" w:sz="0" w:space="0" w:color="auto"/>
            <w:left w:val="none" w:sz="0" w:space="0" w:color="auto"/>
            <w:bottom w:val="none" w:sz="0" w:space="0" w:color="auto"/>
            <w:right w:val="none" w:sz="0" w:space="0" w:color="auto"/>
          </w:divBdr>
        </w:div>
        <w:div w:id="2096321156">
          <w:marLeft w:val="480"/>
          <w:marRight w:val="0"/>
          <w:marTop w:val="0"/>
          <w:marBottom w:val="0"/>
          <w:divBdr>
            <w:top w:val="none" w:sz="0" w:space="0" w:color="auto"/>
            <w:left w:val="none" w:sz="0" w:space="0" w:color="auto"/>
            <w:bottom w:val="none" w:sz="0" w:space="0" w:color="auto"/>
            <w:right w:val="none" w:sz="0" w:space="0" w:color="auto"/>
          </w:divBdr>
        </w:div>
      </w:divsChild>
    </w:div>
    <w:div w:id="11077069">
      <w:bodyDiv w:val="1"/>
      <w:marLeft w:val="0"/>
      <w:marRight w:val="0"/>
      <w:marTop w:val="0"/>
      <w:marBottom w:val="0"/>
      <w:divBdr>
        <w:top w:val="none" w:sz="0" w:space="0" w:color="auto"/>
        <w:left w:val="none" w:sz="0" w:space="0" w:color="auto"/>
        <w:bottom w:val="none" w:sz="0" w:space="0" w:color="auto"/>
        <w:right w:val="none" w:sz="0" w:space="0" w:color="auto"/>
      </w:divBdr>
    </w:div>
    <w:div w:id="15547022">
      <w:bodyDiv w:val="1"/>
      <w:marLeft w:val="0"/>
      <w:marRight w:val="0"/>
      <w:marTop w:val="0"/>
      <w:marBottom w:val="0"/>
      <w:divBdr>
        <w:top w:val="none" w:sz="0" w:space="0" w:color="auto"/>
        <w:left w:val="none" w:sz="0" w:space="0" w:color="auto"/>
        <w:bottom w:val="none" w:sz="0" w:space="0" w:color="auto"/>
        <w:right w:val="none" w:sz="0" w:space="0" w:color="auto"/>
      </w:divBdr>
    </w:div>
    <w:div w:id="16778172">
      <w:bodyDiv w:val="1"/>
      <w:marLeft w:val="0"/>
      <w:marRight w:val="0"/>
      <w:marTop w:val="0"/>
      <w:marBottom w:val="0"/>
      <w:divBdr>
        <w:top w:val="none" w:sz="0" w:space="0" w:color="auto"/>
        <w:left w:val="none" w:sz="0" w:space="0" w:color="auto"/>
        <w:bottom w:val="none" w:sz="0" w:space="0" w:color="auto"/>
        <w:right w:val="none" w:sz="0" w:space="0" w:color="auto"/>
      </w:divBdr>
    </w:div>
    <w:div w:id="23556094">
      <w:bodyDiv w:val="1"/>
      <w:marLeft w:val="0"/>
      <w:marRight w:val="0"/>
      <w:marTop w:val="0"/>
      <w:marBottom w:val="0"/>
      <w:divBdr>
        <w:top w:val="none" w:sz="0" w:space="0" w:color="auto"/>
        <w:left w:val="none" w:sz="0" w:space="0" w:color="auto"/>
        <w:bottom w:val="none" w:sz="0" w:space="0" w:color="auto"/>
        <w:right w:val="none" w:sz="0" w:space="0" w:color="auto"/>
      </w:divBdr>
    </w:div>
    <w:div w:id="23873723">
      <w:bodyDiv w:val="1"/>
      <w:marLeft w:val="0"/>
      <w:marRight w:val="0"/>
      <w:marTop w:val="0"/>
      <w:marBottom w:val="0"/>
      <w:divBdr>
        <w:top w:val="none" w:sz="0" w:space="0" w:color="auto"/>
        <w:left w:val="none" w:sz="0" w:space="0" w:color="auto"/>
        <w:bottom w:val="none" w:sz="0" w:space="0" w:color="auto"/>
        <w:right w:val="none" w:sz="0" w:space="0" w:color="auto"/>
      </w:divBdr>
    </w:div>
    <w:div w:id="25720904">
      <w:bodyDiv w:val="1"/>
      <w:marLeft w:val="0"/>
      <w:marRight w:val="0"/>
      <w:marTop w:val="0"/>
      <w:marBottom w:val="0"/>
      <w:divBdr>
        <w:top w:val="none" w:sz="0" w:space="0" w:color="auto"/>
        <w:left w:val="none" w:sz="0" w:space="0" w:color="auto"/>
        <w:bottom w:val="none" w:sz="0" w:space="0" w:color="auto"/>
        <w:right w:val="none" w:sz="0" w:space="0" w:color="auto"/>
      </w:divBdr>
    </w:div>
    <w:div w:id="28994195">
      <w:bodyDiv w:val="1"/>
      <w:marLeft w:val="0"/>
      <w:marRight w:val="0"/>
      <w:marTop w:val="0"/>
      <w:marBottom w:val="0"/>
      <w:divBdr>
        <w:top w:val="none" w:sz="0" w:space="0" w:color="auto"/>
        <w:left w:val="none" w:sz="0" w:space="0" w:color="auto"/>
        <w:bottom w:val="none" w:sz="0" w:space="0" w:color="auto"/>
        <w:right w:val="none" w:sz="0" w:space="0" w:color="auto"/>
      </w:divBdr>
    </w:div>
    <w:div w:id="31619657">
      <w:bodyDiv w:val="1"/>
      <w:marLeft w:val="0"/>
      <w:marRight w:val="0"/>
      <w:marTop w:val="0"/>
      <w:marBottom w:val="0"/>
      <w:divBdr>
        <w:top w:val="none" w:sz="0" w:space="0" w:color="auto"/>
        <w:left w:val="none" w:sz="0" w:space="0" w:color="auto"/>
        <w:bottom w:val="none" w:sz="0" w:space="0" w:color="auto"/>
        <w:right w:val="none" w:sz="0" w:space="0" w:color="auto"/>
      </w:divBdr>
    </w:div>
    <w:div w:id="37702266">
      <w:bodyDiv w:val="1"/>
      <w:marLeft w:val="0"/>
      <w:marRight w:val="0"/>
      <w:marTop w:val="0"/>
      <w:marBottom w:val="0"/>
      <w:divBdr>
        <w:top w:val="none" w:sz="0" w:space="0" w:color="auto"/>
        <w:left w:val="none" w:sz="0" w:space="0" w:color="auto"/>
        <w:bottom w:val="none" w:sz="0" w:space="0" w:color="auto"/>
        <w:right w:val="none" w:sz="0" w:space="0" w:color="auto"/>
      </w:divBdr>
    </w:div>
    <w:div w:id="38870798">
      <w:bodyDiv w:val="1"/>
      <w:marLeft w:val="0"/>
      <w:marRight w:val="0"/>
      <w:marTop w:val="0"/>
      <w:marBottom w:val="0"/>
      <w:divBdr>
        <w:top w:val="none" w:sz="0" w:space="0" w:color="auto"/>
        <w:left w:val="none" w:sz="0" w:space="0" w:color="auto"/>
        <w:bottom w:val="none" w:sz="0" w:space="0" w:color="auto"/>
        <w:right w:val="none" w:sz="0" w:space="0" w:color="auto"/>
      </w:divBdr>
    </w:div>
    <w:div w:id="43529783">
      <w:bodyDiv w:val="1"/>
      <w:marLeft w:val="0"/>
      <w:marRight w:val="0"/>
      <w:marTop w:val="0"/>
      <w:marBottom w:val="0"/>
      <w:divBdr>
        <w:top w:val="none" w:sz="0" w:space="0" w:color="auto"/>
        <w:left w:val="none" w:sz="0" w:space="0" w:color="auto"/>
        <w:bottom w:val="none" w:sz="0" w:space="0" w:color="auto"/>
        <w:right w:val="none" w:sz="0" w:space="0" w:color="auto"/>
      </w:divBdr>
    </w:div>
    <w:div w:id="54085311">
      <w:bodyDiv w:val="1"/>
      <w:marLeft w:val="0"/>
      <w:marRight w:val="0"/>
      <w:marTop w:val="0"/>
      <w:marBottom w:val="0"/>
      <w:divBdr>
        <w:top w:val="none" w:sz="0" w:space="0" w:color="auto"/>
        <w:left w:val="none" w:sz="0" w:space="0" w:color="auto"/>
        <w:bottom w:val="none" w:sz="0" w:space="0" w:color="auto"/>
        <w:right w:val="none" w:sz="0" w:space="0" w:color="auto"/>
      </w:divBdr>
    </w:div>
    <w:div w:id="56125812">
      <w:bodyDiv w:val="1"/>
      <w:marLeft w:val="0"/>
      <w:marRight w:val="0"/>
      <w:marTop w:val="0"/>
      <w:marBottom w:val="0"/>
      <w:divBdr>
        <w:top w:val="none" w:sz="0" w:space="0" w:color="auto"/>
        <w:left w:val="none" w:sz="0" w:space="0" w:color="auto"/>
        <w:bottom w:val="none" w:sz="0" w:space="0" w:color="auto"/>
        <w:right w:val="none" w:sz="0" w:space="0" w:color="auto"/>
      </w:divBdr>
    </w:div>
    <w:div w:id="67701282">
      <w:bodyDiv w:val="1"/>
      <w:marLeft w:val="0"/>
      <w:marRight w:val="0"/>
      <w:marTop w:val="0"/>
      <w:marBottom w:val="0"/>
      <w:divBdr>
        <w:top w:val="none" w:sz="0" w:space="0" w:color="auto"/>
        <w:left w:val="none" w:sz="0" w:space="0" w:color="auto"/>
        <w:bottom w:val="none" w:sz="0" w:space="0" w:color="auto"/>
        <w:right w:val="none" w:sz="0" w:space="0" w:color="auto"/>
      </w:divBdr>
    </w:div>
    <w:div w:id="71129767">
      <w:bodyDiv w:val="1"/>
      <w:marLeft w:val="0"/>
      <w:marRight w:val="0"/>
      <w:marTop w:val="0"/>
      <w:marBottom w:val="0"/>
      <w:divBdr>
        <w:top w:val="none" w:sz="0" w:space="0" w:color="auto"/>
        <w:left w:val="none" w:sz="0" w:space="0" w:color="auto"/>
        <w:bottom w:val="none" w:sz="0" w:space="0" w:color="auto"/>
        <w:right w:val="none" w:sz="0" w:space="0" w:color="auto"/>
      </w:divBdr>
    </w:div>
    <w:div w:id="80640390">
      <w:bodyDiv w:val="1"/>
      <w:marLeft w:val="0"/>
      <w:marRight w:val="0"/>
      <w:marTop w:val="0"/>
      <w:marBottom w:val="0"/>
      <w:divBdr>
        <w:top w:val="none" w:sz="0" w:space="0" w:color="auto"/>
        <w:left w:val="none" w:sz="0" w:space="0" w:color="auto"/>
        <w:bottom w:val="none" w:sz="0" w:space="0" w:color="auto"/>
        <w:right w:val="none" w:sz="0" w:space="0" w:color="auto"/>
      </w:divBdr>
    </w:div>
    <w:div w:id="83259320">
      <w:bodyDiv w:val="1"/>
      <w:marLeft w:val="0"/>
      <w:marRight w:val="0"/>
      <w:marTop w:val="0"/>
      <w:marBottom w:val="0"/>
      <w:divBdr>
        <w:top w:val="none" w:sz="0" w:space="0" w:color="auto"/>
        <w:left w:val="none" w:sz="0" w:space="0" w:color="auto"/>
        <w:bottom w:val="none" w:sz="0" w:space="0" w:color="auto"/>
        <w:right w:val="none" w:sz="0" w:space="0" w:color="auto"/>
      </w:divBdr>
    </w:div>
    <w:div w:id="90705705">
      <w:bodyDiv w:val="1"/>
      <w:marLeft w:val="0"/>
      <w:marRight w:val="0"/>
      <w:marTop w:val="0"/>
      <w:marBottom w:val="0"/>
      <w:divBdr>
        <w:top w:val="none" w:sz="0" w:space="0" w:color="auto"/>
        <w:left w:val="none" w:sz="0" w:space="0" w:color="auto"/>
        <w:bottom w:val="none" w:sz="0" w:space="0" w:color="auto"/>
        <w:right w:val="none" w:sz="0" w:space="0" w:color="auto"/>
      </w:divBdr>
    </w:div>
    <w:div w:id="92896948">
      <w:bodyDiv w:val="1"/>
      <w:marLeft w:val="0"/>
      <w:marRight w:val="0"/>
      <w:marTop w:val="0"/>
      <w:marBottom w:val="0"/>
      <w:divBdr>
        <w:top w:val="none" w:sz="0" w:space="0" w:color="auto"/>
        <w:left w:val="none" w:sz="0" w:space="0" w:color="auto"/>
        <w:bottom w:val="none" w:sz="0" w:space="0" w:color="auto"/>
        <w:right w:val="none" w:sz="0" w:space="0" w:color="auto"/>
      </w:divBdr>
    </w:div>
    <w:div w:id="93787677">
      <w:bodyDiv w:val="1"/>
      <w:marLeft w:val="0"/>
      <w:marRight w:val="0"/>
      <w:marTop w:val="0"/>
      <w:marBottom w:val="0"/>
      <w:divBdr>
        <w:top w:val="none" w:sz="0" w:space="0" w:color="auto"/>
        <w:left w:val="none" w:sz="0" w:space="0" w:color="auto"/>
        <w:bottom w:val="none" w:sz="0" w:space="0" w:color="auto"/>
        <w:right w:val="none" w:sz="0" w:space="0" w:color="auto"/>
      </w:divBdr>
    </w:div>
    <w:div w:id="99615182">
      <w:bodyDiv w:val="1"/>
      <w:marLeft w:val="0"/>
      <w:marRight w:val="0"/>
      <w:marTop w:val="0"/>
      <w:marBottom w:val="0"/>
      <w:divBdr>
        <w:top w:val="none" w:sz="0" w:space="0" w:color="auto"/>
        <w:left w:val="none" w:sz="0" w:space="0" w:color="auto"/>
        <w:bottom w:val="none" w:sz="0" w:space="0" w:color="auto"/>
        <w:right w:val="none" w:sz="0" w:space="0" w:color="auto"/>
      </w:divBdr>
    </w:div>
    <w:div w:id="100423450">
      <w:bodyDiv w:val="1"/>
      <w:marLeft w:val="0"/>
      <w:marRight w:val="0"/>
      <w:marTop w:val="0"/>
      <w:marBottom w:val="0"/>
      <w:divBdr>
        <w:top w:val="none" w:sz="0" w:space="0" w:color="auto"/>
        <w:left w:val="none" w:sz="0" w:space="0" w:color="auto"/>
        <w:bottom w:val="none" w:sz="0" w:space="0" w:color="auto"/>
        <w:right w:val="none" w:sz="0" w:space="0" w:color="auto"/>
      </w:divBdr>
    </w:div>
    <w:div w:id="100996896">
      <w:bodyDiv w:val="1"/>
      <w:marLeft w:val="0"/>
      <w:marRight w:val="0"/>
      <w:marTop w:val="0"/>
      <w:marBottom w:val="0"/>
      <w:divBdr>
        <w:top w:val="none" w:sz="0" w:space="0" w:color="auto"/>
        <w:left w:val="none" w:sz="0" w:space="0" w:color="auto"/>
        <w:bottom w:val="none" w:sz="0" w:space="0" w:color="auto"/>
        <w:right w:val="none" w:sz="0" w:space="0" w:color="auto"/>
      </w:divBdr>
    </w:div>
    <w:div w:id="106630975">
      <w:bodyDiv w:val="1"/>
      <w:marLeft w:val="0"/>
      <w:marRight w:val="0"/>
      <w:marTop w:val="0"/>
      <w:marBottom w:val="0"/>
      <w:divBdr>
        <w:top w:val="none" w:sz="0" w:space="0" w:color="auto"/>
        <w:left w:val="none" w:sz="0" w:space="0" w:color="auto"/>
        <w:bottom w:val="none" w:sz="0" w:space="0" w:color="auto"/>
        <w:right w:val="none" w:sz="0" w:space="0" w:color="auto"/>
      </w:divBdr>
    </w:div>
    <w:div w:id="117383558">
      <w:bodyDiv w:val="1"/>
      <w:marLeft w:val="0"/>
      <w:marRight w:val="0"/>
      <w:marTop w:val="0"/>
      <w:marBottom w:val="0"/>
      <w:divBdr>
        <w:top w:val="none" w:sz="0" w:space="0" w:color="auto"/>
        <w:left w:val="none" w:sz="0" w:space="0" w:color="auto"/>
        <w:bottom w:val="none" w:sz="0" w:space="0" w:color="auto"/>
        <w:right w:val="none" w:sz="0" w:space="0" w:color="auto"/>
      </w:divBdr>
    </w:div>
    <w:div w:id="117921199">
      <w:bodyDiv w:val="1"/>
      <w:marLeft w:val="0"/>
      <w:marRight w:val="0"/>
      <w:marTop w:val="0"/>
      <w:marBottom w:val="0"/>
      <w:divBdr>
        <w:top w:val="none" w:sz="0" w:space="0" w:color="auto"/>
        <w:left w:val="none" w:sz="0" w:space="0" w:color="auto"/>
        <w:bottom w:val="none" w:sz="0" w:space="0" w:color="auto"/>
        <w:right w:val="none" w:sz="0" w:space="0" w:color="auto"/>
      </w:divBdr>
    </w:div>
    <w:div w:id="132598966">
      <w:bodyDiv w:val="1"/>
      <w:marLeft w:val="0"/>
      <w:marRight w:val="0"/>
      <w:marTop w:val="0"/>
      <w:marBottom w:val="0"/>
      <w:divBdr>
        <w:top w:val="none" w:sz="0" w:space="0" w:color="auto"/>
        <w:left w:val="none" w:sz="0" w:space="0" w:color="auto"/>
        <w:bottom w:val="none" w:sz="0" w:space="0" w:color="auto"/>
        <w:right w:val="none" w:sz="0" w:space="0" w:color="auto"/>
      </w:divBdr>
    </w:div>
    <w:div w:id="141780144">
      <w:bodyDiv w:val="1"/>
      <w:marLeft w:val="0"/>
      <w:marRight w:val="0"/>
      <w:marTop w:val="0"/>
      <w:marBottom w:val="0"/>
      <w:divBdr>
        <w:top w:val="none" w:sz="0" w:space="0" w:color="auto"/>
        <w:left w:val="none" w:sz="0" w:space="0" w:color="auto"/>
        <w:bottom w:val="none" w:sz="0" w:space="0" w:color="auto"/>
        <w:right w:val="none" w:sz="0" w:space="0" w:color="auto"/>
      </w:divBdr>
    </w:div>
    <w:div w:id="142737921">
      <w:bodyDiv w:val="1"/>
      <w:marLeft w:val="0"/>
      <w:marRight w:val="0"/>
      <w:marTop w:val="0"/>
      <w:marBottom w:val="0"/>
      <w:divBdr>
        <w:top w:val="none" w:sz="0" w:space="0" w:color="auto"/>
        <w:left w:val="none" w:sz="0" w:space="0" w:color="auto"/>
        <w:bottom w:val="none" w:sz="0" w:space="0" w:color="auto"/>
        <w:right w:val="none" w:sz="0" w:space="0" w:color="auto"/>
      </w:divBdr>
    </w:div>
    <w:div w:id="144978637">
      <w:bodyDiv w:val="1"/>
      <w:marLeft w:val="0"/>
      <w:marRight w:val="0"/>
      <w:marTop w:val="0"/>
      <w:marBottom w:val="0"/>
      <w:divBdr>
        <w:top w:val="none" w:sz="0" w:space="0" w:color="auto"/>
        <w:left w:val="none" w:sz="0" w:space="0" w:color="auto"/>
        <w:bottom w:val="none" w:sz="0" w:space="0" w:color="auto"/>
        <w:right w:val="none" w:sz="0" w:space="0" w:color="auto"/>
      </w:divBdr>
    </w:div>
    <w:div w:id="145974349">
      <w:bodyDiv w:val="1"/>
      <w:marLeft w:val="0"/>
      <w:marRight w:val="0"/>
      <w:marTop w:val="0"/>
      <w:marBottom w:val="0"/>
      <w:divBdr>
        <w:top w:val="none" w:sz="0" w:space="0" w:color="auto"/>
        <w:left w:val="none" w:sz="0" w:space="0" w:color="auto"/>
        <w:bottom w:val="none" w:sz="0" w:space="0" w:color="auto"/>
        <w:right w:val="none" w:sz="0" w:space="0" w:color="auto"/>
      </w:divBdr>
    </w:div>
    <w:div w:id="146942782">
      <w:bodyDiv w:val="1"/>
      <w:marLeft w:val="0"/>
      <w:marRight w:val="0"/>
      <w:marTop w:val="0"/>
      <w:marBottom w:val="0"/>
      <w:divBdr>
        <w:top w:val="none" w:sz="0" w:space="0" w:color="auto"/>
        <w:left w:val="none" w:sz="0" w:space="0" w:color="auto"/>
        <w:bottom w:val="none" w:sz="0" w:space="0" w:color="auto"/>
        <w:right w:val="none" w:sz="0" w:space="0" w:color="auto"/>
      </w:divBdr>
    </w:div>
    <w:div w:id="152643610">
      <w:bodyDiv w:val="1"/>
      <w:marLeft w:val="0"/>
      <w:marRight w:val="0"/>
      <w:marTop w:val="0"/>
      <w:marBottom w:val="0"/>
      <w:divBdr>
        <w:top w:val="none" w:sz="0" w:space="0" w:color="auto"/>
        <w:left w:val="none" w:sz="0" w:space="0" w:color="auto"/>
        <w:bottom w:val="none" w:sz="0" w:space="0" w:color="auto"/>
        <w:right w:val="none" w:sz="0" w:space="0" w:color="auto"/>
      </w:divBdr>
    </w:div>
    <w:div w:id="159002104">
      <w:bodyDiv w:val="1"/>
      <w:marLeft w:val="0"/>
      <w:marRight w:val="0"/>
      <w:marTop w:val="0"/>
      <w:marBottom w:val="0"/>
      <w:divBdr>
        <w:top w:val="none" w:sz="0" w:space="0" w:color="auto"/>
        <w:left w:val="none" w:sz="0" w:space="0" w:color="auto"/>
        <w:bottom w:val="none" w:sz="0" w:space="0" w:color="auto"/>
        <w:right w:val="none" w:sz="0" w:space="0" w:color="auto"/>
      </w:divBdr>
    </w:div>
    <w:div w:id="163207614">
      <w:bodyDiv w:val="1"/>
      <w:marLeft w:val="0"/>
      <w:marRight w:val="0"/>
      <w:marTop w:val="0"/>
      <w:marBottom w:val="0"/>
      <w:divBdr>
        <w:top w:val="none" w:sz="0" w:space="0" w:color="auto"/>
        <w:left w:val="none" w:sz="0" w:space="0" w:color="auto"/>
        <w:bottom w:val="none" w:sz="0" w:space="0" w:color="auto"/>
        <w:right w:val="none" w:sz="0" w:space="0" w:color="auto"/>
      </w:divBdr>
    </w:div>
    <w:div w:id="163713391">
      <w:bodyDiv w:val="1"/>
      <w:marLeft w:val="0"/>
      <w:marRight w:val="0"/>
      <w:marTop w:val="0"/>
      <w:marBottom w:val="0"/>
      <w:divBdr>
        <w:top w:val="none" w:sz="0" w:space="0" w:color="auto"/>
        <w:left w:val="none" w:sz="0" w:space="0" w:color="auto"/>
        <w:bottom w:val="none" w:sz="0" w:space="0" w:color="auto"/>
        <w:right w:val="none" w:sz="0" w:space="0" w:color="auto"/>
      </w:divBdr>
    </w:div>
    <w:div w:id="170995557">
      <w:bodyDiv w:val="1"/>
      <w:marLeft w:val="0"/>
      <w:marRight w:val="0"/>
      <w:marTop w:val="0"/>
      <w:marBottom w:val="0"/>
      <w:divBdr>
        <w:top w:val="none" w:sz="0" w:space="0" w:color="auto"/>
        <w:left w:val="none" w:sz="0" w:space="0" w:color="auto"/>
        <w:bottom w:val="none" w:sz="0" w:space="0" w:color="auto"/>
        <w:right w:val="none" w:sz="0" w:space="0" w:color="auto"/>
      </w:divBdr>
    </w:div>
    <w:div w:id="171339819">
      <w:bodyDiv w:val="1"/>
      <w:marLeft w:val="0"/>
      <w:marRight w:val="0"/>
      <w:marTop w:val="0"/>
      <w:marBottom w:val="0"/>
      <w:divBdr>
        <w:top w:val="none" w:sz="0" w:space="0" w:color="auto"/>
        <w:left w:val="none" w:sz="0" w:space="0" w:color="auto"/>
        <w:bottom w:val="none" w:sz="0" w:space="0" w:color="auto"/>
        <w:right w:val="none" w:sz="0" w:space="0" w:color="auto"/>
      </w:divBdr>
    </w:div>
    <w:div w:id="175659467">
      <w:bodyDiv w:val="1"/>
      <w:marLeft w:val="0"/>
      <w:marRight w:val="0"/>
      <w:marTop w:val="0"/>
      <w:marBottom w:val="0"/>
      <w:divBdr>
        <w:top w:val="none" w:sz="0" w:space="0" w:color="auto"/>
        <w:left w:val="none" w:sz="0" w:space="0" w:color="auto"/>
        <w:bottom w:val="none" w:sz="0" w:space="0" w:color="auto"/>
        <w:right w:val="none" w:sz="0" w:space="0" w:color="auto"/>
      </w:divBdr>
    </w:div>
    <w:div w:id="179273721">
      <w:bodyDiv w:val="1"/>
      <w:marLeft w:val="0"/>
      <w:marRight w:val="0"/>
      <w:marTop w:val="0"/>
      <w:marBottom w:val="0"/>
      <w:divBdr>
        <w:top w:val="none" w:sz="0" w:space="0" w:color="auto"/>
        <w:left w:val="none" w:sz="0" w:space="0" w:color="auto"/>
        <w:bottom w:val="none" w:sz="0" w:space="0" w:color="auto"/>
        <w:right w:val="none" w:sz="0" w:space="0" w:color="auto"/>
      </w:divBdr>
    </w:div>
    <w:div w:id="182669205">
      <w:bodyDiv w:val="1"/>
      <w:marLeft w:val="0"/>
      <w:marRight w:val="0"/>
      <w:marTop w:val="0"/>
      <w:marBottom w:val="0"/>
      <w:divBdr>
        <w:top w:val="none" w:sz="0" w:space="0" w:color="auto"/>
        <w:left w:val="none" w:sz="0" w:space="0" w:color="auto"/>
        <w:bottom w:val="none" w:sz="0" w:space="0" w:color="auto"/>
        <w:right w:val="none" w:sz="0" w:space="0" w:color="auto"/>
      </w:divBdr>
    </w:div>
    <w:div w:id="185827242">
      <w:bodyDiv w:val="1"/>
      <w:marLeft w:val="0"/>
      <w:marRight w:val="0"/>
      <w:marTop w:val="0"/>
      <w:marBottom w:val="0"/>
      <w:divBdr>
        <w:top w:val="none" w:sz="0" w:space="0" w:color="auto"/>
        <w:left w:val="none" w:sz="0" w:space="0" w:color="auto"/>
        <w:bottom w:val="none" w:sz="0" w:space="0" w:color="auto"/>
        <w:right w:val="none" w:sz="0" w:space="0" w:color="auto"/>
      </w:divBdr>
    </w:div>
    <w:div w:id="186601503">
      <w:bodyDiv w:val="1"/>
      <w:marLeft w:val="0"/>
      <w:marRight w:val="0"/>
      <w:marTop w:val="0"/>
      <w:marBottom w:val="0"/>
      <w:divBdr>
        <w:top w:val="none" w:sz="0" w:space="0" w:color="auto"/>
        <w:left w:val="none" w:sz="0" w:space="0" w:color="auto"/>
        <w:bottom w:val="none" w:sz="0" w:space="0" w:color="auto"/>
        <w:right w:val="none" w:sz="0" w:space="0" w:color="auto"/>
      </w:divBdr>
    </w:div>
    <w:div w:id="193739843">
      <w:bodyDiv w:val="1"/>
      <w:marLeft w:val="0"/>
      <w:marRight w:val="0"/>
      <w:marTop w:val="0"/>
      <w:marBottom w:val="0"/>
      <w:divBdr>
        <w:top w:val="none" w:sz="0" w:space="0" w:color="auto"/>
        <w:left w:val="none" w:sz="0" w:space="0" w:color="auto"/>
        <w:bottom w:val="none" w:sz="0" w:space="0" w:color="auto"/>
        <w:right w:val="none" w:sz="0" w:space="0" w:color="auto"/>
      </w:divBdr>
    </w:div>
    <w:div w:id="196747367">
      <w:bodyDiv w:val="1"/>
      <w:marLeft w:val="0"/>
      <w:marRight w:val="0"/>
      <w:marTop w:val="0"/>
      <w:marBottom w:val="0"/>
      <w:divBdr>
        <w:top w:val="none" w:sz="0" w:space="0" w:color="auto"/>
        <w:left w:val="none" w:sz="0" w:space="0" w:color="auto"/>
        <w:bottom w:val="none" w:sz="0" w:space="0" w:color="auto"/>
        <w:right w:val="none" w:sz="0" w:space="0" w:color="auto"/>
      </w:divBdr>
      <w:divsChild>
        <w:div w:id="36011711">
          <w:marLeft w:val="480"/>
          <w:marRight w:val="0"/>
          <w:marTop w:val="0"/>
          <w:marBottom w:val="0"/>
          <w:divBdr>
            <w:top w:val="none" w:sz="0" w:space="0" w:color="auto"/>
            <w:left w:val="none" w:sz="0" w:space="0" w:color="auto"/>
            <w:bottom w:val="none" w:sz="0" w:space="0" w:color="auto"/>
            <w:right w:val="none" w:sz="0" w:space="0" w:color="auto"/>
          </w:divBdr>
        </w:div>
        <w:div w:id="86969124">
          <w:marLeft w:val="480"/>
          <w:marRight w:val="0"/>
          <w:marTop w:val="0"/>
          <w:marBottom w:val="0"/>
          <w:divBdr>
            <w:top w:val="none" w:sz="0" w:space="0" w:color="auto"/>
            <w:left w:val="none" w:sz="0" w:space="0" w:color="auto"/>
            <w:bottom w:val="none" w:sz="0" w:space="0" w:color="auto"/>
            <w:right w:val="none" w:sz="0" w:space="0" w:color="auto"/>
          </w:divBdr>
        </w:div>
        <w:div w:id="92021207">
          <w:marLeft w:val="480"/>
          <w:marRight w:val="0"/>
          <w:marTop w:val="0"/>
          <w:marBottom w:val="0"/>
          <w:divBdr>
            <w:top w:val="none" w:sz="0" w:space="0" w:color="auto"/>
            <w:left w:val="none" w:sz="0" w:space="0" w:color="auto"/>
            <w:bottom w:val="none" w:sz="0" w:space="0" w:color="auto"/>
            <w:right w:val="none" w:sz="0" w:space="0" w:color="auto"/>
          </w:divBdr>
        </w:div>
        <w:div w:id="255098430">
          <w:marLeft w:val="480"/>
          <w:marRight w:val="0"/>
          <w:marTop w:val="0"/>
          <w:marBottom w:val="0"/>
          <w:divBdr>
            <w:top w:val="none" w:sz="0" w:space="0" w:color="auto"/>
            <w:left w:val="none" w:sz="0" w:space="0" w:color="auto"/>
            <w:bottom w:val="none" w:sz="0" w:space="0" w:color="auto"/>
            <w:right w:val="none" w:sz="0" w:space="0" w:color="auto"/>
          </w:divBdr>
        </w:div>
        <w:div w:id="336855491">
          <w:marLeft w:val="480"/>
          <w:marRight w:val="0"/>
          <w:marTop w:val="0"/>
          <w:marBottom w:val="0"/>
          <w:divBdr>
            <w:top w:val="none" w:sz="0" w:space="0" w:color="auto"/>
            <w:left w:val="none" w:sz="0" w:space="0" w:color="auto"/>
            <w:bottom w:val="none" w:sz="0" w:space="0" w:color="auto"/>
            <w:right w:val="none" w:sz="0" w:space="0" w:color="auto"/>
          </w:divBdr>
        </w:div>
        <w:div w:id="361636720">
          <w:marLeft w:val="480"/>
          <w:marRight w:val="0"/>
          <w:marTop w:val="0"/>
          <w:marBottom w:val="0"/>
          <w:divBdr>
            <w:top w:val="none" w:sz="0" w:space="0" w:color="auto"/>
            <w:left w:val="none" w:sz="0" w:space="0" w:color="auto"/>
            <w:bottom w:val="none" w:sz="0" w:space="0" w:color="auto"/>
            <w:right w:val="none" w:sz="0" w:space="0" w:color="auto"/>
          </w:divBdr>
        </w:div>
        <w:div w:id="362826458">
          <w:marLeft w:val="480"/>
          <w:marRight w:val="0"/>
          <w:marTop w:val="0"/>
          <w:marBottom w:val="0"/>
          <w:divBdr>
            <w:top w:val="none" w:sz="0" w:space="0" w:color="auto"/>
            <w:left w:val="none" w:sz="0" w:space="0" w:color="auto"/>
            <w:bottom w:val="none" w:sz="0" w:space="0" w:color="auto"/>
            <w:right w:val="none" w:sz="0" w:space="0" w:color="auto"/>
          </w:divBdr>
        </w:div>
        <w:div w:id="418868074">
          <w:marLeft w:val="480"/>
          <w:marRight w:val="0"/>
          <w:marTop w:val="0"/>
          <w:marBottom w:val="0"/>
          <w:divBdr>
            <w:top w:val="none" w:sz="0" w:space="0" w:color="auto"/>
            <w:left w:val="none" w:sz="0" w:space="0" w:color="auto"/>
            <w:bottom w:val="none" w:sz="0" w:space="0" w:color="auto"/>
            <w:right w:val="none" w:sz="0" w:space="0" w:color="auto"/>
          </w:divBdr>
        </w:div>
        <w:div w:id="469371990">
          <w:marLeft w:val="480"/>
          <w:marRight w:val="0"/>
          <w:marTop w:val="0"/>
          <w:marBottom w:val="0"/>
          <w:divBdr>
            <w:top w:val="none" w:sz="0" w:space="0" w:color="auto"/>
            <w:left w:val="none" w:sz="0" w:space="0" w:color="auto"/>
            <w:bottom w:val="none" w:sz="0" w:space="0" w:color="auto"/>
            <w:right w:val="none" w:sz="0" w:space="0" w:color="auto"/>
          </w:divBdr>
        </w:div>
        <w:div w:id="487524324">
          <w:marLeft w:val="480"/>
          <w:marRight w:val="0"/>
          <w:marTop w:val="0"/>
          <w:marBottom w:val="0"/>
          <w:divBdr>
            <w:top w:val="none" w:sz="0" w:space="0" w:color="auto"/>
            <w:left w:val="none" w:sz="0" w:space="0" w:color="auto"/>
            <w:bottom w:val="none" w:sz="0" w:space="0" w:color="auto"/>
            <w:right w:val="none" w:sz="0" w:space="0" w:color="auto"/>
          </w:divBdr>
        </w:div>
        <w:div w:id="545721557">
          <w:marLeft w:val="480"/>
          <w:marRight w:val="0"/>
          <w:marTop w:val="0"/>
          <w:marBottom w:val="0"/>
          <w:divBdr>
            <w:top w:val="none" w:sz="0" w:space="0" w:color="auto"/>
            <w:left w:val="none" w:sz="0" w:space="0" w:color="auto"/>
            <w:bottom w:val="none" w:sz="0" w:space="0" w:color="auto"/>
            <w:right w:val="none" w:sz="0" w:space="0" w:color="auto"/>
          </w:divBdr>
        </w:div>
        <w:div w:id="555750281">
          <w:marLeft w:val="480"/>
          <w:marRight w:val="0"/>
          <w:marTop w:val="0"/>
          <w:marBottom w:val="0"/>
          <w:divBdr>
            <w:top w:val="none" w:sz="0" w:space="0" w:color="auto"/>
            <w:left w:val="none" w:sz="0" w:space="0" w:color="auto"/>
            <w:bottom w:val="none" w:sz="0" w:space="0" w:color="auto"/>
            <w:right w:val="none" w:sz="0" w:space="0" w:color="auto"/>
          </w:divBdr>
        </w:div>
        <w:div w:id="573324634">
          <w:marLeft w:val="480"/>
          <w:marRight w:val="0"/>
          <w:marTop w:val="0"/>
          <w:marBottom w:val="0"/>
          <w:divBdr>
            <w:top w:val="none" w:sz="0" w:space="0" w:color="auto"/>
            <w:left w:val="none" w:sz="0" w:space="0" w:color="auto"/>
            <w:bottom w:val="none" w:sz="0" w:space="0" w:color="auto"/>
            <w:right w:val="none" w:sz="0" w:space="0" w:color="auto"/>
          </w:divBdr>
        </w:div>
        <w:div w:id="574556581">
          <w:marLeft w:val="480"/>
          <w:marRight w:val="0"/>
          <w:marTop w:val="0"/>
          <w:marBottom w:val="0"/>
          <w:divBdr>
            <w:top w:val="none" w:sz="0" w:space="0" w:color="auto"/>
            <w:left w:val="none" w:sz="0" w:space="0" w:color="auto"/>
            <w:bottom w:val="none" w:sz="0" w:space="0" w:color="auto"/>
            <w:right w:val="none" w:sz="0" w:space="0" w:color="auto"/>
          </w:divBdr>
        </w:div>
        <w:div w:id="658194356">
          <w:marLeft w:val="480"/>
          <w:marRight w:val="0"/>
          <w:marTop w:val="0"/>
          <w:marBottom w:val="0"/>
          <w:divBdr>
            <w:top w:val="none" w:sz="0" w:space="0" w:color="auto"/>
            <w:left w:val="none" w:sz="0" w:space="0" w:color="auto"/>
            <w:bottom w:val="none" w:sz="0" w:space="0" w:color="auto"/>
            <w:right w:val="none" w:sz="0" w:space="0" w:color="auto"/>
          </w:divBdr>
        </w:div>
        <w:div w:id="722757977">
          <w:marLeft w:val="480"/>
          <w:marRight w:val="0"/>
          <w:marTop w:val="0"/>
          <w:marBottom w:val="0"/>
          <w:divBdr>
            <w:top w:val="none" w:sz="0" w:space="0" w:color="auto"/>
            <w:left w:val="none" w:sz="0" w:space="0" w:color="auto"/>
            <w:bottom w:val="none" w:sz="0" w:space="0" w:color="auto"/>
            <w:right w:val="none" w:sz="0" w:space="0" w:color="auto"/>
          </w:divBdr>
        </w:div>
        <w:div w:id="738796083">
          <w:marLeft w:val="480"/>
          <w:marRight w:val="0"/>
          <w:marTop w:val="0"/>
          <w:marBottom w:val="0"/>
          <w:divBdr>
            <w:top w:val="none" w:sz="0" w:space="0" w:color="auto"/>
            <w:left w:val="none" w:sz="0" w:space="0" w:color="auto"/>
            <w:bottom w:val="none" w:sz="0" w:space="0" w:color="auto"/>
            <w:right w:val="none" w:sz="0" w:space="0" w:color="auto"/>
          </w:divBdr>
        </w:div>
        <w:div w:id="780223170">
          <w:marLeft w:val="480"/>
          <w:marRight w:val="0"/>
          <w:marTop w:val="0"/>
          <w:marBottom w:val="0"/>
          <w:divBdr>
            <w:top w:val="none" w:sz="0" w:space="0" w:color="auto"/>
            <w:left w:val="none" w:sz="0" w:space="0" w:color="auto"/>
            <w:bottom w:val="none" w:sz="0" w:space="0" w:color="auto"/>
            <w:right w:val="none" w:sz="0" w:space="0" w:color="auto"/>
          </w:divBdr>
        </w:div>
        <w:div w:id="821653622">
          <w:marLeft w:val="480"/>
          <w:marRight w:val="0"/>
          <w:marTop w:val="0"/>
          <w:marBottom w:val="0"/>
          <w:divBdr>
            <w:top w:val="none" w:sz="0" w:space="0" w:color="auto"/>
            <w:left w:val="none" w:sz="0" w:space="0" w:color="auto"/>
            <w:bottom w:val="none" w:sz="0" w:space="0" w:color="auto"/>
            <w:right w:val="none" w:sz="0" w:space="0" w:color="auto"/>
          </w:divBdr>
        </w:div>
        <w:div w:id="826482822">
          <w:marLeft w:val="480"/>
          <w:marRight w:val="0"/>
          <w:marTop w:val="0"/>
          <w:marBottom w:val="0"/>
          <w:divBdr>
            <w:top w:val="none" w:sz="0" w:space="0" w:color="auto"/>
            <w:left w:val="none" w:sz="0" w:space="0" w:color="auto"/>
            <w:bottom w:val="none" w:sz="0" w:space="0" w:color="auto"/>
            <w:right w:val="none" w:sz="0" w:space="0" w:color="auto"/>
          </w:divBdr>
        </w:div>
        <w:div w:id="836923055">
          <w:marLeft w:val="480"/>
          <w:marRight w:val="0"/>
          <w:marTop w:val="0"/>
          <w:marBottom w:val="0"/>
          <w:divBdr>
            <w:top w:val="none" w:sz="0" w:space="0" w:color="auto"/>
            <w:left w:val="none" w:sz="0" w:space="0" w:color="auto"/>
            <w:bottom w:val="none" w:sz="0" w:space="0" w:color="auto"/>
            <w:right w:val="none" w:sz="0" w:space="0" w:color="auto"/>
          </w:divBdr>
        </w:div>
        <w:div w:id="869804702">
          <w:marLeft w:val="480"/>
          <w:marRight w:val="0"/>
          <w:marTop w:val="0"/>
          <w:marBottom w:val="0"/>
          <w:divBdr>
            <w:top w:val="none" w:sz="0" w:space="0" w:color="auto"/>
            <w:left w:val="none" w:sz="0" w:space="0" w:color="auto"/>
            <w:bottom w:val="none" w:sz="0" w:space="0" w:color="auto"/>
            <w:right w:val="none" w:sz="0" w:space="0" w:color="auto"/>
          </w:divBdr>
        </w:div>
        <w:div w:id="885725591">
          <w:marLeft w:val="480"/>
          <w:marRight w:val="0"/>
          <w:marTop w:val="0"/>
          <w:marBottom w:val="0"/>
          <w:divBdr>
            <w:top w:val="none" w:sz="0" w:space="0" w:color="auto"/>
            <w:left w:val="none" w:sz="0" w:space="0" w:color="auto"/>
            <w:bottom w:val="none" w:sz="0" w:space="0" w:color="auto"/>
            <w:right w:val="none" w:sz="0" w:space="0" w:color="auto"/>
          </w:divBdr>
        </w:div>
        <w:div w:id="901983660">
          <w:marLeft w:val="480"/>
          <w:marRight w:val="0"/>
          <w:marTop w:val="0"/>
          <w:marBottom w:val="0"/>
          <w:divBdr>
            <w:top w:val="none" w:sz="0" w:space="0" w:color="auto"/>
            <w:left w:val="none" w:sz="0" w:space="0" w:color="auto"/>
            <w:bottom w:val="none" w:sz="0" w:space="0" w:color="auto"/>
            <w:right w:val="none" w:sz="0" w:space="0" w:color="auto"/>
          </w:divBdr>
        </w:div>
        <w:div w:id="928318574">
          <w:marLeft w:val="480"/>
          <w:marRight w:val="0"/>
          <w:marTop w:val="0"/>
          <w:marBottom w:val="0"/>
          <w:divBdr>
            <w:top w:val="none" w:sz="0" w:space="0" w:color="auto"/>
            <w:left w:val="none" w:sz="0" w:space="0" w:color="auto"/>
            <w:bottom w:val="none" w:sz="0" w:space="0" w:color="auto"/>
            <w:right w:val="none" w:sz="0" w:space="0" w:color="auto"/>
          </w:divBdr>
        </w:div>
        <w:div w:id="979842698">
          <w:marLeft w:val="480"/>
          <w:marRight w:val="0"/>
          <w:marTop w:val="0"/>
          <w:marBottom w:val="0"/>
          <w:divBdr>
            <w:top w:val="none" w:sz="0" w:space="0" w:color="auto"/>
            <w:left w:val="none" w:sz="0" w:space="0" w:color="auto"/>
            <w:bottom w:val="none" w:sz="0" w:space="0" w:color="auto"/>
            <w:right w:val="none" w:sz="0" w:space="0" w:color="auto"/>
          </w:divBdr>
        </w:div>
        <w:div w:id="1043094740">
          <w:marLeft w:val="480"/>
          <w:marRight w:val="0"/>
          <w:marTop w:val="0"/>
          <w:marBottom w:val="0"/>
          <w:divBdr>
            <w:top w:val="none" w:sz="0" w:space="0" w:color="auto"/>
            <w:left w:val="none" w:sz="0" w:space="0" w:color="auto"/>
            <w:bottom w:val="none" w:sz="0" w:space="0" w:color="auto"/>
            <w:right w:val="none" w:sz="0" w:space="0" w:color="auto"/>
          </w:divBdr>
        </w:div>
        <w:div w:id="1098410839">
          <w:marLeft w:val="480"/>
          <w:marRight w:val="0"/>
          <w:marTop w:val="0"/>
          <w:marBottom w:val="0"/>
          <w:divBdr>
            <w:top w:val="none" w:sz="0" w:space="0" w:color="auto"/>
            <w:left w:val="none" w:sz="0" w:space="0" w:color="auto"/>
            <w:bottom w:val="none" w:sz="0" w:space="0" w:color="auto"/>
            <w:right w:val="none" w:sz="0" w:space="0" w:color="auto"/>
          </w:divBdr>
        </w:div>
        <w:div w:id="1168210187">
          <w:marLeft w:val="480"/>
          <w:marRight w:val="0"/>
          <w:marTop w:val="0"/>
          <w:marBottom w:val="0"/>
          <w:divBdr>
            <w:top w:val="none" w:sz="0" w:space="0" w:color="auto"/>
            <w:left w:val="none" w:sz="0" w:space="0" w:color="auto"/>
            <w:bottom w:val="none" w:sz="0" w:space="0" w:color="auto"/>
            <w:right w:val="none" w:sz="0" w:space="0" w:color="auto"/>
          </w:divBdr>
        </w:div>
        <w:div w:id="1173182962">
          <w:marLeft w:val="480"/>
          <w:marRight w:val="0"/>
          <w:marTop w:val="0"/>
          <w:marBottom w:val="0"/>
          <w:divBdr>
            <w:top w:val="none" w:sz="0" w:space="0" w:color="auto"/>
            <w:left w:val="none" w:sz="0" w:space="0" w:color="auto"/>
            <w:bottom w:val="none" w:sz="0" w:space="0" w:color="auto"/>
            <w:right w:val="none" w:sz="0" w:space="0" w:color="auto"/>
          </w:divBdr>
        </w:div>
        <w:div w:id="1202981346">
          <w:marLeft w:val="480"/>
          <w:marRight w:val="0"/>
          <w:marTop w:val="0"/>
          <w:marBottom w:val="0"/>
          <w:divBdr>
            <w:top w:val="none" w:sz="0" w:space="0" w:color="auto"/>
            <w:left w:val="none" w:sz="0" w:space="0" w:color="auto"/>
            <w:bottom w:val="none" w:sz="0" w:space="0" w:color="auto"/>
            <w:right w:val="none" w:sz="0" w:space="0" w:color="auto"/>
          </w:divBdr>
        </w:div>
        <w:div w:id="1330206379">
          <w:marLeft w:val="480"/>
          <w:marRight w:val="0"/>
          <w:marTop w:val="0"/>
          <w:marBottom w:val="0"/>
          <w:divBdr>
            <w:top w:val="none" w:sz="0" w:space="0" w:color="auto"/>
            <w:left w:val="none" w:sz="0" w:space="0" w:color="auto"/>
            <w:bottom w:val="none" w:sz="0" w:space="0" w:color="auto"/>
            <w:right w:val="none" w:sz="0" w:space="0" w:color="auto"/>
          </w:divBdr>
        </w:div>
        <w:div w:id="1367607084">
          <w:marLeft w:val="480"/>
          <w:marRight w:val="0"/>
          <w:marTop w:val="0"/>
          <w:marBottom w:val="0"/>
          <w:divBdr>
            <w:top w:val="none" w:sz="0" w:space="0" w:color="auto"/>
            <w:left w:val="none" w:sz="0" w:space="0" w:color="auto"/>
            <w:bottom w:val="none" w:sz="0" w:space="0" w:color="auto"/>
            <w:right w:val="none" w:sz="0" w:space="0" w:color="auto"/>
          </w:divBdr>
        </w:div>
        <w:div w:id="1386415211">
          <w:marLeft w:val="480"/>
          <w:marRight w:val="0"/>
          <w:marTop w:val="0"/>
          <w:marBottom w:val="0"/>
          <w:divBdr>
            <w:top w:val="none" w:sz="0" w:space="0" w:color="auto"/>
            <w:left w:val="none" w:sz="0" w:space="0" w:color="auto"/>
            <w:bottom w:val="none" w:sz="0" w:space="0" w:color="auto"/>
            <w:right w:val="none" w:sz="0" w:space="0" w:color="auto"/>
          </w:divBdr>
        </w:div>
        <w:div w:id="1404789062">
          <w:marLeft w:val="480"/>
          <w:marRight w:val="0"/>
          <w:marTop w:val="0"/>
          <w:marBottom w:val="0"/>
          <w:divBdr>
            <w:top w:val="none" w:sz="0" w:space="0" w:color="auto"/>
            <w:left w:val="none" w:sz="0" w:space="0" w:color="auto"/>
            <w:bottom w:val="none" w:sz="0" w:space="0" w:color="auto"/>
            <w:right w:val="none" w:sz="0" w:space="0" w:color="auto"/>
          </w:divBdr>
        </w:div>
        <w:div w:id="1462379378">
          <w:marLeft w:val="480"/>
          <w:marRight w:val="0"/>
          <w:marTop w:val="0"/>
          <w:marBottom w:val="0"/>
          <w:divBdr>
            <w:top w:val="none" w:sz="0" w:space="0" w:color="auto"/>
            <w:left w:val="none" w:sz="0" w:space="0" w:color="auto"/>
            <w:bottom w:val="none" w:sz="0" w:space="0" w:color="auto"/>
            <w:right w:val="none" w:sz="0" w:space="0" w:color="auto"/>
          </w:divBdr>
        </w:div>
        <w:div w:id="1462847301">
          <w:marLeft w:val="480"/>
          <w:marRight w:val="0"/>
          <w:marTop w:val="0"/>
          <w:marBottom w:val="0"/>
          <w:divBdr>
            <w:top w:val="none" w:sz="0" w:space="0" w:color="auto"/>
            <w:left w:val="none" w:sz="0" w:space="0" w:color="auto"/>
            <w:bottom w:val="none" w:sz="0" w:space="0" w:color="auto"/>
            <w:right w:val="none" w:sz="0" w:space="0" w:color="auto"/>
          </w:divBdr>
        </w:div>
        <w:div w:id="1620794620">
          <w:marLeft w:val="480"/>
          <w:marRight w:val="0"/>
          <w:marTop w:val="0"/>
          <w:marBottom w:val="0"/>
          <w:divBdr>
            <w:top w:val="none" w:sz="0" w:space="0" w:color="auto"/>
            <w:left w:val="none" w:sz="0" w:space="0" w:color="auto"/>
            <w:bottom w:val="none" w:sz="0" w:space="0" w:color="auto"/>
            <w:right w:val="none" w:sz="0" w:space="0" w:color="auto"/>
          </w:divBdr>
        </w:div>
        <w:div w:id="1636372193">
          <w:marLeft w:val="480"/>
          <w:marRight w:val="0"/>
          <w:marTop w:val="0"/>
          <w:marBottom w:val="0"/>
          <w:divBdr>
            <w:top w:val="none" w:sz="0" w:space="0" w:color="auto"/>
            <w:left w:val="none" w:sz="0" w:space="0" w:color="auto"/>
            <w:bottom w:val="none" w:sz="0" w:space="0" w:color="auto"/>
            <w:right w:val="none" w:sz="0" w:space="0" w:color="auto"/>
          </w:divBdr>
        </w:div>
        <w:div w:id="1646085165">
          <w:marLeft w:val="480"/>
          <w:marRight w:val="0"/>
          <w:marTop w:val="0"/>
          <w:marBottom w:val="0"/>
          <w:divBdr>
            <w:top w:val="none" w:sz="0" w:space="0" w:color="auto"/>
            <w:left w:val="none" w:sz="0" w:space="0" w:color="auto"/>
            <w:bottom w:val="none" w:sz="0" w:space="0" w:color="auto"/>
            <w:right w:val="none" w:sz="0" w:space="0" w:color="auto"/>
          </w:divBdr>
        </w:div>
        <w:div w:id="1672442414">
          <w:marLeft w:val="480"/>
          <w:marRight w:val="0"/>
          <w:marTop w:val="0"/>
          <w:marBottom w:val="0"/>
          <w:divBdr>
            <w:top w:val="none" w:sz="0" w:space="0" w:color="auto"/>
            <w:left w:val="none" w:sz="0" w:space="0" w:color="auto"/>
            <w:bottom w:val="none" w:sz="0" w:space="0" w:color="auto"/>
            <w:right w:val="none" w:sz="0" w:space="0" w:color="auto"/>
          </w:divBdr>
        </w:div>
        <w:div w:id="1687712399">
          <w:marLeft w:val="480"/>
          <w:marRight w:val="0"/>
          <w:marTop w:val="0"/>
          <w:marBottom w:val="0"/>
          <w:divBdr>
            <w:top w:val="none" w:sz="0" w:space="0" w:color="auto"/>
            <w:left w:val="none" w:sz="0" w:space="0" w:color="auto"/>
            <w:bottom w:val="none" w:sz="0" w:space="0" w:color="auto"/>
            <w:right w:val="none" w:sz="0" w:space="0" w:color="auto"/>
          </w:divBdr>
        </w:div>
        <w:div w:id="1725256488">
          <w:marLeft w:val="480"/>
          <w:marRight w:val="0"/>
          <w:marTop w:val="0"/>
          <w:marBottom w:val="0"/>
          <w:divBdr>
            <w:top w:val="none" w:sz="0" w:space="0" w:color="auto"/>
            <w:left w:val="none" w:sz="0" w:space="0" w:color="auto"/>
            <w:bottom w:val="none" w:sz="0" w:space="0" w:color="auto"/>
            <w:right w:val="none" w:sz="0" w:space="0" w:color="auto"/>
          </w:divBdr>
        </w:div>
        <w:div w:id="1781756497">
          <w:marLeft w:val="480"/>
          <w:marRight w:val="0"/>
          <w:marTop w:val="0"/>
          <w:marBottom w:val="0"/>
          <w:divBdr>
            <w:top w:val="none" w:sz="0" w:space="0" w:color="auto"/>
            <w:left w:val="none" w:sz="0" w:space="0" w:color="auto"/>
            <w:bottom w:val="none" w:sz="0" w:space="0" w:color="auto"/>
            <w:right w:val="none" w:sz="0" w:space="0" w:color="auto"/>
          </w:divBdr>
        </w:div>
        <w:div w:id="1790934946">
          <w:marLeft w:val="480"/>
          <w:marRight w:val="0"/>
          <w:marTop w:val="0"/>
          <w:marBottom w:val="0"/>
          <w:divBdr>
            <w:top w:val="none" w:sz="0" w:space="0" w:color="auto"/>
            <w:left w:val="none" w:sz="0" w:space="0" w:color="auto"/>
            <w:bottom w:val="none" w:sz="0" w:space="0" w:color="auto"/>
            <w:right w:val="none" w:sz="0" w:space="0" w:color="auto"/>
          </w:divBdr>
        </w:div>
        <w:div w:id="1799447221">
          <w:marLeft w:val="480"/>
          <w:marRight w:val="0"/>
          <w:marTop w:val="0"/>
          <w:marBottom w:val="0"/>
          <w:divBdr>
            <w:top w:val="none" w:sz="0" w:space="0" w:color="auto"/>
            <w:left w:val="none" w:sz="0" w:space="0" w:color="auto"/>
            <w:bottom w:val="none" w:sz="0" w:space="0" w:color="auto"/>
            <w:right w:val="none" w:sz="0" w:space="0" w:color="auto"/>
          </w:divBdr>
        </w:div>
        <w:div w:id="1882480051">
          <w:marLeft w:val="480"/>
          <w:marRight w:val="0"/>
          <w:marTop w:val="0"/>
          <w:marBottom w:val="0"/>
          <w:divBdr>
            <w:top w:val="none" w:sz="0" w:space="0" w:color="auto"/>
            <w:left w:val="none" w:sz="0" w:space="0" w:color="auto"/>
            <w:bottom w:val="none" w:sz="0" w:space="0" w:color="auto"/>
            <w:right w:val="none" w:sz="0" w:space="0" w:color="auto"/>
          </w:divBdr>
        </w:div>
        <w:div w:id="1958487933">
          <w:marLeft w:val="480"/>
          <w:marRight w:val="0"/>
          <w:marTop w:val="0"/>
          <w:marBottom w:val="0"/>
          <w:divBdr>
            <w:top w:val="none" w:sz="0" w:space="0" w:color="auto"/>
            <w:left w:val="none" w:sz="0" w:space="0" w:color="auto"/>
            <w:bottom w:val="none" w:sz="0" w:space="0" w:color="auto"/>
            <w:right w:val="none" w:sz="0" w:space="0" w:color="auto"/>
          </w:divBdr>
        </w:div>
        <w:div w:id="1979534483">
          <w:marLeft w:val="480"/>
          <w:marRight w:val="0"/>
          <w:marTop w:val="0"/>
          <w:marBottom w:val="0"/>
          <w:divBdr>
            <w:top w:val="none" w:sz="0" w:space="0" w:color="auto"/>
            <w:left w:val="none" w:sz="0" w:space="0" w:color="auto"/>
            <w:bottom w:val="none" w:sz="0" w:space="0" w:color="auto"/>
            <w:right w:val="none" w:sz="0" w:space="0" w:color="auto"/>
          </w:divBdr>
        </w:div>
        <w:div w:id="1985960729">
          <w:marLeft w:val="480"/>
          <w:marRight w:val="0"/>
          <w:marTop w:val="0"/>
          <w:marBottom w:val="0"/>
          <w:divBdr>
            <w:top w:val="none" w:sz="0" w:space="0" w:color="auto"/>
            <w:left w:val="none" w:sz="0" w:space="0" w:color="auto"/>
            <w:bottom w:val="none" w:sz="0" w:space="0" w:color="auto"/>
            <w:right w:val="none" w:sz="0" w:space="0" w:color="auto"/>
          </w:divBdr>
        </w:div>
        <w:div w:id="2019235105">
          <w:marLeft w:val="480"/>
          <w:marRight w:val="0"/>
          <w:marTop w:val="0"/>
          <w:marBottom w:val="0"/>
          <w:divBdr>
            <w:top w:val="none" w:sz="0" w:space="0" w:color="auto"/>
            <w:left w:val="none" w:sz="0" w:space="0" w:color="auto"/>
            <w:bottom w:val="none" w:sz="0" w:space="0" w:color="auto"/>
            <w:right w:val="none" w:sz="0" w:space="0" w:color="auto"/>
          </w:divBdr>
        </w:div>
        <w:div w:id="2026863110">
          <w:marLeft w:val="480"/>
          <w:marRight w:val="0"/>
          <w:marTop w:val="0"/>
          <w:marBottom w:val="0"/>
          <w:divBdr>
            <w:top w:val="none" w:sz="0" w:space="0" w:color="auto"/>
            <w:left w:val="none" w:sz="0" w:space="0" w:color="auto"/>
            <w:bottom w:val="none" w:sz="0" w:space="0" w:color="auto"/>
            <w:right w:val="none" w:sz="0" w:space="0" w:color="auto"/>
          </w:divBdr>
        </w:div>
        <w:div w:id="2029062851">
          <w:marLeft w:val="480"/>
          <w:marRight w:val="0"/>
          <w:marTop w:val="0"/>
          <w:marBottom w:val="0"/>
          <w:divBdr>
            <w:top w:val="none" w:sz="0" w:space="0" w:color="auto"/>
            <w:left w:val="none" w:sz="0" w:space="0" w:color="auto"/>
            <w:bottom w:val="none" w:sz="0" w:space="0" w:color="auto"/>
            <w:right w:val="none" w:sz="0" w:space="0" w:color="auto"/>
          </w:divBdr>
        </w:div>
        <w:div w:id="2127195335">
          <w:marLeft w:val="480"/>
          <w:marRight w:val="0"/>
          <w:marTop w:val="0"/>
          <w:marBottom w:val="0"/>
          <w:divBdr>
            <w:top w:val="none" w:sz="0" w:space="0" w:color="auto"/>
            <w:left w:val="none" w:sz="0" w:space="0" w:color="auto"/>
            <w:bottom w:val="none" w:sz="0" w:space="0" w:color="auto"/>
            <w:right w:val="none" w:sz="0" w:space="0" w:color="auto"/>
          </w:divBdr>
        </w:div>
        <w:div w:id="2127502691">
          <w:marLeft w:val="480"/>
          <w:marRight w:val="0"/>
          <w:marTop w:val="0"/>
          <w:marBottom w:val="0"/>
          <w:divBdr>
            <w:top w:val="none" w:sz="0" w:space="0" w:color="auto"/>
            <w:left w:val="none" w:sz="0" w:space="0" w:color="auto"/>
            <w:bottom w:val="none" w:sz="0" w:space="0" w:color="auto"/>
            <w:right w:val="none" w:sz="0" w:space="0" w:color="auto"/>
          </w:divBdr>
        </w:div>
      </w:divsChild>
    </w:div>
    <w:div w:id="198518480">
      <w:bodyDiv w:val="1"/>
      <w:marLeft w:val="0"/>
      <w:marRight w:val="0"/>
      <w:marTop w:val="0"/>
      <w:marBottom w:val="0"/>
      <w:divBdr>
        <w:top w:val="none" w:sz="0" w:space="0" w:color="auto"/>
        <w:left w:val="none" w:sz="0" w:space="0" w:color="auto"/>
        <w:bottom w:val="none" w:sz="0" w:space="0" w:color="auto"/>
        <w:right w:val="none" w:sz="0" w:space="0" w:color="auto"/>
      </w:divBdr>
    </w:div>
    <w:div w:id="200168727">
      <w:bodyDiv w:val="1"/>
      <w:marLeft w:val="0"/>
      <w:marRight w:val="0"/>
      <w:marTop w:val="0"/>
      <w:marBottom w:val="0"/>
      <w:divBdr>
        <w:top w:val="none" w:sz="0" w:space="0" w:color="auto"/>
        <w:left w:val="none" w:sz="0" w:space="0" w:color="auto"/>
        <w:bottom w:val="none" w:sz="0" w:space="0" w:color="auto"/>
        <w:right w:val="none" w:sz="0" w:space="0" w:color="auto"/>
      </w:divBdr>
    </w:div>
    <w:div w:id="206451759">
      <w:bodyDiv w:val="1"/>
      <w:marLeft w:val="0"/>
      <w:marRight w:val="0"/>
      <w:marTop w:val="0"/>
      <w:marBottom w:val="0"/>
      <w:divBdr>
        <w:top w:val="none" w:sz="0" w:space="0" w:color="auto"/>
        <w:left w:val="none" w:sz="0" w:space="0" w:color="auto"/>
        <w:bottom w:val="none" w:sz="0" w:space="0" w:color="auto"/>
        <w:right w:val="none" w:sz="0" w:space="0" w:color="auto"/>
      </w:divBdr>
    </w:div>
    <w:div w:id="210074011">
      <w:bodyDiv w:val="1"/>
      <w:marLeft w:val="0"/>
      <w:marRight w:val="0"/>
      <w:marTop w:val="0"/>
      <w:marBottom w:val="0"/>
      <w:divBdr>
        <w:top w:val="none" w:sz="0" w:space="0" w:color="auto"/>
        <w:left w:val="none" w:sz="0" w:space="0" w:color="auto"/>
        <w:bottom w:val="none" w:sz="0" w:space="0" w:color="auto"/>
        <w:right w:val="none" w:sz="0" w:space="0" w:color="auto"/>
      </w:divBdr>
    </w:div>
    <w:div w:id="215512569">
      <w:bodyDiv w:val="1"/>
      <w:marLeft w:val="0"/>
      <w:marRight w:val="0"/>
      <w:marTop w:val="0"/>
      <w:marBottom w:val="0"/>
      <w:divBdr>
        <w:top w:val="none" w:sz="0" w:space="0" w:color="auto"/>
        <w:left w:val="none" w:sz="0" w:space="0" w:color="auto"/>
        <w:bottom w:val="none" w:sz="0" w:space="0" w:color="auto"/>
        <w:right w:val="none" w:sz="0" w:space="0" w:color="auto"/>
      </w:divBdr>
    </w:div>
    <w:div w:id="215702904">
      <w:bodyDiv w:val="1"/>
      <w:marLeft w:val="0"/>
      <w:marRight w:val="0"/>
      <w:marTop w:val="0"/>
      <w:marBottom w:val="0"/>
      <w:divBdr>
        <w:top w:val="none" w:sz="0" w:space="0" w:color="auto"/>
        <w:left w:val="none" w:sz="0" w:space="0" w:color="auto"/>
        <w:bottom w:val="none" w:sz="0" w:space="0" w:color="auto"/>
        <w:right w:val="none" w:sz="0" w:space="0" w:color="auto"/>
      </w:divBdr>
    </w:div>
    <w:div w:id="216091286">
      <w:bodyDiv w:val="1"/>
      <w:marLeft w:val="0"/>
      <w:marRight w:val="0"/>
      <w:marTop w:val="0"/>
      <w:marBottom w:val="0"/>
      <w:divBdr>
        <w:top w:val="none" w:sz="0" w:space="0" w:color="auto"/>
        <w:left w:val="none" w:sz="0" w:space="0" w:color="auto"/>
        <w:bottom w:val="none" w:sz="0" w:space="0" w:color="auto"/>
        <w:right w:val="none" w:sz="0" w:space="0" w:color="auto"/>
      </w:divBdr>
    </w:div>
    <w:div w:id="218593701">
      <w:bodyDiv w:val="1"/>
      <w:marLeft w:val="0"/>
      <w:marRight w:val="0"/>
      <w:marTop w:val="0"/>
      <w:marBottom w:val="0"/>
      <w:divBdr>
        <w:top w:val="none" w:sz="0" w:space="0" w:color="auto"/>
        <w:left w:val="none" w:sz="0" w:space="0" w:color="auto"/>
        <w:bottom w:val="none" w:sz="0" w:space="0" w:color="auto"/>
        <w:right w:val="none" w:sz="0" w:space="0" w:color="auto"/>
      </w:divBdr>
    </w:div>
    <w:div w:id="223032988">
      <w:bodyDiv w:val="1"/>
      <w:marLeft w:val="0"/>
      <w:marRight w:val="0"/>
      <w:marTop w:val="0"/>
      <w:marBottom w:val="0"/>
      <w:divBdr>
        <w:top w:val="none" w:sz="0" w:space="0" w:color="auto"/>
        <w:left w:val="none" w:sz="0" w:space="0" w:color="auto"/>
        <w:bottom w:val="none" w:sz="0" w:space="0" w:color="auto"/>
        <w:right w:val="none" w:sz="0" w:space="0" w:color="auto"/>
      </w:divBdr>
    </w:div>
    <w:div w:id="229316520">
      <w:bodyDiv w:val="1"/>
      <w:marLeft w:val="0"/>
      <w:marRight w:val="0"/>
      <w:marTop w:val="0"/>
      <w:marBottom w:val="0"/>
      <w:divBdr>
        <w:top w:val="none" w:sz="0" w:space="0" w:color="auto"/>
        <w:left w:val="none" w:sz="0" w:space="0" w:color="auto"/>
        <w:bottom w:val="none" w:sz="0" w:space="0" w:color="auto"/>
        <w:right w:val="none" w:sz="0" w:space="0" w:color="auto"/>
      </w:divBdr>
    </w:div>
    <w:div w:id="233857474">
      <w:bodyDiv w:val="1"/>
      <w:marLeft w:val="0"/>
      <w:marRight w:val="0"/>
      <w:marTop w:val="0"/>
      <w:marBottom w:val="0"/>
      <w:divBdr>
        <w:top w:val="none" w:sz="0" w:space="0" w:color="auto"/>
        <w:left w:val="none" w:sz="0" w:space="0" w:color="auto"/>
        <w:bottom w:val="none" w:sz="0" w:space="0" w:color="auto"/>
        <w:right w:val="none" w:sz="0" w:space="0" w:color="auto"/>
      </w:divBdr>
    </w:div>
    <w:div w:id="234702399">
      <w:bodyDiv w:val="1"/>
      <w:marLeft w:val="0"/>
      <w:marRight w:val="0"/>
      <w:marTop w:val="0"/>
      <w:marBottom w:val="0"/>
      <w:divBdr>
        <w:top w:val="none" w:sz="0" w:space="0" w:color="auto"/>
        <w:left w:val="none" w:sz="0" w:space="0" w:color="auto"/>
        <w:bottom w:val="none" w:sz="0" w:space="0" w:color="auto"/>
        <w:right w:val="none" w:sz="0" w:space="0" w:color="auto"/>
      </w:divBdr>
      <w:divsChild>
        <w:div w:id="11152424">
          <w:marLeft w:val="480"/>
          <w:marRight w:val="0"/>
          <w:marTop w:val="0"/>
          <w:marBottom w:val="0"/>
          <w:divBdr>
            <w:top w:val="none" w:sz="0" w:space="0" w:color="auto"/>
            <w:left w:val="none" w:sz="0" w:space="0" w:color="auto"/>
            <w:bottom w:val="none" w:sz="0" w:space="0" w:color="auto"/>
            <w:right w:val="none" w:sz="0" w:space="0" w:color="auto"/>
          </w:divBdr>
        </w:div>
        <w:div w:id="14354750">
          <w:marLeft w:val="480"/>
          <w:marRight w:val="0"/>
          <w:marTop w:val="0"/>
          <w:marBottom w:val="0"/>
          <w:divBdr>
            <w:top w:val="none" w:sz="0" w:space="0" w:color="auto"/>
            <w:left w:val="none" w:sz="0" w:space="0" w:color="auto"/>
            <w:bottom w:val="none" w:sz="0" w:space="0" w:color="auto"/>
            <w:right w:val="none" w:sz="0" w:space="0" w:color="auto"/>
          </w:divBdr>
        </w:div>
        <w:div w:id="39282344">
          <w:marLeft w:val="480"/>
          <w:marRight w:val="0"/>
          <w:marTop w:val="0"/>
          <w:marBottom w:val="0"/>
          <w:divBdr>
            <w:top w:val="none" w:sz="0" w:space="0" w:color="auto"/>
            <w:left w:val="none" w:sz="0" w:space="0" w:color="auto"/>
            <w:bottom w:val="none" w:sz="0" w:space="0" w:color="auto"/>
            <w:right w:val="none" w:sz="0" w:space="0" w:color="auto"/>
          </w:divBdr>
        </w:div>
        <w:div w:id="50736455">
          <w:marLeft w:val="480"/>
          <w:marRight w:val="0"/>
          <w:marTop w:val="0"/>
          <w:marBottom w:val="0"/>
          <w:divBdr>
            <w:top w:val="none" w:sz="0" w:space="0" w:color="auto"/>
            <w:left w:val="none" w:sz="0" w:space="0" w:color="auto"/>
            <w:bottom w:val="none" w:sz="0" w:space="0" w:color="auto"/>
            <w:right w:val="none" w:sz="0" w:space="0" w:color="auto"/>
          </w:divBdr>
        </w:div>
        <w:div w:id="62990351">
          <w:marLeft w:val="480"/>
          <w:marRight w:val="0"/>
          <w:marTop w:val="0"/>
          <w:marBottom w:val="0"/>
          <w:divBdr>
            <w:top w:val="none" w:sz="0" w:space="0" w:color="auto"/>
            <w:left w:val="none" w:sz="0" w:space="0" w:color="auto"/>
            <w:bottom w:val="none" w:sz="0" w:space="0" w:color="auto"/>
            <w:right w:val="none" w:sz="0" w:space="0" w:color="auto"/>
          </w:divBdr>
        </w:div>
        <w:div w:id="72239486">
          <w:marLeft w:val="480"/>
          <w:marRight w:val="0"/>
          <w:marTop w:val="0"/>
          <w:marBottom w:val="0"/>
          <w:divBdr>
            <w:top w:val="none" w:sz="0" w:space="0" w:color="auto"/>
            <w:left w:val="none" w:sz="0" w:space="0" w:color="auto"/>
            <w:bottom w:val="none" w:sz="0" w:space="0" w:color="auto"/>
            <w:right w:val="none" w:sz="0" w:space="0" w:color="auto"/>
          </w:divBdr>
        </w:div>
        <w:div w:id="72824833">
          <w:marLeft w:val="480"/>
          <w:marRight w:val="0"/>
          <w:marTop w:val="0"/>
          <w:marBottom w:val="0"/>
          <w:divBdr>
            <w:top w:val="none" w:sz="0" w:space="0" w:color="auto"/>
            <w:left w:val="none" w:sz="0" w:space="0" w:color="auto"/>
            <w:bottom w:val="none" w:sz="0" w:space="0" w:color="auto"/>
            <w:right w:val="none" w:sz="0" w:space="0" w:color="auto"/>
          </w:divBdr>
        </w:div>
        <w:div w:id="92092851">
          <w:marLeft w:val="480"/>
          <w:marRight w:val="0"/>
          <w:marTop w:val="0"/>
          <w:marBottom w:val="0"/>
          <w:divBdr>
            <w:top w:val="none" w:sz="0" w:space="0" w:color="auto"/>
            <w:left w:val="none" w:sz="0" w:space="0" w:color="auto"/>
            <w:bottom w:val="none" w:sz="0" w:space="0" w:color="auto"/>
            <w:right w:val="none" w:sz="0" w:space="0" w:color="auto"/>
          </w:divBdr>
        </w:div>
        <w:div w:id="92943092">
          <w:marLeft w:val="480"/>
          <w:marRight w:val="0"/>
          <w:marTop w:val="0"/>
          <w:marBottom w:val="0"/>
          <w:divBdr>
            <w:top w:val="none" w:sz="0" w:space="0" w:color="auto"/>
            <w:left w:val="none" w:sz="0" w:space="0" w:color="auto"/>
            <w:bottom w:val="none" w:sz="0" w:space="0" w:color="auto"/>
            <w:right w:val="none" w:sz="0" w:space="0" w:color="auto"/>
          </w:divBdr>
        </w:div>
        <w:div w:id="98068324">
          <w:marLeft w:val="480"/>
          <w:marRight w:val="0"/>
          <w:marTop w:val="0"/>
          <w:marBottom w:val="0"/>
          <w:divBdr>
            <w:top w:val="none" w:sz="0" w:space="0" w:color="auto"/>
            <w:left w:val="none" w:sz="0" w:space="0" w:color="auto"/>
            <w:bottom w:val="none" w:sz="0" w:space="0" w:color="auto"/>
            <w:right w:val="none" w:sz="0" w:space="0" w:color="auto"/>
          </w:divBdr>
        </w:div>
        <w:div w:id="124004338">
          <w:marLeft w:val="480"/>
          <w:marRight w:val="0"/>
          <w:marTop w:val="0"/>
          <w:marBottom w:val="0"/>
          <w:divBdr>
            <w:top w:val="none" w:sz="0" w:space="0" w:color="auto"/>
            <w:left w:val="none" w:sz="0" w:space="0" w:color="auto"/>
            <w:bottom w:val="none" w:sz="0" w:space="0" w:color="auto"/>
            <w:right w:val="none" w:sz="0" w:space="0" w:color="auto"/>
          </w:divBdr>
        </w:div>
        <w:div w:id="136457327">
          <w:marLeft w:val="480"/>
          <w:marRight w:val="0"/>
          <w:marTop w:val="0"/>
          <w:marBottom w:val="0"/>
          <w:divBdr>
            <w:top w:val="none" w:sz="0" w:space="0" w:color="auto"/>
            <w:left w:val="none" w:sz="0" w:space="0" w:color="auto"/>
            <w:bottom w:val="none" w:sz="0" w:space="0" w:color="auto"/>
            <w:right w:val="none" w:sz="0" w:space="0" w:color="auto"/>
          </w:divBdr>
        </w:div>
        <w:div w:id="142284935">
          <w:marLeft w:val="480"/>
          <w:marRight w:val="0"/>
          <w:marTop w:val="0"/>
          <w:marBottom w:val="0"/>
          <w:divBdr>
            <w:top w:val="none" w:sz="0" w:space="0" w:color="auto"/>
            <w:left w:val="none" w:sz="0" w:space="0" w:color="auto"/>
            <w:bottom w:val="none" w:sz="0" w:space="0" w:color="auto"/>
            <w:right w:val="none" w:sz="0" w:space="0" w:color="auto"/>
          </w:divBdr>
        </w:div>
        <w:div w:id="144593116">
          <w:marLeft w:val="480"/>
          <w:marRight w:val="0"/>
          <w:marTop w:val="0"/>
          <w:marBottom w:val="0"/>
          <w:divBdr>
            <w:top w:val="none" w:sz="0" w:space="0" w:color="auto"/>
            <w:left w:val="none" w:sz="0" w:space="0" w:color="auto"/>
            <w:bottom w:val="none" w:sz="0" w:space="0" w:color="auto"/>
            <w:right w:val="none" w:sz="0" w:space="0" w:color="auto"/>
          </w:divBdr>
        </w:div>
        <w:div w:id="183255857">
          <w:marLeft w:val="480"/>
          <w:marRight w:val="0"/>
          <w:marTop w:val="0"/>
          <w:marBottom w:val="0"/>
          <w:divBdr>
            <w:top w:val="none" w:sz="0" w:space="0" w:color="auto"/>
            <w:left w:val="none" w:sz="0" w:space="0" w:color="auto"/>
            <w:bottom w:val="none" w:sz="0" w:space="0" w:color="auto"/>
            <w:right w:val="none" w:sz="0" w:space="0" w:color="auto"/>
          </w:divBdr>
        </w:div>
        <w:div w:id="273750375">
          <w:marLeft w:val="480"/>
          <w:marRight w:val="0"/>
          <w:marTop w:val="0"/>
          <w:marBottom w:val="0"/>
          <w:divBdr>
            <w:top w:val="none" w:sz="0" w:space="0" w:color="auto"/>
            <w:left w:val="none" w:sz="0" w:space="0" w:color="auto"/>
            <w:bottom w:val="none" w:sz="0" w:space="0" w:color="auto"/>
            <w:right w:val="none" w:sz="0" w:space="0" w:color="auto"/>
          </w:divBdr>
        </w:div>
        <w:div w:id="341400337">
          <w:marLeft w:val="480"/>
          <w:marRight w:val="0"/>
          <w:marTop w:val="0"/>
          <w:marBottom w:val="0"/>
          <w:divBdr>
            <w:top w:val="none" w:sz="0" w:space="0" w:color="auto"/>
            <w:left w:val="none" w:sz="0" w:space="0" w:color="auto"/>
            <w:bottom w:val="none" w:sz="0" w:space="0" w:color="auto"/>
            <w:right w:val="none" w:sz="0" w:space="0" w:color="auto"/>
          </w:divBdr>
        </w:div>
        <w:div w:id="392587898">
          <w:marLeft w:val="480"/>
          <w:marRight w:val="0"/>
          <w:marTop w:val="0"/>
          <w:marBottom w:val="0"/>
          <w:divBdr>
            <w:top w:val="none" w:sz="0" w:space="0" w:color="auto"/>
            <w:left w:val="none" w:sz="0" w:space="0" w:color="auto"/>
            <w:bottom w:val="none" w:sz="0" w:space="0" w:color="auto"/>
            <w:right w:val="none" w:sz="0" w:space="0" w:color="auto"/>
          </w:divBdr>
        </w:div>
        <w:div w:id="454518090">
          <w:marLeft w:val="480"/>
          <w:marRight w:val="0"/>
          <w:marTop w:val="0"/>
          <w:marBottom w:val="0"/>
          <w:divBdr>
            <w:top w:val="none" w:sz="0" w:space="0" w:color="auto"/>
            <w:left w:val="none" w:sz="0" w:space="0" w:color="auto"/>
            <w:bottom w:val="none" w:sz="0" w:space="0" w:color="auto"/>
            <w:right w:val="none" w:sz="0" w:space="0" w:color="auto"/>
          </w:divBdr>
        </w:div>
        <w:div w:id="472531105">
          <w:marLeft w:val="480"/>
          <w:marRight w:val="0"/>
          <w:marTop w:val="0"/>
          <w:marBottom w:val="0"/>
          <w:divBdr>
            <w:top w:val="none" w:sz="0" w:space="0" w:color="auto"/>
            <w:left w:val="none" w:sz="0" w:space="0" w:color="auto"/>
            <w:bottom w:val="none" w:sz="0" w:space="0" w:color="auto"/>
            <w:right w:val="none" w:sz="0" w:space="0" w:color="auto"/>
          </w:divBdr>
        </w:div>
        <w:div w:id="483161573">
          <w:marLeft w:val="480"/>
          <w:marRight w:val="0"/>
          <w:marTop w:val="0"/>
          <w:marBottom w:val="0"/>
          <w:divBdr>
            <w:top w:val="none" w:sz="0" w:space="0" w:color="auto"/>
            <w:left w:val="none" w:sz="0" w:space="0" w:color="auto"/>
            <w:bottom w:val="none" w:sz="0" w:space="0" w:color="auto"/>
            <w:right w:val="none" w:sz="0" w:space="0" w:color="auto"/>
          </w:divBdr>
        </w:div>
        <w:div w:id="572474233">
          <w:marLeft w:val="480"/>
          <w:marRight w:val="0"/>
          <w:marTop w:val="0"/>
          <w:marBottom w:val="0"/>
          <w:divBdr>
            <w:top w:val="none" w:sz="0" w:space="0" w:color="auto"/>
            <w:left w:val="none" w:sz="0" w:space="0" w:color="auto"/>
            <w:bottom w:val="none" w:sz="0" w:space="0" w:color="auto"/>
            <w:right w:val="none" w:sz="0" w:space="0" w:color="auto"/>
          </w:divBdr>
        </w:div>
        <w:div w:id="614022680">
          <w:marLeft w:val="480"/>
          <w:marRight w:val="0"/>
          <w:marTop w:val="0"/>
          <w:marBottom w:val="0"/>
          <w:divBdr>
            <w:top w:val="none" w:sz="0" w:space="0" w:color="auto"/>
            <w:left w:val="none" w:sz="0" w:space="0" w:color="auto"/>
            <w:bottom w:val="none" w:sz="0" w:space="0" w:color="auto"/>
            <w:right w:val="none" w:sz="0" w:space="0" w:color="auto"/>
          </w:divBdr>
        </w:div>
        <w:div w:id="684482200">
          <w:marLeft w:val="480"/>
          <w:marRight w:val="0"/>
          <w:marTop w:val="0"/>
          <w:marBottom w:val="0"/>
          <w:divBdr>
            <w:top w:val="none" w:sz="0" w:space="0" w:color="auto"/>
            <w:left w:val="none" w:sz="0" w:space="0" w:color="auto"/>
            <w:bottom w:val="none" w:sz="0" w:space="0" w:color="auto"/>
            <w:right w:val="none" w:sz="0" w:space="0" w:color="auto"/>
          </w:divBdr>
        </w:div>
        <w:div w:id="717046444">
          <w:marLeft w:val="480"/>
          <w:marRight w:val="0"/>
          <w:marTop w:val="0"/>
          <w:marBottom w:val="0"/>
          <w:divBdr>
            <w:top w:val="none" w:sz="0" w:space="0" w:color="auto"/>
            <w:left w:val="none" w:sz="0" w:space="0" w:color="auto"/>
            <w:bottom w:val="none" w:sz="0" w:space="0" w:color="auto"/>
            <w:right w:val="none" w:sz="0" w:space="0" w:color="auto"/>
          </w:divBdr>
        </w:div>
        <w:div w:id="763764451">
          <w:marLeft w:val="480"/>
          <w:marRight w:val="0"/>
          <w:marTop w:val="0"/>
          <w:marBottom w:val="0"/>
          <w:divBdr>
            <w:top w:val="none" w:sz="0" w:space="0" w:color="auto"/>
            <w:left w:val="none" w:sz="0" w:space="0" w:color="auto"/>
            <w:bottom w:val="none" w:sz="0" w:space="0" w:color="auto"/>
            <w:right w:val="none" w:sz="0" w:space="0" w:color="auto"/>
          </w:divBdr>
        </w:div>
        <w:div w:id="781651517">
          <w:marLeft w:val="480"/>
          <w:marRight w:val="0"/>
          <w:marTop w:val="0"/>
          <w:marBottom w:val="0"/>
          <w:divBdr>
            <w:top w:val="none" w:sz="0" w:space="0" w:color="auto"/>
            <w:left w:val="none" w:sz="0" w:space="0" w:color="auto"/>
            <w:bottom w:val="none" w:sz="0" w:space="0" w:color="auto"/>
            <w:right w:val="none" w:sz="0" w:space="0" w:color="auto"/>
          </w:divBdr>
        </w:div>
        <w:div w:id="782502802">
          <w:marLeft w:val="480"/>
          <w:marRight w:val="0"/>
          <w:marTop w:val="0"/>
          <w:marBottom w:val="0"/>
          <w:divBdr>
            <w:top w:val="none" w:sz="0" w:space="0" w:color="auto"/>
            <w:left w:val="none" w:sz="0" w:space="0" w:color="auto"/>
            <w:bottom w:val="none" w:sz="0" w:space="0" w:color="auto"/>
            <w:right w:val="none" w:sz="0" w:space="0" w:color="auto"/>
          </w:divBdr>
        </w:div>
        <w:div w:id="813522716">
          <w:marLeft w:val="480"/>
          <w:marRight w:val="0"/>
          <w:marTop w:val="0"/>
          <w:marBottom w:val="0"/>
          <w:divBdr>
            <w:top w:val="none" w:sz="0" w:space="0" w:color="auto"/>
            <w:left w:val="none" w:sz="0" w:space="0" w:color="auto"/>
            <w:bottom w:val="none" w:sz="0" w:space="0" w:color="auto"/>
            <w:right w:val="none" w:sz="0" w:space="0" w:color="auto"/>
          </w:divBdr>
        </w:div>
        <w:div w:id="937755102">
          <w:marLeft w:val="480"/>
          <w:marRight w:val="0"/>
          <w:marTop w:val="0"/>
          <w:marBottom w:val="0"/>
          <w:divBdr>
            <w:top w:val="none" w:sz="0" w:space="0" w:color="auto"/>
            <w:left w:val="none" w:sz="0" w:space="0" w:color="auto"/>
            <w:bottom w:val="none" w:sz="0" w:space="0" w:color="auto"/>
            <w:right w:val="none" w:sz="0" w:space="0" w:color="auto"/>
          </w:divBdr>
        </w:div>
        <w:div w:id="1095248142">
          <w:marLeft w:val="480"/>
          <w:marRight w:val="0"/>
          <w:marTop w:val="0"/>
          <w:marBottom w:val="0"/>
          <w:divBdr>
            <w:top w:val="none" w:sz="0" w:space="0" w:color="auto"/>
            <w:left w:val="none" w:sz="0" w:space="0" w:color="auto"/>
            <w:bottom w:val="none" w:sz="0" w:space="0" w:color="auto"/>
            <w:right w:val="none" w:sz="0" w:space="0" w:color="auto"/>
          </w:divBdr>
        </w:div>
        <w:div w:id="1097602106">
          <w:marLeft w:val="480"/>
          <w:marRight w:val="0"/>
          <w:marTop w:val="0"/>
          <w:marBottom w:val="0"/>
          <w:divBdr>
            <w:top w:val="none" w:sz="0" w:space="0" w:color="auto"/>
            <w:left w:val="none" w:sz="0" w:space="0" w:color="auto"/>
            <w:bottom w:val="none" w:sz="0" w:space="0" w:color="auto"/>
            <w:right w:val="none" w:sz="0" w:space="0" w:color="auto"/>
          </w:divBdr>
        </w:div>
        <w:div w:id="1113865357">
          <w:marLeft w:val="480"/>
          <w:marRight w:val="0"/>
          <w:marTop w:val="0"/>
          <w:marBottom w:val="0"/>
          <w:divBdr>
            <w:top w:val="none" w:sz="0" w:space="0" w:color="auto"/>
            <w:left w:val="none" w:sz="0" w:space="0" w:color="auto"/>
            <w:bottom w:val="none" w:sz="0" w:space="0" w:color="auto"/>
            <w:right w:val="none" w:sz="0" w:space="0" w:color="auto"/>
          </w:divBdr>
        </w:div>
        <w:div w:id="1175265182">
          <w:marLeft w:val="480"/>
          <w:marRight w:val="0"/>
          <w:marTop w:val="0"/>
          <w:marBottom w:val="0"/>
          <w:divBdr>
            <w:top w:val="none" w:sz="0" w:space="0" w:color="auto"/>
            <w:left w:val="none" w:sz="0" w:space="0" w:color="auto"/>
            <w:bottom w:val="none" w:sz="0" w:space="0" w:color="auto"/>
            <w:right w:val="none" w:sz="0" w:space="0" w:color="auto"/>
          </w:divBdr>
        </w:div>
        <w:div w:id="1178158666">
          <w:marLeft w:val="480"/>
          <w:marRight w:val="0"/>
          <w:marTop w:val="0"/>
          <w:marBottom w:val="0"/>
          <w:divBdr>
            <w:top w:val="none" w:sz="0" w:space="0" w:color="auto"/>
            <w:left w:val="none" w:sz="0" w:space="0" w:color="auto"/>
            <w:bottom w:val="none" w:sz="0" w:space="0" w:color="auto"/>
            <w:right w:val="none" w:sz="0" w:space="0" w:color="auto"/>
          </w:divBdr>
        </w:div>
        <w:div w:id="1193573794">
          <w:marLeft w:val="480"/>
          <w:marRight w:val="0"/>
          <w:marTop w:val="0"/>
          <w:marBottom w:val="0"/>
          <w:divBdr>
            <w:top w:val="none" w:sz="0" w:space="0" w:color="auto"/>
            <w:left w:val="none" w:sz="0" w:space="0" w:color="auto"/>
            <w:bottom w:val="none" w:sz="0" w:space="0" w:color="auto"/>
            <w:right w:val="none" w:sz="0" w:space="0" w:color="auto"/>
          </w:divBdr>
        </w:div>
        <w:div w:id="1204437467">
          <w:marLeft w:val="480"/>
          <w:marRight w:val="0"/>
          <w:marTop w:val="0"/>
          <w:marBottom w:val="0"/>
          <w:divBdr>
            <w:top w:val="none" w:sz="0" w:space="0" w:color="auto"/>
            <w:left w:val="none" w:sz="0" w:space="0" w:color="auto"/>
            <w:bottom w:val="none" w:sz="0" w:space="0" w:color="auto"/>
            <w:right w:val="none" w:sz="0" w:space="0" w:color="auto"/>
          </w:divBdr>
        </w:div>
        <w:div w:id="1298871791">
          <w:marLeft w:val="480"/>
          <w:marRight w:val="0"/>
          <w:marTop w:val="0"/>
          <w:marBottom w:val="0"/>
          <w:divBdr>
            <w:top w:val="none" w:sz="0" w:space="0" w:color="auto"/>
            <w:left w:val="none" w:sz="0" w:space="0" w:color="auto"/>
            <w:bottom w:val="none" w:sz="0" w:space="0" w:color="auto"/>
            <w:right w:val="none" w:sz="0" w:space="0" w:color="auto"/>
          </w:divBdr>
        </w:div>
        <w:div w:id="1365447047">
          <w:marLeft w:val="480"/>
          <w:marRight w:val="0"/>
          <w:marTop w:val="0"/>
          <w:marBottom w:val="0"/>
          <w:divBdr>
            <w:top w:val="none" w:sz="0" w:space="0" w:color="auto"/>
            <w:left w:val="none" w:sz="0" w:space="0" w:color="auto"/>
            <w:bottom w:val="none" w:sz="0" w:space="0" w:color="auto"/>
            <w:right w:val="none" w:sz="0" w:space="0" w:color="auto"/>
          </w:divBdr>
        </w:div>
        <w:div w:id="1458138715">
          <w:marLeft w:val="480"/>
          <w:marRight w:val="0"/>
          <w:marTop w:val="0"/>
          <w:marBottom w:val="0"/>
          <w:divBdr>
            <w:top w:val="none" w:sz="0" w:space="0" w:color="auto"/>
            <w:left w:val="none" w:sz="0" w:space="0" w:color="auto"/>
            <w:bottom w:val="none" w:sz="0" w:space="0" w:color="auto"/>
            <w:right w:val="none" w:sz="0" w:space="0" w:color="auto"/>
          </w:divBdr>
        </w:div>
        <w:div w:id="1472598342">
          <w:marLeft w:val="480"/>
          <w:marRight w:val="0"/>
          <w:marTop w:val="0"/>
          <w:marBottom w:val="0"/>
          <w:divBdr>
            <w:top w:val="none" w:sz="0" w:space="0" w:color="auto"/>
            <w:left w:val="none" w:sz="0" w:space="0" w:color="auto"/>
            <w:bottom w:val="none" w:sz="0" w:space="0" w:color="auto"/>
            <w:right w:val="none" w:sz="0" w:space="0" w:color="auto"/>
          </w:divBdr>
        </w:div>
        <w:div w:id="1536773867">
          <w:marLeft w:val="480"/>
          <w:marRight w:val="0"/>
          <w:marTop w:val="0"/>
          <w:marBottom w:val="0"/>
          <w:divBdr>
            <w:top w:val="none" w:sz="0" w:space="0" w:color="auto"/>
            <w:left w:val="none" w:sz="0" w:space="0" w:color="auto"/>
            <w:bottom w:val="none" w:sz="0" w:space="0" w:color="auto"/>
            <w:right w:val="none" w:sz="0" w:space="0" w:color="auto"/>
          </w:divBdr>
        </w:div>
        <w:div w:id="1636132461">
          <w:marLeft w:val="480"/>
          <w:marRight w:val="0"/>
          <w:marTop w:val="0"/>
          <w:marBottom w:val="0"/>
          <w:divBdr>
            <w:top w:val="none" w:sz="0" w:space="0" w:color="auto"/>
            <w:left w:val="none" w:sz="0" w:space="0" w:color="auto"/>
            <w:bottom w:val="none" w:sz="0" w:space="0" w:color="auto"/>
            <w:right w:val="none" w:sz="0" w:space="0" w:color="auto"/>
          </w:divBdr>
        </w:div>
        <w:div w:id="1666394106">
          <w:marLeft w:val="480"/>
          <w:marRight w:val="0"/>
          <w:marTop w:val="0"/>
          <w:marBottom w:val="0"/>
          <w:divBdr>
            <w:top w:val="none" w:sz="0" w:space="0" w:color="auto"/>
            <w:left w:val="none" w:sz="0" w:space="0" w:color="auto"/>
            <w:bottom w:val="none" w:sz="0" w:space="0" w:color="auto"/>
            <w:right w:val="none" w:sz="0" w:space="0" w:color="auto"/>
          </w:divBdr>
        </w:div>
        <w:div w:id="1738898080">
          <w:marLeft w:val="480"/>
          <w:marRight w:val="0"/>
          <w:marTop w:val="0"/>
          <w:marBottom w:val="0"/>
          <w:divBdr>
            <w:top w:val="none" w:sz="0" w:space="0" w:color="auto"/>
            <w:left w:val="none" w:sz="0" w:space="0" w:color="auto"/>
            <w:bottom w:val="none" w:sz="0" w:space="0" w:color="auto"/>
            <w:right w:val="none" w:sz="0" w:space="0" w:color="auto"/>
          </w:divBdr>
        </w:div>
        <w:div w:id="1739745622">
          <w:marLeft w:val="480"/>
          <w:marRight w:val="0"/>
          <w:marTop w:val="0"/>
          <w:marBottom w:val="0"/>
          <w:divBdr>
            <w:top w:val="none" w:sz="0" w:space="0" w:color="auto"/>
            <w:left w:val="none" w:sz="0" w:space="0" w:color="auto"/>
            <w:bottom w:val="none" w:sz="0" w:space="0" w:color="auto"/>
            <w:right w:val="none" w:sz="0" w:space="0" w:color="auto"/>
          </w:divBdr>
        </w:div>
        <w:div w:id="1845778494">
          <w:marLeft w:val="480"/>
          <w:marRight w:val="0"/>
          <w:marTop w:val="0"/>
          <w:marBottom w:val="0"/>
          <w:divBdr>
            <w:top w:val="none" w:sz="0" w:space="0" w:color="auto"/>
            <w:left w:val="none" w:sz="0" w:space="0" w:color="auto"/>
            <w:bottom w:val="none" w:sz="0" w:space="0" w:color="auto"/>
            <w:right w:val="none" w:sz="0" w:space="0" w:color="auto"/>
          </w:divBdr>
        </w:div>
        <w:div w:id="1856193277">
          <w:marLeft w:val="480"/>
          <w:marRight w:val="0"/>
          <w:marTop w:val="0"/>
          <w:marBottom w:val="0"/>
          <w:divBdr>
            <w:top w:val="none" w:sz="0" w:space="0" w:color="auto"/>
            <w:left w:val="none" w:sz="0" w:space="0" w:color="auto"/>
            <w:bottom w:val="none" w:sz="0" w:space="0" w:color="auto"/>
            <w:right w:val="none" w:sz="0" w:space="0" w:color="auto"/>
          </w:divBdr>
        </w:div>
        <w:div w:id="1890609054">
          <w:marLeft w:val="480"/>
          <w:marRight w:val="0"/>
          <w:marTop w:val="0"/>
          <w:marBottom w:val="0"/>
          <w:divBdr>
            <w:top w:val="none" w:sz="0" w:space="0" w:color="auto"/>
            <w:left w:val="none" w:sz="0" w:space="0" w:color="auto"/>
            <w:bottom w:val="none" w:sz="0" w:space="0" w:color="auto"/>
            <w:right w:val="none" w:sz="0" w:space="0" w:color="auto"/>
          </w:divBdr>
        </w:div>
        <w:div w:id="1960188227">
          <w:marLeft w:val="480"/>
          <w:marRight w:val="0"/>
          <w:marTop w:val="0"/>
          <w:marBottom w:val="0"/>
          <w:divBdr>
            <w:top w:val="none" w:sz="0" w:space="0" w:color="auto"/>
            <w:left w:val="none" w:sz="0" w:space="0" w:color="auto"/>
            <w:bottom w:val="none" w:sz="0" w:space="0" w:color="auto"/>
            <w:right w:val="none" w:sz="0" w:space="0" w:color="auto"/>
          </w:divBdr>
        </w:div>
        <w:div w:id="1974747188">
          <w:marLeft w:val="480"/>
          <w:marRight w:val="0"/>
          <w:marTop w:val="0"/>
          <w:marBottom w:val="0"/>
          <w:divBdr>
            <w:top w:val="none" w:sz="0" w:space="0" w:color="auto"/>
            <w:left w:val="none" w:sz="0" w:space="0" w:color="auto"/>
            <w:bottom w:val="none" w:sz="0" w:space="0" w:color="auto"/>
            <w:right w:val="none" w:sz="0" w:space="0" w:color="auto"/>
          </w:divBdr>
        </w:div>
        <w:div w:id="2048527580">
          <w:marLeft w:val="480"/>
          <w:marRight w:val="0"/>
          <w:marTop w:val="0"/>
          <w:marBottom w:val="0"/>
          <w:divBdr>
            <w:top w:val="none" w:sz="0" w:space="0" w:color="auto"/>
            <w:left w:val="none" w:sz="0" w:space="0" w:color="auto"/>
            <w:bottom w:val="none" w:sz="0" w:space="0" w:color="auto"/>
            <w:right w:val="none" w:sz="0" w:space="0" w:color="auto"/>
          </w:divBdr>
        </w:div>
        <w:div w:id="2055689428">
          <w:marLeft w:val="480"/>
          <w:marRight w:val="0"/>
          <w:marTop w:val="0"/>
          <w:marBottom w:val="0"/>
          <w:divBdr>
            <w:top w:val="none" w:sz="0" w:space="0" w:color="auto"/>
            <w:left w:val="none" w:sz="0" w:space="0" w:color="auto"/>
            <w:bottom w:val="none" w:sz="0" w:space="0" w:color="auto"/>
            <w:right w:val="none" w:sz="0" w:space="0" w:color="auto"/>
          </w:divBdr>
        </w:div>
        <w:div w:id="2073307127">
          <w:marLeft w:val="480"/>
          <w:marRight w:val="0"/>
          <w:marTop w:val="0"/>
          <w:marBottom w:val="0"/>
          <w:divBdr>
            <w:top w:val="none" w:sz="0" w:space="0" w:color="auto"/>
            <w:left w:val="none" w:sz="0" w:space="0" w:color="auto"/>
            <w:bottom w:val="none" w:sz="0" w:space="0" w:color="auto"/>
            <w:right w:val="none" w:sz="0" w:space="0" w:color="auto"/>
          </w:divBdr>
        </w:div>
      </w:divsChild>
    </w:div>
    <w:div w:id="235163400">
      <w:bodyDiv w:val="1"/>
      <w:marLeft w:val="0"/>
      <w:marRight w:val="0"/>
      <w:marTop w:val="0"/>
      <w:marBottom w:val="0"/>
      <w:divBdr>
        <w:top w:val="none" w:sz="0" w:space="0" w:color="auto"/>
        <w:left w:val="none" w:sz="0" w:space="0" w:color="auto"/>
        <w:bottom w:val="none" w:sz="0" w:space="0" w:color="auto"/>
        <w:right w:val="none" w:sz="0" w:space="0" w:color="auto"/>
      </w:divBdr>
    </w:div>
    <w:div w:id="250699719">
      <w:bodyDiv w:val="1"/>
      <w:marLeft w:val="0"/>
      <w:marRight w:val="0"/>
      <w:marTop w:val="0"/>
      <w:marBottom w:val="0"/>
      <w:divBdr>
        <w:top w:val="none" w:sz="0" w:space="0" w:color="auto"/>
        <w:left w:val="none" w:sz="0" w:space="0" w:color="auto"/>
        <w:bottom w:val="none" w:sz="0" w:space="0" w:color="auto"/>
        <w:right w:val="none" w:sz="0" w:space="0" w:color="auto"/>
      </w:divBdr>
    </w:div>
    <w:div w:id="252863919">
      <w:bodyDiv w:val="1"/>
      <w:marLeft w:val="0"/>
      <w:marRight w:val="0"/>
      <w:marTop w:val="0"/>
      <w:marBottom w:val="0"/>
      <w:divBdr>
        <w:top w:val="none" w:sz="0" w:space="0" w:color="auto"/>
        <w:left w:val="none" w:sz="0" w:space="0" w:color="auto"/>
        <w:bottom w:val="none" w:sz="0" w:space="0" w:color="auto"/>
        <w:right w:val="none" w:sz="0" w:space="0" w:color="auto"/>
      </w:divBdr>
    </w:div>
    <w:div w:id="255138911">
      <w:bodyDiv w:val="1"/>
      <w:marLeft w:val="0"/>
      <w:marRight w:val="0"/>
      <w:marTop w:val="0"/>
      <w:marBottom w:val="0"/>
      <w:divBdr>
        <w:top w:val="none" w:sz="0" w:space="0" w:color="auto"/>
        <w:left w:val="none" w:sz="0" w:space="0" w:color="auto"/>
        <w:bottom w:val="none" w:sz="0" w:space="0" w:color="auto"/>
        <w:right w:val="none" w:sz="0" w:space="0" w:color="auto"/>
      </w:divBdr>
    </w:div>
    <w:div w:id="256134522">
      <w:bodyDiv w:val="1"/>
      <w:marLeft w:val="0"/>
      <w:marRight w:val="0"/>
      <w:marTop w:val="0"/>
      <w:marBottom w:val="0"/>
      <w:divBdr>
        <w:top w:val="none" w:sz="0" w:space="0" w:color="auto"/>
        <w:left w:val="none" w:sz="0" w:space="0" w:color="auto"/>
        <w:bottom w:val="none" w:sz="0" w:space="0" w:color="auto"/>
        <w:right w:val="none" w:sz="0" w:space="0" w:color="auto"/>
      </w:divBdr>
    </w:div>
    <w:div w:id="258754384">
      <w:bodyDiv w:val="1"/>
      <w:marLeft w:val="0"/>
      <w:marRight w:val="0"/>
      <w:marTop w:val="0"/>
      <w:marBottom w:val="0"/>
      <w:divBdr>
        <w:top w:val="none" w:sz="0" w:space="0" w:color="auto"/>
        <w:left w:val="none" w:sz="0" w:space="0" w:color="auto"/>
        <w:bottom w:val="none" w:sz="0" w:space="0" w:color="auto"/>
        <w:right w:val="none" w:sz="0" w:space="0" w:color="auto"/>
      </w:divBdr>
    </w:div>
    <w:div w:id="259140314">
      <w:bodyDiv w:val="1"/>
      <w:marLeft w:val="0"/>
      <w:marRight w:val="0"/>
      <w:marTop w:val="0"/>
      <w:marBottom w:val="0"/>
      <w:divBdr>
        <w:top w:val="none" w:sz="0" w:space="0" w:color="auto"/>
        <w:left w:val="none" w:sz="0" w:space="0" w:color="auto"/>
        <w:bottom w:val="none" w:sz="0" w:space="0" w:color="auto"/>
        <w:right w:val="none" w:sz="0" w:space="0" w:color="auto"/>
      </w:divBdr>
    </w:div>
    <w:div w:id="262736048">
      <w:bodyDiv w:val="1"/>
      <w:marLeft w:val="0"/>
      <w:marRight w:val="0"/>
      <w:marTop w:val="0"/>
      <w:marBottom w:val="0"/>
      <w:divBdr>
        <w:top w:val="none" w:sz="0" w:space="0" w:color="auto"/>
        <w:left w:val="none" w:sz="0" w:space="0" w:color="auto"/>
        <w:bottom w:val="none" w:sz="0" w:space="0" w:color="auto"/>
        <w:right w:val="none" w:sz="0" w:space="0" w:color="auto"/>
      </w:divBdr>
      <w:divsChild>
        <w:div w:id="10954289">
          <w:marLeft w:val="480"/>
          <w:marRight w:val="0"/>
          <w:marTop w:val="0"/>
          <w:marBottom w:val="0"/>
          <w:divBdr>
            <w:top w:val="none" w:sz="0" w:space="0" w:color="auto"/>
            <w:left w:val="none" w:sz="0" w:space="0" w:color="auto"/>
            <w:bottom w:val="none" w:sz="0" w:space="0" w:color="auto"/>
            <w:right w:val="none" w:sz="0" w:space="0" w:color="auto"/>
          </w:divBdr>
        </w:div>
        <w:div w:id="16665143">
          <w:marLeft w:val="480"/>
          <w:marRight w:val="0"/>
          <w:marTop w:val="0"/>
          <w:marBottom w:val="0"/>
          <w:divBdr>
            <w:top w:val="none" w:sz="0" w:space="0" w:color="auto"/>
            <w:left w:val="none" w:sz="0" w:space="0" w:color="auto"/>
            <w:bottom w:val="none" w:sz="0" w:space="0" w:color="auto"/>
            <w:right w:val="none" w:sz="0" w:space="0" w:color="auto"/>
          </w:divBdr>
        </w:div>
        <w:div w:id="27877273">
          <w:marLeft w:val="480"/>
          <w:marRight w:val="0"/>
          <w:marTop w:val="0"/>
          <w:marBottom w:val="0"/>
          <w:divBdr>
            <w:top w:val="none" w:sz="0" w:space="0" w:color="auto"/>
            <w:left w:val="none" w:sz="0" w:space="0" w:color="auto"/>
            <w:bottom w:val="none" w:sz="0" w:space="0" w:color="auto"/>
            <w:right w:val="none" w:sz="0" w:space="0" w:color="auto"/>
          </w:divBdr>
        </w:div>
        <w:div w:id="39401382">
          <w:marLeft w:val="480"/>
          <w:marRight w:val="0"/>
          <w:marTop w:val="0"/>
          <w:marBottom w:val="0"/>
          <w:divBdr>
            <w:top w:val="none" w:sz="0" w:space="0" w:color="auto"/>
            <w:left w:val="none" w:sz="0" w:space="0" w:color="auto"/>
            <w:bottom w:val="none" w:sz="0" w:space="0" w:color="auto"/>
            <w:right w:val="none" w:sz="0" w:space="0" w:color="auto"/>
          </w:divBdr>
        </w:div>
        <w:div w:id="46102839">
          <w:marLeft w:val="480"/>
          <w:marRight w:val="0"/>
          <w:marTop w:val="0"/>
          <w:marBottom w:val="0"/>
          <w:divBdr>
            <w:top w:val="none" w:sz="0" w:space="0" w:color="auto"/>
            <w:left w:val="none" w:sz="0" w:space="0" w:color="auto"/>
            <w:bottom w:val="none" w:sz="0" w:space="0" w:color="auto"/>
            <w:right w:val="none" w:sz="0" w:space="0" w:color="auto"/>
          </w:divBdr>
        </w:div>
        <w:div w:id="106245668">
          <w:marLeft w:val="480"/>
          <w:marRight w:val="0"/>
          <w:marTop w:val="0"/>
          <w:marBottom w:val="0"/>
          <w:divBdr>
            <w:top w:val="none" w:sz="0" w:space="0" w:color="auto"/>
            <w:left w:val="none" w:sz="0" w:space="0" w:color="auto"/>
            <w:bottom w:val="none" w:sz="0" w:space="0" w:color="auto"/>
            <w:right w:val="none" w:sz="0" w:space="0" w:color="auto"/>
          </w:divBdr>
        </w:div>
        <w:div w:id="121312486">
          <w:marLeft w:val="480"/>
          <w:marRight w:val="0"/>
          <w:marTop w:val="0"/>
          <w:marBottom w:val="0"/>
          <w:divBdr>
            <w:top w:val="none" w:sz="0" w:space="0" w:color="auto"/>
            <w:left w:val="none" w:sz="0" w:space="0" w:color="auto"/>
            <w:bottom w:val="none" w:sz="0" w:space="0" w:color="auto"/>
            <w:right w:val="none" w:sz="0" w:space="0" w:color="auto"/>
          </w:divBdr>
        </w:div>
        <w:div w:id="191380340">
          <w:marLeft w:val="480"/>
          <w:marRight w:val="0"/>
          <w:marTop w:val="0"/>
          <w:marBottom w:val="0"/>
          <w:divBdr>
            <w:top w:val="none" w:sz="0" w:space="0" w:color="auto"/>
            <w:left w:val="none" w:sz="0" w:space="0" w:color="auto"/>
            <w:bottom w:val="none" w:sz="0" w:space="0" w:color="auto"/>
            <w:right w:val="none" w:sz="0" w:space="0" w:color="auto"/>
          </w:divBdr>
        </w:div>
        <w:div w:id="193078567">
          <w:marLeft w:val="480"/>
          <w:marRight w:val="0"/>
          <w:marTop w:val="0"/>
          <w:marBottom w:val="0"/>
          <w:divBdr>
            <w:top w:val="none" w:sz="0" w:space="0" w:color="auto"/>
            <w:left w:val="none" w:sz="0" w:space="0" w:color="auto"/>
            <w:bottom w:val="none" w:sz="0" w:space="0" w:color="auto"/>
            <w:right w:val="none" w:sz="0" w:space="0" w:color="auto"/>
          </w:divBdr>
        </w:div>
        <w:div w:id="202209118">
          <w:marLeft w:val="480"/>
          <w:marRight w:val="0"/>
          <w:marTop w:val="0"/>
          <w:marBottom w:val="0"/>
          <w:divBdr>
            <w:top w:val="none" w:sz="0" w:space="0" w:color="auto"/>
            <w:left w:val="none" w:sz="0" w:space="0" w:color="auto"/>
            <w:bottom w:val="none" w:sz="0" w:space="0" w:color="auto"/>
            <w:right w:val="none" w:sz="0" w:space="0" w:color="auto"/>
          </w:divBdr>
        </w:div>
        <w:div w:id="211306991">
          <w:marLeft w:val="480"/>
          <w:marRight w:val="0"/>
          <w:marTop w:val="0"/>
          <w:marBottom w:val="0"/>
          <w:divBdr>
            <w:top w:val="none" w:sz="0" w:space="0" w:color="auto"/>
            <w:left w:val="none" w:sz="0" w:space="0" w:color="auto"/>
            <w:bottom w:val="none" w:sz="0" w:space="0" w:color="auto"/>
            <w:right w:val="none" w:sz="0" w:space="0" w:color="auto"/>
          </w:divBdr>
        </w:div>
        <w:div w:id="212549756">
          <w:marLeft w:val="480"/>
          <w:marRight w:val="0"/>
          <w:marTop w:val="0"/>
          <w:marBottom w:val="0"/>
          <w:divBdr>
            <w:top w:val="none" w:sz="0" w:space="0" w:color="auto"/>
            <w:left w:val="none" w:sz="0" w:space="0" w:color="auto"/>
            <w:bottom w:val="none" w:sz="0" w:space="0" w:color="auto"/>
            <w:right w:val="none" w:sz="0" w:space="0" w:color="auto"/>
          </w:divBdr>
        </w:div>
        <w:div w:id="215043788">
          <w:marLeft w:val="480"/>
          <w:marRight w:val="0"/>
          <w:marTop w:val="0"/>
          <w:marBottom w:val="0"/>
          <w:divBdr>
            <w:top w:val="none" w:sz="0" w:space="0" w:color="auto"/>
            <w:left w:val="none" w:sz="0" w:space="0" w:color="auto"/>
            <w:bottom w:val="none" w:sz="0" w:space="0" w:color="auto"/>
            <w:right w:val="none" w:sz="0" w:space="0" w:color="auto"/>
          </w:divBdr>
        </w:div>
        <w:div w:id="240721636">
          <w:marLeft w:val="480"/>
          <w:marRight w:val="0"/>
          <w:marTop w:val="0"/>
          <w:marBottom w:val="0"/>
          <w:divBdr>
            <w:top w:val="none" w:sz="0" w:space="0" w:color="auto"/>
            <w:left w:val="none" w:sz="0" w:space="0" w:color="auto"/>
            <w:bottom w:val="none" w:sz="0" w:space="0" w:color="auto"/>
            <w:right w:val="none" w:sz="0" w:space="0" w:color="auto"/>
          </w:divBdr>
        </w:div>
        <w:div w:id="367800450">
          <w:marLeft w:val="480"/>
          <w:marRight w:val="0"/>
          <w:marTop w:val="0"/>
          <w:marBottom w:val="0"/>
          <w:divBdr>
            <w:top w:val="none" w:sz="0" w:space="0" w:color="auto"/>
            <w:left w:val="none" w:sz="0" w:space="0" w:color="auto"/>
            <w:bottom w:val="none" w:sz="0" w:space="0" w:color="auto"/>
            <w:right w:val="none" w:sz="0" w:space="0" w:color="auto"/>
          </w:divBdr>
        </w:div>
        <w:div w:id="408701218">
          <w:marLeft w:val="480"/>
          <w:marRight w:val="0"/>
          <w:marTop w:val="0"/>
          <w:marBottom w:val="0"/>
          <w:divBdr>
            <w:top w:val="none" w:sz="0" w:space="0" w:color="auto"/>
            <w:left w:val="none" w:sz="0" w:space="0" w:color="auto"/>
            <w:bottom w:val="none" w:sz="0" w:space="0" w:color="auto"/>
            <w:right w:val="none" w:sz="0" w:space="0" w:color="auto"/>
          </w:divBdr>
        </w:div>
        <w:div w:id="410546234">
          <w:marLeft w:val="480"/>
          <w:marRight w:val="0"/>
          <w:marTop w:val="0"/>
          <w:marBottom w:val="0"/>
          <w:divBdr>
            <w:top w:val="none" w:sz="0" w:space="0" w:color="auto"/>
            <w:left w:val="none" w:sz="0" w:space="0" w:color="auto"/>
            <w:bottom w:val="none" w:sz="0" w:space="0" w:color="auto"/>
            <w:right w:val="none" w:sz="0" w:space="0" w:color="auto"/>
          </w:divBdr>
        </w:div>
        <w:div w:id="423381428">
          <w:marLeft w:val="480"/>
          <w:marRight w:val="0"/>
          <w:marTop w:val="0"/>
          <w:marBottom w:val="0"/>
          <w:divBdr>
            <w:top w:val="none" w:sz="0" w:space="0" w:color="auto"/>
            <w:left w:val="none" w:sz="0" w:space="0" w:color="auto"/>
            <w:bottom w:val="none" w:sz="0" w:space="0" w:color="auto"/>
            <w:right w:val="none" w:sz="0" w:space="0" w:color="auto"/>
          </w:divBdr>
        </w:div>
        <w:div w:id="433523223">
          <w:marLeft w:val="480"/>
          <w:marRight w:val="0"/>
          <w:marTop w:val="0"/>
          <w:marBottom w:val="0"/>
          <w:divBdr>
            <w:top w:val="none" w:sz="0" w:space="0" w:color="auto"/>
            <w:left w:val="none" w:sz="0" w:space="0" w:color="auto"/>
            <w:bottom w:val="none" w:sz="0" w:space="0" w:color="auto"/>
            <w:right w:val="none" w:sz="0" w:space="0" w:color="auto"/>
          </w:divBdr>
        </w:div>
        <w:div w:id="439688893">
          <w:marLeft w:val="480"/>
          <w:marRight w:val="0"/>
          <w:marTop w:val="0"/>
          <w:marBottom w:val="0"/>
          <w:divBdr>
            <w:top w:val="none" w:sz="0" w:space="0" w:color="auto"/>
            <w:left w:val="none" w:sz="0" w:space="0" w:color="auto"/>
            <w:bottom w:val="none" w:sz="0" w:space="0" w:color="auto"/>
            <w:right w:val="none" w:sz="0" w:space="0" w:color="auto"/>
          </w:divBdr>
        </w:div>
        <w:div w:id="491482634">
          <w:marLeft w:val="480"/>
          <w:marRight w:val="0"/>
          <w:marTop w:val="0"/>
          <w:marBottom w:val="0"/>
          <w:divBdr>
            <w:top w:val="none" w:sz="0" w:space="0" w:color="auto"/>
            <w:left w:val="none" w:sz="0" w:space="0" w:color="auto"/>
            <w:bottom w:val="none" w:sz="0" w:space="0" w:color="auto"/>
            <w:right w:val="none" w:sz="0" w:space="0" w:color="auto"/>
          </w:divBdr>
        </w:div>
        <w:div w:id="590815495">
          <w:marLeft w:val="480"/>
          <w:marRight w:val="0"/>
          <w:marTop w:val="0"/>
          <w:marBottom w:val="0"/>
          <w:divBdr>
            <w:top w:val="none" w:sz="0" w:space="0" w:color="auto"/>
            <w:left w:val="none" w:sz="0" w:space="0" w:color="auto"/>
            <w:bottom w:val="none" w:sz="0" w:space="0" w:color="auto"/>
            <w:right w:val="none" w:sz="0" w:space="0" w:color="auto"/>
          </w:divBdr>
        </w:div>
        <w:div w:id="648628236">
          <w:marLeft w:val="480"/>
          <w:marRight w:val="0"/>
          <w:marTop w:val="0"/>
          <w:marBottom w:val="0"/>
          <w:divBdr>
            <w:top w:val="none" w:sz="0" w:space="0" w:color="auto"/>
            <w:left w:val="none" w:sz="0" w:space="0" w:color="auto"/>
            <w:bottom w:val="none" w:sz="0" w:space="0" w:color="auto"/>
            <w:right w:val="none" w:sz="0" w:space="0" w:color="auto"/>
          </w:divBdr>
        </w:div>
        <w:div w:id="648637215">
          <w:marLeft w:val="480"/>
          <w:marRight w:val="0"/>
          <w:marTop w:val="0"/>
          <w:marBottom w:val="0"/>
          <w:divBdr>
            <w:top w:val="none" w:sz="0" w:space="0" w:color="auto"/>
            <w:left w:val="none" w:sz="0" w:space="0" w:color="auto"/>
            <w:bottom w:val="none" w:sz="0" w:space="0" w:color="auto"/>
            <w:right w:val="none" w:sz="0" w:space="0" w:color="auto"/>
          </w:divBdr>
        </w:div>
        <w:div w:id="669715371">
          <w:marLeft w:val="480"/>
          <w:marRight w:val="0"/>
          <w:marTop w:val="0"/>
          <w:marBottom w:val="0"/>
          <w:divBdr>
            <w:top w:val="none" w:sz="0" w:space="0" w:color="auto"/>
            <w:left w:val="none" w:sz="0" w:space="0" w:color="auto"/>
            <w:bottom w:val="none" w:sz="0" w:space="0" w:color="auto"/>
            <w:right w:val="none" w:sz="0" w:space="0" w:color="auto"/>
          </w:divBdr>
        </w:div>
        <w:div w:id="703671415">
          <w:marLeft w:val="480"/>
          <w:marRight w:val="0"/>
          <w:marTop w:val="0"/>
          <w:marBottom w:val="0"/>
          <w:divBdr>
            <w:top w:val="none" w:sz="0" w:space="0" w:color="auto"/>
            <w:left w:val="none" w:sz="0" w:space="0" w:color="auto"/>
            <w:bottom w:val="none" w:sz="0" w:space="0" w:color="auto"/>
            <w:right w:val="none" w:sz="0" w:space="0" w:color="auto"/>
          </w:divBdr>
        </w:div>
        <w:div w:id="789325870">
          <w:marLeft w:val="480"/>
          <w:marRight w:val="0"/>
          <w:marTop w:val="0"/>
          <w:marBottom w:val="0"/>
          <w:divBdr>
            <w:top w:val="none" w:sz="0" w:space="0" w:color="auto"/>
            <w:left w:val="none" w:sz="0" w:space="0" w:color="auto"/>
            <w:bottom w:val="none" w:sz="0" w:space="0" w:color="auto"/>
            <w:right w:val="none" w:sz="0" w:space="0" w:color="auto"/>
          </w:divBdr>
        </w:div>
        <w:div w:id="830604947">
          <w:marLeft w:val="480"/>
          <w:marRight w:val="0"/>
          <w:marTop w:val="0"/>
          <w:marBottom w:val="0"/>
          <w:divBdr>
            <w:top w:val="none" w:sz="0" w:space="0" w:color="auto"/>
            <w:left w:val="none" w:sz="0" w:space="0" w:color="auto"/>
            <w:bottom w:val="none" w:sz="0" w:space="0" w:color="auto"/>
            <w:right w:val="none" w:sz="0" w:space="0" w:color="auto"/>
          </w:divBdr>
        </w:div>
        <w:div w:id="896401725">
          <w:marLeft w:val="480"/>
          <w:marRight w:val="0"/>
          <w:marTop w:val="0"/>
          <w:marBottom w:val="0"/>
          <w:divBdr>
            <w:top w:val="none" w:sz="0" w:space="0" w:color="auto"/>
            <w:left w:val="none" w:sz="0" w:space="0" w:color="auto"/>
            <w:bottom w:val="none" w:sz="0" w:space="0" w:color="auto"/>
            <w:right w:val="none" w:sz="0" w:space="0" w:color="auto"/>
          </w:divBdr>
        </w:div>
        <w:div w:id="908613053">
          <w:marLeft w:val="480"/>
          <w:marRight w:val="0"/>
          <w:marTop w:val="0"/>
          <w:marBottom w:val="0"/>
          <w:divBdr>
            <w:top w:val="none" w:sz="0" w:space="0" w:color="auto"/>
            <w:left w:val="none" w:sz="0" w:space="0" w:color="auto"/>
            <w:bottom w:val="none" w:sz="0" w:space="0" w:color="auto"/>
            <w:right w:val="none" w:sz="0" w:space="0" w:color="auto"/>
          </w:divBdr>
        </w:div>
        <w:div w:id="959610769">
          <w:marLeft w:val="480"/>
          <w:marRight w:val="0"/>
          <w:marTop w:val="0"/>
          <w:marBottom w:val="0"/>
          <w:divBdr>
            <w:top w:val="none" w:sz="0" w:space="0" w:color="auto"/>
            <w:left w:val="none" w:sz="0" w:space="0" w:color="auto"/>
            <w:bottom w:val="none" w:sz="0" w:space="0" w:color="auto"/>
            <w:right w:val="none" w:sz="0" w:space="0" w:color="auto"/>
          </w:divBdr>
        </w:div>
        <w:div w:id="991107232">
          <w:marLeft w:val="480"/>
          <w:marRight w:val="0"/>
          <w:marTop w:val="0"/>
          <w:marBottom w:val="0"/>
          <w:divBdr>
            <w:top w:val="none" w:sz="0" w:space="0" w:color="auto"/>
            <w:left w:val="none" w:sz="0" w:space="0" w:color="auto"/>
            <w:bottom w:val="none" w:sz="0" w:space="0" w:color="auto"/>
            <w:right w:val="none" w:sz="0" w:space="0" w:color="auto"/>
          </w:divBdr>
        </w:div>
        <w:div w:id="995182076">
          <w:marLeft w:val="480"/>
          <w:marRight w:val="0"/>
          <w:marTop w:val="0"/>
          <w:marBottom w:val="0"/>
          <w:divBdr>
            <w:top w:val="none" w:sz="0" w:space="0" w:color="auto"/>
            <w:left w:val="none" w:sz="0" w:space="0" w:color="auto"/>
            <w:bottom w:val="none" w:sz="0" w:space="0" w:color="auto"/>
            <w:right w:val="none" w:sz="0" w:space="0" w:color="auto"/>
          </w:divBdr>
        </w:div>
        <w:div w:id="1010595743">
          <w:marLeft w:val="480"/>
          <w:marRight w:val="0"/>
          <w:marTop w:val="0"/>
          <w:marBottom w:val="0"/>
          <w:divBdr>
            <w:top w:val="none" w:sz="0" w:space="0" w:color="auto"/>
            <w:left w:val="none" w:sz="0" w:space="0" w:color="auto"/>
            <w:bottom w:val="none" w:sz="0" w:space="0" w:color="auto"/>
            <w:right w:val="none" w:sz="0" w:space="0" w:color="auto"/>
          </w:divBdr>
        </w:div>
        <w:div w:id="1019084941">
          <w:marLeft w:val="480"/>
          <w:marRight w:val="0"/>
          <w:marTop w:val="0"/>
          <w:marBottom w:val="0"/>
          <w:divBdr>
            <w:top w:val="none" w:sz="0" w:space="0" w:color="auto"/>
            <w:left w:val="none" w:sz="0" w:space="0" w:color="auto"/>
            <w:bottom w:val="none" w:sz="0" w:space="0" w:color="auto"/>
            <w:right w:val="none" w:sz="0" w:space="0" w:color="auto"/>
          </w:divBdr>
        </w:div>
        <w:div w:id="1022704569">
          <w:marLeft w:val="480"/>
          <w:marRight w:val="0"/>
          <w:marTop w:val="0"/>
          <w:marBottom w:val="0"/>
          <w:divBdr>
            <w:top w:val="none" w:sz="0" w:space="0" w:color="auto"/>
            <w:left w:val="none" w:sz="0" w:space="0" w:color="auto"/>
            <w:bottom w:val="none" w:sz="0" w:space="0" w:color="auto"/>
            <w:right w:val="none" w:sz="0" w:space="0" w:color="auto"/>
          </w:divBdr>
        </w:div>
        <w:div w:id="1055154240">
          <w:marLeft w:val="480"/>
          <w:marRight w:val="0"/>
          <w:marTop w:val="0"/>
          <w:marBottom w:val="0"/>
          <w:divBdr>
            <w:top w:val="none" w:sz="0" w:space="0" w:color="auto"/>
            <w:left w:val="none" w:sz="0" w:space="0" w:color="auto"/>
            <w:bottom w:val="none" w:sz="0" w:space="0" w:color="auto"/>
            <w:right w:val="none" w:sz="0" w:space="0" w:color="auto"/>
          </w:divBdr>
        </w:div>
        <w:div w:id="1107307194">
          <w:marLeft w:val="480"/>
          <w:marRight w:val="0"/>
          <w:marTop w:val="0"/>
          <w:marBottom w:val="0"/>
          <w:divBdr>
            <w:top w:val="none" w:sz="0" w:space="0" w:color="auto"/>
            <w:left w:val="none" w:sz="0" w:space="0" w:color="auto"/>
            <w:bottom w:val="none" w:sz="0" w:space="0" w:color="auto"/>
            <w:right w:val="none" w:sz="0" w:space="0" w:color="auto"/>
          </w:divBdr>
        </w:div>
        <w:div w:id="1129861466">
          <w:marLeft w:val="480"/>
          <w:marRight w:val="0"/>
          <w:marTop w:val="0"/>
          <w:marBottom w:val="0"/>
          <w:divBdr>
            <w:top w:val="none" w:sz="0" w:space="0" w:color="auto"/>
            <w:left w:val="none" w:sz="0" w:space="0" w:color="auto"/>
            <w:bottom w:val="none" w:sz="0" w:space="0" w:color="auto"/>
            <w:right w:val="none" w:sz="0" w:space="0" w:color="auto"/>
          </w:divBdr>
        </w:div>
        <w:div w:id="1180311052">
          <w:marLeft w:val="480"/>
          <w:marRight w:val="0"/>
          <w:marTop w:val="0"/>
          <w:marBottom w:val="0"/>
          <w:divBdr>
            <w:top w:val="none" w:sz="0" w:space="0" w:color="auto"/>
            <w:left w:val="none" w:sz="0" w:space="0" w:color="auto"/>
            <w:bottom w:val="none" w:sz="0" w:space="0" w:color="auto"/>
            <w:right w:val="none" w:sz="0" w:space="0" w:color="auto"/>
          </w:divBdr>
        </w:div>
        <w:div w:id="1180316868">
          <w:marLeft w:val="480"/>
          <w:marRight w:val="0"/>
          <w:marTop w:val="0"/>
          <w:marBottom w:val="0"/>
          <w:divBdr>
            <w:top w:val="none" w:sz="0" w:space="0" w:color="auto"/>
            <w:left w:val="none" w:sz="0" w:space="0" w:color="auto"/>
            <w:bottom w:val="none" w:sz="0" w:space="0" w:color="auto"/>
            <w:right w:val="none" w:sz="0" w:space="0" w:color="auto"/>
          </w:divBdr>
        </w:div>
        <w:div w:id="1184981558">
          <w:marLeft w:val="480"/>
          <w:marRight w:val="0"/>
          <w:marTop w:val="0"/>
          <w:marBottom w:val="0"/>
          <w:divBdr>
            <w:top w:val="none" w:sz="0" w:space="0" w:color="auto"/>
            <w:left w:val="none" w:sz="0" w:space="0" w:color="auto"/>
            <w:bottom w:val="none" w:sz="0" w:space="0" w:color="auto"/>
            <w:right w:val="none" w:sz="0" w:space="0" w:color="auto"/>
          </w:divBdr>
        </w:div>
        <w:div w:id="1186823867">
          <w:marLeft w:val="480"/>
          <w:marRight w:val="0"/>
          <w:marTop w:val="0"/>
          <w:marBottom w:val="0"/>
          <w:divBdr>
            <w:top w:val="none" w:sz="0" w:space="0" w:color="auto"/>
            <w:left w:val="none" w:sz="0" w:space="0" w:color="auto"/>
            <w:bottom w:val="none" w:sz="0" w:space="0" w:color="auto"/>
            <w:right w:val="none" w:sz="0" w:space="0" w:color="auto"/>
          </w:divBdr>
        </w:div>
        <w:div w:id="1301692302">
          <w:marLeft w:val="480"/>
          <w:marRight w:val="0"/>
          <w:marTop w:val="0"/>
          <w:marBottom w:val="0"/>
          <w:divBdr>
            <w:top w:val="none" w:sz="0" w:space="0" w:color="auto"/>
            <w:left w:val="none" w:sz="0" w:space="0" w:color="auto"/>
            <w:bottom w:val="none" w:sz="0" w:space="0" w:color="auto"/>
            <w:right w:val="none" w:sz="0" w:space="0" w:color="auto"/>
          </w:divBdr>
        </w:div>
        <w:div w:id="1318068285">
          <w:marLeft w:val="480"/>
          <w:marRight w:val="0"/>
          <w:marTop w:val="0"/>
          <w:marBottom w:val="0"/>
          <w:divBdr>
            <w:top w:val="none" w:sz="0" w:space="0" w:color="auto"/>
            <w:left w:val="none" w:sz="0" w:space="0" w:color="auto"/>
            <w:bottom w:val="none" w:sz="0" w:space="0" w:color="auto"/>
            <w:right w:val="none" w:sz="0" w:space="0" w:color="auto"/>
          </w:divBdr>
        </w:div>
        <w:div w:id="1327630445">
          <w:marLeft w:val="480"/>
          <w:marRight w:val="0"/>
          <w:marTop w:val="0"/>
          <w:marBottom w:val="0"/>
          <w:divBdr>
            <w:top w:val="none" w:sz="0" w:space="0" w:color="auto"/>
            <w:left w:val="none" w:sz="0" w:space="0" w:color="auto"/>
            <w:bottom w:val="none" w:sz="0" w:space="0" w:color="auto"/>
            <w:right w:val="none" w:sz="0" w:space="0" w:color="auto"/>
          </w:divBdr>
        </w:div>
        <w:div w:id="1381518735">
          <w:marLeft w:val="480"/>
          <w:marRight w:val="0"/>
          <w:marTop w:val="0"/>
          <w:marBottom w:val="0"/>
          <w:divBdr>
            <w:top w:val="none" w:sz="0" w:space="0" w:color="auto"/>
            <w:left w:val="none" w:sz="0" w:space="0" w:color="auto"/>
            <w:bottom w:val="none" w:sz="0" w:space="0" w:color="auto"/>
            <w:right w:val="none" w:sz="0" w:space="0" w:color="auto"/>
          </w:divBdr>
        </w:div>
        <w:div w:id="1486239547">
          <w:marLeft w:val="480"/>
          <w:marRight w:val="0"/>
          <w:marTop w:val="0"/>
          <w:marBottom w:val="0"/>
          <w:divBdr>
            <w:top w:val="none" w:sz="0" w:space="0" w:color="auto"/>
            <w:left w:val="none" w:sz="0" w:space="0" w:color="auto"/>
            <w:bottom w:val="none" w:sz="0" w:space="0" w:color="auto"/>
            <w:right w:val="none" w:sz="0" w:space="0" w:color="auto"/>
          </w:divBdr>
        </w:div>
        <w:div w:id="1489055898">
          <w:marLeft w:val="480"/>
          <w:marRight w:val="0"/>
          <w:marTop w:val="0"/>
          <w:marBottom w:val="0"/>
          <w:divBdr>
            <w:top w:val="none" w:sz="0" w:space="0" w:color="auto"/>
            <w:left w:val="none" w:sz="0" w:space="0" w:color="auto"/>
            <w:bottom w:val="none" w:sz="0" w:space="0" w:color="auto"/>
            <w:right w:val="none" w:sz="0" w:space="0" w:color="auto"/>
          </w:divBdr>
        </w:div>
        <w:div w:id="1541672888">
          <w:marLeft w:val="480"/>
          <w:marRight w:val="0"/>
          <w:marTop w:val="0"/>
          <w:marBottom w:val="0"/>
          <w:divBdr>
            <w:top w:val="none" w:sz="0" w:space="0" w:color="auto"/>
            <w:left w:val="none" w:sz="0" w:space="0" w:color="auto"/>
            <w:bottom w:val="none" w:sz="0" w:space="0" w:color="auto"/>
            <w:right w:val="none" w:sz="0" w:space="0" w:color="auto"/>
          </w:divBdr>
        </w:div>
        <w:div w:id="1636981183">
          <w:marLeft w:val="480"/>
          <w:marRight w:val="0"/>
          <w:marTop w:val="0"/>
          <w:marBottom w:val="0"/>
          <w:divBdr>
            <w:top w:val="none" w:sz="0" w:space="0" w:color="auto"/>
            <w:left w:val="none" w:sz="0" w:space="0" w:color="auto"/>
            <w:bottom w:val="none" w:sz="0" w:space="0" w:color="auto"/>
            <w:right w:val="none" w:sz="0" w:space="0" w:color="auto"/>
          </w:divBdr>
        </w:div>
        <w:div w:id="1702129076">
          <w:marLeft w:val="480"/>
          <w:marRight w:val="0"/>
          <w:marTop w:val="0"/>
          <w:marBottom w:val="0"/>
          <w:divBdr>
            <w:top w:val="none" w:sz="0" w:space="0" w:color="auto"/>
            <w:left w:val="none" w:sz="0" w:space="0" w:color="auto"/>
            <w:bottom w:val="none" w:sz="0" w:space="0" w:color="auto"/>
            <w:right w:val="none" w:sz="0" w:space="0" w:color="auto"/>
          </w:divBdr>
        </w:div>
        <w:div w:id="1727869675">
          <w:marLeft w:val="480"/>
          <w:marRight w:val="0"/>
          <w:marTop w:val="0"/>
          <w:marBottom w:val="0"/>
          <w:divBdr>
            <w:top w:val="none" w:sz="0" w:space="0" w:color="auto"/>
            <w:left w:val="none" w:sz="0" w:space="0" w:color="auto"/>
            <w:bottom w:val="none" w:sz="0" w:space="0" w:color="auto"/>
            <w:right w:val="none" w:sz="0" w:space="0" w:color="auto"/>
          </w:divBdr>
        </w:div>
        <w:div w:id="1812210439">
          <w:marLeft w:val="480"/>
          <w:marRight w:val="0"/>
          <w:marTop w:val="0"/>
          <w:marBottom w:val="0"/>
          <w:divBdr>
            <w:top w:val="none" w:sz="0" w:space="0" w:color="auto"/>
            <w:left w:val="none" w:sz="0" w:space="0" w:color="auto"/>
            <w:bottom w:val="none" w:sz="0" w:space="0" w:color="auto"/>
            <w:right w:val="none" w:sz="0" w:space="0" w:color="auto"/>
          </w:divBdr>
        </w:div>
        <w:div w:id="1824348358">
          <w:marLeft w:val="480"/>
          <w:marRight w:val="0"/>
          <w:marTop w:val="0"/>
          <w:marBottom w:val="0"/>
          <w:divBdr>
            <w:top w:val="none" w:sz="0" w:space="0" w:color="auto"/>
            <w:left w:val="none" w:sz="0" w:space="0" w:color="auto"/>
            <w:bottom w:val="none" w:sz="0" w:space="0" w:color="auto"/>
            <w:right w:val="none" w:sz="0" w:space="0" w:color="auto"/>
          </w:divBdr>
        </w:div>
        <w:div w:id="1853185313">
          <w:marLeft w:val="480"/>
          <w:marRight w:val="0"/>
          <w:marTop w:val="0"/>
          <w:marBottom w:val="0"/>
          <w:divBdr>
            <w:top w:val="none" w:sz="0" w:space="0" w:color="auto"/>
            <w:left w:val="none" w:sz="0" w:space="0" w:color="auto"/>
            <w:bottom w:val="none" w:sz="0" w:space="0" w:color="auto"/>
            <w:right w:val="none" w:sz="0" w:space="0" w:color="auto"/>
          </w:divBdr>
        </w:div>
        <w:div w:id="1965891349">
          <w:marLeft w:val="480"/>
          <w:marRight w:val="0"/>
          <w:marTop w:val="0"/>
          <w:marBottom w:val="0"/>
          <w:divBdr>
            <w:top w:val="none" w:sz="0" w:space="0" w:color="auto"/>
            <w:left w:val="none" w:sz="0" w:space="0" w:color="auto"/>
            <w:bottom w:val="none" w:sz="0" w:space="0" w:color="auto"/>
            <w:right w:val="none" w:sz="0" w:space="0" w:color="auto"/>
          </w:divBdr>
        </w:div>
        <w:div w:id="1987582126">
          <w:marLeft w:val="480"/>
          <w:marRight w:val="0"/>
          <w:marTop w:val="0"/>
          <w:marBottom w:val="0"/>
          <w:divBdr>
            <w:top w:val="none" w:sz="0" w:space="0" w:color="auto"/>
            <w:left w:val="none" w:sz="0" w:space="0" w:color="auto"/>
            <w:bottom w:val="none" w:sz="0" w:space="0" w:color="auto"/>
            <w:right w:val="none" w:sz="0" w:space="0" w:color="auto"/>
          </w:divBdr>
        </w:div>
        <w:div w:id="2010398612">
          <w:marLeft w:val="480"/>
          <w:marRight w:val="0"/>
          <w:marTop w:val="0"/>
          <w:marBottom w:val="0"/>
          <w:divBdr>
            <w:top w:val="none" w:sz="0" w:space="0" w:color="auto"/>
            <w:left w:val="none" w:sz="0" w:space="0" w:color="auto"/>
            <w:bottom w:val="none" w:sz="0" w:space="0" w:color="auto"/>
            <w:right w:val="none" w:sz="0" w:space="0" w:color="auto"/>
          </w:divBdr>
        </w:div>
        <w:div w:id="2011329683">
          <w:marLeft w:val="480"/>
          <w:marRight w:val="0"/>
          <w:marTop w:val="0"/>
          <w:marBottom w:val="0"/>
          <w:divBdr>
            <w:top w:val="none" w:sz="0" w:space="0" w:color="auto"/>
            <w:left w:val="none" w:sz="0" w:space="0" w:color="auto"/>
            <w:bottom w:val="none" w:sz="0" w:space="0" w:color="auto"/>
            <w:right w:val="none" w:sz="0" w:space="0" w:color="auto"/>
          </w:divBdr>
        </w:div>
        <w:div w:id="2046103804">
          <w:marLeft w:val="480"/>
          <w:marRight w:val="0"/>
          <w:marTop w:val="0"/>
          <w:marBottom w:val="0"/>
          <w:divBdr>
            <w:top w:val="none" w:sz="0" w:space="0" w:color="auto"/>
            <w:left w:val="none" w:sz="0" w:space="0" w:color="auto"/>
            <w:bottom w:val="none" w:sz="0" w:space="0" w:color="auto"/>
            <w:right w:val="none" w:sz="0" w:space="0" w:color="auto"/>
          </w:divBdr>
        </w:div>
        <w:div w:id="2090926424">
          <w:marLeft w:val="480"/>
          <w:marRight w:val="0"/>
          <w:marTop w:val="0"/>
          <w:marBottom w:val="0"/>
          <w:divBdr>
            <w:top w:val="none" w:sz="0" w:space="0" w:color="auto"/>
            <w:left w:val="none" w:sz="0" w:space="0" w:color="auto"/>
            <w:bottom w:val="none" w:sz="0" w:space="0" w:color="auto"/>
            <w:right w:val="none" w:sz="0" w:space="0" w:color="auto"/>
          </w:divBdr>
        </w:div>
      </w:divsChild>
    </w:div>
    <w:div w:id="263995607">
      <w:bodyDiv w:val="1"/>
      <w:marLeft w:val="0"/>
      <w:marRight w:val="0"/>
      <w:marTop w:val="0"/>
      <w:marBottom w:val="0"/>
      <w:divBdr>
        <w:top w:val="none" w:sz="0" w:space="0" w:color="auto"/>
        <w:left w:val="none" w:sz="0" w:space="0" w:color="auto"/>
        <w:bottom w:val="none" w:sz="0" w:space="0" w:color="auto"/>
        <w:right w:val="none" w:sz="0" w:space="0" w:color="auto"/>
      </w:divBdr>
    </w:div>
    <w:div w:id="264731393">
      <w:bodyDiv w:val="1"/>
      <w:marLeft w:val="0"/>
      <w:marRight w:val="0"/>
      <w:marTop w:val="0"/>
      <w:marBottom w:val="0"/>
      <w:divBdr>
        <w:top w:val="none" w:sz="0" w:space="0" w:color="auto"/>
        <w:left w:val="none" w:sz="0" w:space="0" w:color="auto"/>
        <w:bottom w:val="none" w:sz="0" w:space="0" w:color="auto"/>
        <w:right w:val="none" w:sz="0" w:space="0" w:color="auto"/>
      </w:divBdr>
    </w:div>
    <w:div w:id="268590497">
      <w:bodyDiv w:val="1"/>
      <w:marLeft w:val="0"/>
      <w:marRight w:val="0"/>
      <w:marTop w:val="0"/>
      <w:marBottom w:val="0"/>
      <w:divBdr>
        <w:top w:val="none" w:sz="0" w:space="0" w:color="auto"/>
        <w:left w:val="none" w:sz="0" w:space="0" w:color="auto"/>
        <w:bottom w:val="none" w:sz="0" w:space="0" w:color="auto"/>
        <w:right w:val="none" w:sz="0" w:space="0" w:color="auto"/>
      </w:divBdr>
      <w:divsChild>
        <w:div w:id="9260458">
          <w:marLeft w:val="480"/>
          <w:marRight w:val="0"/>
          <w:marTop w:val="0"/>
          <w:marBottom w:val="0"/>
          <w:divBdr>
            <w:top w:val="none" w:sz="0" w:space="0" w:color="auto"/>
            <w:left w:val="none" w:sz="0" w:space="0" w:color="auto"/>
            <w:bottom w:val="none" w:sz="0" w:space="0" w:color="auto"/>
            <w:right w:val="none" w:sz="0" w:space="0" w:color="auto"/>
          </w:divBdr>
        </w:div>
        <w:div w:id="20589184">
          <w:marLeft w:val="480"/>
          <w:marRight w:val="0"/>
          <w:marTop w:val="0"/>
          <w:marBottom w:val="0"/>
          <w:divBdr>
            <w:top w:val="none" w:sz="0" w:space="0" w:color="auto"/>
            <w:left w:val="none" w:sz="0" w:space="0" w:color="auto"/>
            <w:bottom w:val="none" w:sz="0" w:space="0" w:color="auto"/>
            <w:right w:val="none" w:sz="0" w:space="0" w:color="auto"/>
          </w:divBdr>
        </w:div>
        <w:div w:id="39523833">
          <w:marLeft w:val="480"/>
          <w:marRight w:val="0"/>
          <w:marTop w:val="0"/>
          <w:marBottom w:val="0"/>
          <w:divBdr>
            <w:top w:val="none" w:sz="0" w:space="0" w:color="auto"/>
            <w:left w:val="none" w:sz="0" w:space="0" w:color="auto"/>
            <w:bottom w:val="none" w:sz="0" w:space="0" w:color="auto"/>
            <w:right w:val="none" w:sz="0" w:space="0" w:color="auto"/>
          </w:divBdr>
        </w:div>
        <w:div w:id="116724639">
          <w:marLeft w:val="480"/>
          <w:marRight w:val="0"/>
          <w:marTop w:val="0"/>
          <w:marBottom w:val="0"/>
          <w:divBdr>
            <w:top w:val="none" w:sz="0" w:space="0" w:color="auto"/>
            <w:left w:val="none" w:sz="0" w:space="0" w:color="auto"/>
            <w:bottom w:val="none" w:sz="0" w:space="0" w:color="auto"/>
            <w:right w:val="none" w:sz="0" w:space="0" w:color="auto"/>
          </w:divBdr>
        </w:div>
        <w:div w:id="126821851">
          <w:marLeft w:val="480"/>
          <w:marRight w:val="0"/>
          <w:marTop w:val="0"/>
          <w:marBottom w:val="0"/>
          <w:divBdr>
            <w:top w:val="none" w:sz="0" w:space="0" w:color="auto"/>
            <w:left w:val="none" w:sz="0" w:space="0" w:color="auto"/>
            <w:bottom w:val="none" w:sz="0" w:space="0" w:color="auto"/>
            <w:right w:val="none" w:sz="0" w:space="0" w:color="auto"/>
          </w:divBdr>
        </w:div>
        <w:div w:id="147981631">
          <w:marLeft w:val="480"/>
          <w:marRight w:val="0"/>
          <w:marTop w:val="0"/>
          <w:marBottom w:val="0"/>
          <w:divBdr>
            <w:top w:val="none" w:sz="0" w:space="0" w:color="auto"/>
            <w:left w:val="none" w:sz="0" w:space="0" w:color="auto"/>
            <w:bottom w:val="none" w:sz="0" w:space="0" w:color="auto"/>
            <w:right w:val="none" w:sz="0" w:space="0" w:color="auto"/>
          </w:divBdr>
        </w:div>
        <w:div w:id="163858959">
          <w:marLeft w:val="480"/>
          <w:marRight w:val="0"/>
          <w:marTop w:val="0"/>
          <w:marBottom w:val="0"/>
          <w:divBdr>
            <w:top w:val="none" w:sz="0" w:space="0" w:color="auto"/>
            <w:left w:val="none" w:sz="0" w:space="0" w:color="auto"/>
            <w:bottom w:val="none" w:sz="0" w:space="0" w:color="auto"/>
            <w:right w:val="none" w:sz="0" w:space="0" w:color="auto"/>
          </w:divBdr>
        </w:div>
        <w:div w:id="204371797">
          <w:marLeft w:val="480"/>
          <w:marRight w:val="0"/>
          <w:marTop w:val="0"/>
          <w:marBottom w:val="0"/>
          <w:divBdr>
            <w:top w:val="none" w:sz="0" w:space="0" w:color="auto"/>
            <w:left w:val="none" w:sz="0" w:space="0" w:color="auto"/>
            <w:bottom w:val="none" w:sz="0" w:space="0" w:color="auto"/>
            <w:right w:val="none" w:sz="0" w:space="0" w:color="auto"/>
          </w:divBdr>
        </w:div>
        <w:div w:id="221796515">
          <w:marLeft w:val="480"/>
          <w:marRight w:val="0"/>
          <w:marTop w:val="0"/>
          <w:marBottom w:val="0"/>
          <w:divBdr>
            <w:top w:val="none" w:sz="0" w:space="0" w:color="auto"/>
            <w:left w:val="none" w:sz="0" w:space="0" w:color="auto"/>
            <w:bottom w:val="none" w:sz="0" w:space="0" w:color="auto"/>
            <w:right w:val="none" w:sz="0" w:space="0" w:color="auto"/>
          </w:divBdr>
        </w:div>
        <w:div w:id="224341671">
          <w:marLeft w:val="480"/>
          <w:marRight w:val="0"/>
          <w:marTop w:val="0"/>
          <w:marBottom w:val="0"/>
          <w:divBdr>
            <w:top w:val="none" w:sz="0" w:space="0" w:color="auto"/>
            <w:left w:val="none" w:sz="0" w:space="0" w:color="auto"/>
            <w:bottom w:val="none" w:sz="0" w:space="0" w:color="auto"/>
            <w:right w:val="none" w:sz="0" w:space="0" w:color="auto"/>
          </w:divBdr>
        </w:div>
        <w:div w:id="269554698">
          <w:marLeft w:val="480"/>
          <w:marRight w:val="0"/>
          <w:marTop w:val="0"/>
          <w:marBottom w:val="0"/>
          <w:divBdr>
            <w:top w:val="none" w:sz="0" w:space="0" w:color="auto"/>
            <w:left w:val="none" w:sz="0" w:space="0" w:color="auto"/>
            <w:bottom w:val="none" w:sz="0" w:space="0" w:color="auto"/>
            <w:right w:val="none" w:sz="0" w:space="0" w:color="auto"/>
          </w:divBdr>
        </w:div>
        <w:div w:id="328145798">
          <w:marLeft w:val="480"/>
          <w:marRight w:val="0"/>
          <w:marTop w:val="0"/>
          <w:marBottom w:val="0"/>
          <w:divBdr>
            <w:top w:val="none" w:sz="0" w:space="0" w:color="auto"/>
            <w:left w:val="none" w:sz="0" w:space="0" w:color="auto"/>
            <w:bottom w:val="none" w:sz="0" w:space="0" w:color="auto"/>
            <w:right w:val="none" w:sz="0" w:space="0" w:color="auto"/>
          </w:divBdr>
        </w:div>
        <w:div w:id="368528226">
          <w:marLeft w:val="480"/>
          <w:marRight w:val="0"/>
          <w:marTop w:val="0"/>
          <w:marBottom w:val="0"/>
          <w:divBdr>
            <w:top w:val="none" w:sz="0" w:space="0" w:color="auto"/>
            <w:left w:val="none" w:sz="0" w:space="0" w:color="auto"/>
            <w:bottom w:val="none" w:sz="0" w:space="0" w:color="auto"/>
            <w:right w:val="none" w:sz="0" w:space="0" w:color="auto"/>
          </w:divBdr>
        </w:div>
        <w:div w:id="380180014">
          <w:marLeft w:val="480"/>
          <w:marRight w:val="0"/>
          <w:marTop w:val="0"/>
          <w:marBottom w:val="0"/>
          <w:divBdr>
            <w:top w:val="none" w:sz="0" w:space="0" w:color="auto"/>
            <w:left w:val="none" w:sz="0" w:space="0" w:color="auto"/>
            <w:bottom w:val="none" w:sz="0" w:space="0" w:color="auto"/>
            <w:right w:val="none" w:sz="0" w:space="0" w:color="auto"/>
          </w:divBdr>
        </w:div>
        <w:div w:id="411003331">
          <w:marLeft w:val="480"/>
          <w:marRight w:val="0"/>
          <w:marTop w:val="0"/>
          <w:marBottom w:val="0"/>
          <w:divBdr>
            <w:top w:val="none" w:sz="0" w:space="0" w:color="auto"/>
            <w:left w:val="none" w:sz="0" w:space="0" w:color="auto"/>
            <w:bottom w:val="none" w:sz="0" w:space="0" w:color="auto"/>
            <w:right w:val="none" w:sz="0" w:space="0" w:color="auto"/>
          </w:divBdr>
        </w:div>
        <w:div w:id="415057390">
          <w:marLeft w:val="480"/>
          <w:marRight w:val="0"/>
          <w:marTop w:val="0"/>
          <w:marBottom w:val="0"/>
          <w:divBdr>
            <w:top w:val="none" w:sz="0" w:space="0" w:color="auto"/>
            <w:left w:val="none" w:sz="0" w:space="0" w:color="auto"/>
            <w:bottom w:val="none" w:sz="0" w:space="0" w:color="auto"/>
            <w:right w:val="none" w:sz="0" w:space="0" w:color="auto"/>
          </w:divBdr>
        </w:div>
        <w:div w:id="505823770">
          <w:marLeft w:val="480"/>
          <w:marRight w:val="0"/>
          <w:marTop w:val="0"/>
          <w:marBottom w:val="0"/>
          <w:divBdr>
            <w:top w:val="none" w:sz="0" w:space="0" w:color="auto"/>
            <w:left w:val="none" w:sz="0" w:space="0" w:color="auto"/>
            <w:bottom w:val="none" w:sz="0" w:space="0" w:color="auto"/>
            <w:right w:val="none" w:sz="0" w:space="0" w:color="auto"/>
          </w:divBdr>
        </w:div>
        <w:div w:id="614407647">
          <w:marLeft w:val="480"/>
          <w:marRight w:val="0"/>
          <w:marTop w:val="0"/>
          <w:marBottom w:val="0"/>
          <w:divBdr>
            <w:top w:val="none" w:sz="0" w:space="0" w:color="auto"/>
            <w:left w:val="none" w:sz="0" w:space="0" w:color="auto"/>
            <w:bottom w:val="none" w:sz="0" w:space="0" w:color="auto"/>
            <w:right w:val="none" w:sz="0" w:space="0" w:color="auto"/>
          </w:divBdr>
        </w:div>
        <w:div w:id="752893586">
          <w:marLeft w:val="480"/>
          <w:marRight w:val="0"/>
          <w:marTop w:val="0"/>
          <w:marBottom w:val="0"/>
          <w:divBdr>
            <w:top w:val="none" w:sz="0" w:space="0" w:color="auto"/>
            <w:left w:val="none" w:sz="0" w:space="0" w:color="auto"/>
            <w:bottom w:val="none" w:sz="0" w:space="0" w:color="auto"/>
            <w:right w:val="none" w:sz="0" w:space="0" w:color="auto"/>
          </w:divBdr>
        </w:div>
        <w:div w:id="761610327">
          <w:marLeft w:val="480"/>
          <w:marRight w:val="0"/>
          <w:marTop w:val="0"/>
          <w:marBottom w:val="0"/>
          <w:divBdr>
            <w:top w:val="none" w:sz="0" w:space="0" w:color="auto"/>
            <w:left w:val="none" w:sz="0" w:space="0" w:color="auto"/>
            <w:bottom w:val="none" w:sz="0" w:space="0" w:color="auto"/>
            <w:right w:val="none" w:sz="0" w:space="0" w:color="auto"/>
          </w:divBdr>
        </w:div>
        <w:div w:id="782963147">
          <w:marLeft w:val="480"/>
          <w:marRight w:val="0"/>
          <w:marTop w:val="0"/>
          <w:marBottom w:val="0"/>
          <w:divBdr>
            <w:top w:val="none" w:sz="0" w:space="0" w:color="auto"/>
            <w:left w:val="none" w:sz="0" w:space="0" w:color="auto"/>
            <w:bottom w:val="none" w:sz="0" w:space="0" w:color="auto"/>
            <w:right w:val="none" w:sz="0" w:space="0" w:color="auto"/>
          </w:divBdr>
        </w:div>
        <w:div w:id="854731532">
          <w:marLeft w:val="480"/>
          <w:marRight w:val="0"/>
          <w:marTop w:val="0"/>
          <w:marBottom w:val="0"/>
          <w:divBdr>
            <w:top w:val="none" w:sz="0" w:space="0" w:color="auto"/>
            <w:left w:val="none" w:sz="0" w:space="0" w:color="auto"/>
            <w:bottom w:val="none" w:sz="0" w:space="0" w:color="auto"/>
            <w:right w:val="none" w:sz="0" w:space="0" w:color="auto"/>
          </w:divBdr>
        </w:div>
        <w:div w:id="871767695">
          <w:marLeft w:val="480"/>
          <w:marRight w:val="0"/>
          <w:marTop w:val="0"/>
          <w:marBottom w:val="0"/>
          <w:divBdr>
            <w:top w:val="none" w:sz="0" w:space="0" w:color="auto"/>
            <w:left w:val="none" w:sz="0" w:space="0" w:color="auto"/>
            <w:bottom w:val="none" w:sz="0" w:space="0" w:color="auto"/>
            <w:right w:val="none" w:sz="0" w:space="0" w:color="auto"/>
          </w:divBdr>
        </w:div>
        <w:div w:id="883294814">
          <w:marLeft w:val="480"/>
          <w:marRight w:val="0"/>
          <w:marTop w:val="0"/>
          <w:marBottom w:val="0"/>
          <w:divBdr>
            <w:top w:val="none" w:sz="0" w:space="0" w:color="auto"/>
            <w:left w:val="none" w:sz="0" w:space="0" w:color="auto"/>
            <w:bottom w:val="none" w:sz="0" w:space="0" w:color="auto"/>
            <w:right w:val="none" w:sz="0" w:space="0" w:color="auto"/>
          </w:divBdr>
        </w:div>
        <w:div w:id="943923046">
          <w:marLeft w:val="480"/>
          <w:marRight w:val="0"/>
          <w:marTop w:val="0"/>
          <w:marBottom w:val="0"/>
          <w:divBdr>
            <w:top w:val="none" w:sz="0" w:space="0" w:color="auto"/>
            <w:left w:val="none" w:sz="0" w:space="0" w:color="auto"/>
            <w:bottom w:val="none" w:sz="0" w:space="0" w:color="auto"/>
            <w:right w:val="none" w:sz="0" w:space="0" w:color="auto"/>
          </w:divBdr>
        </w:div>
        <w:div w:id="977035836">
          <w:marLeft w:val="480"/>
          <w:marRight w:val="0"/>
          <w:marTop w:val="0"/>
          <w:marBottom w:val="0"/>
          <w:divBdr>
            <w:top w:val="none" w:sz="0" w:space="0" w:color="auto"/>
            <w:left w:val="none" w:sz="0" w:space="0" w:color="auto"/>
            <w:bottom w:val="none" w:sz="0" w:space="0" w:color="auto"/>
            <w:right w:val="none" w:sz="0" w:space="0" w:color="auto"/>
          </w:divBdr>
        </w:div>
        <w:div w:id="1011223704">
          <w:marLeft w:val="480"/>
          <w:marRight w:val="0"/>
          <w:marTop w:val="0"/>
          <w:marBottom w:val="0"/>
          <w:divBdr>
            <w:top w:val="none" w:sz="0" w:space="0" w:color="auto"/>
            <w:left w:val="none" w:sz="0" w:space="0" w:color="auto"/>
            <w:bottom w:val="none" w:sz="0" w:space="0" w:color="auto"/>
            <w:right w:val="none" w:sz="0" w:space="0" w:color="auto"/>
          </w:divBdr>
        </w:div>
        <w:div w:id="1026911181">
          <w:marLeft w:val="480"/>
          <w:marRight w:val="0"/>
          <w:marTop w:val="0"/>
          <w:marBottom w:val="0"/>
          <w:divBdr>
            <w:top w:val="none" w:sz="0" w:space="0" w:color="auto"/>
            <w:left w:val="none" w:sz="0" w:space="0" w:color="auto"/>
            <w:bottom w:val="none" w:sz="0" w:space="0" w:color="auto"/>
            <w:right w:val="none" w:sz="0" w:space="0" w:color="auto"/>
          </w:divBdr>
        </w:div>
        <w:div w:id="1041901084">
          <w:marLeft w:val="480"/>
          <w:marRight w:val="0"/>
          <w:marTop w:val="0"/>
          <w:marBottom w:val="0"/>
          <w:divBdr>
            <w:top w:val="none" w:sz="0" w:space="0" w:color="auto"/>
            <w:left w:val="none" w:sz="0" w:space="0" w:color="auto"/>
            <w:bottom w:val="none" w:sz="0" w:space="0" w:color="auto"/>
            <w:right w:val="none" w:sz="0" w:space="0" w:color="auto"/>
          </w:divBdr>
        </w:div>
        <w:div w:id="1045257297">
          <w:marLeft w:val="480"/>
          <w:marRight w:val="0"/>
          <w:marTop w:val="0"/>
          <w:marBottom w:val="0"/>
          <w:divBdr>
            <w:top w:val="none" w:sz="0" w:space="0" w:color="auto"/>
            <w:left w:val="none" w:sz="0" w:space="0" w:color="auto"/>
            <w:bottom w:val="none" w:sz="0" w:space="0" w:color="auto"/>
            <w:right w:val="none" w:sz="0" w:space="0" w:color="auto"/>
          </w:divBdr>
        </w:div>
        <w:div w:id="1050039353">
          <w:marLeft w:val="480"/>
          <w:marRight w:val="0"/>
          <w:marTop w:val="0"/>
          <w:marBottom w:val="0"/>
          <w:divBdr>
            <w:top w:val="none" w:sz="0" w:space="0" w:color="auto"/>
            <w:left w:val="none" w:sz="0" w:space="0" w:color="auto"/>
            <w:bottom w:val="none" w:sz="0" w:space="0" w:color="auto"/>
            <w:right w:val="none" w:sz="0" w:space="0" w:color="auto"/>
          </w:divBdr>
        </w:div>
        <w:div w:id="1124543006">
          <w:marLeft w:val="480"/>
          <w:marRight w:val="0"/>
          <w:marTop w:val="0"/>
          <w:marBottom w:val="0"/>
          <w:divBdr>
            <w:top w:val="none" w:sz="0" w:space="0" w:color="auto"/>
            <w:left w:val="none" w:sz="0" w:space="0" w:color="auto"/>
            <w:bottom w:val="none" w:sz="0" w:space="0" w:color="auto"/>
            <w:right w:val="none" w:sz="0" w:space="0" w:color="auto"/>
          </w:divBdr>
        </w:div>
        <w:div w:id="1146429837">
          <w:marLeft w:val="480"/>
          <w:marRight w:val="0"/>
          <w:marTop w:val="0"/>
          <w:marBottom w:val="0"/>
          <w:divBdr>
            <w:top w:val="none" w:sz="0" w:space="0" w:color="auto"/>
            <w:left w:val="none" w:sz="0" w:space="0" w:color="auto"/>
            <w:bottom w:val="none" w:sz="0" w:space="0" w:color="auto"/>
            <w:right w:val="none" w:sz="0" w:space="0" w:color="auto"/>
          </w:divBdr>
        </w:div>
        <w:div w:id="1168252008">
          <w:marLeft w:val="480"/>
          <w:marRight w:val="0"/>
          <w:marTop w:val="0"/>
          <w:marBottom w:val="0"/>
          <w:divBdr>
            <w:top w:val="none" w:sz="0" w:space="0" w:color="auto"/>
            <w:left w:val="none" w:sz="0" w:space="0" w:color="auto"/>
            <w:bottom w:val="none" w:sz="0" w:space="0" w:color="auto"/>
            <w:right w:val="none" w:sz="0" w:space="0" w:color="auto"/>
          </w:divBdr>
        </w:div>
        <w:div w:id="1184780280">
          <w:marLeft w:val="480"/>
          <w:marRight w:val="0"/>
          <w:marTop w:val="0"/>
          <w:marBottom w:val="0"/>
          <w:divBdr>
            <w:top w:val="none" w:sz="0" w:space="0" w:color="auto"/>
            <w:left w:val="none" w:sz="0" w:space="0" w:color="auto"/>
            <w:bottom w:val="none" w:sz="0" w:space="0" w:color="auto"/>
            <w:right w:val="none" w:sz="0" w:space="0" w:color="auto"/>
          </w:divBdr>
        </w:div>
        <w:div w:id="1215235559">
          <w:marLeft w:val="480"/>
          <w:marRight w:val="0"/>
          <w:marTop w:val="0"/>
          <w:marBottom w:val="0"/>
          <w:divBdr>
            <w:top w:val="none" w:sz="0" w:space="0" w:color="auto"/>
            <w:left w:val="none" w:sz="0" w:space="0" w:color="auto"/>
            <w:bottom w:val="none" w:sz="0" w:space="0" w:color="auto"/>
            <w:right w:val="none" w:sz="0" w:space="0" w:color="auto"/>
          </w:divBdr>
        </w:div>
        <w:div w:id="1243947863">
          <w:marLeft w:val="480"/>
          <w:marRight w:val="0"/>
          <w:marTop w:val="0"/>
          <w:marBottom w:val="0"/>
          <w:divBdr>
            <w:top w:val="none" w:sz="0" w:space="0" w:color="auto"/>
            <w:left w:val="none" w:sz="0" w:space="0" w:color="auto"/>
            <w:bottom w:val="none" w:sz="0" w:space="0" w:color="auto"/>
            <w:right w:val="none" w:sz="0" w:space="0" w:color="auto"/>
          </w:divBdr>
        </w:div>
        <w:div w:id="1280599407">
          <w:marLeft w:val="480"/>
          <w:marRight w:val="0"/>
          <w:marTop w:val="0"/>
          <w:marBottom w:val="0"/>
          <w:divBdr>
            <w:top w:val="none" w:sz="0" w:space="0" w:color="auto"/>
            <w:left w:val="none" w:sz="0" w:space="0" w:color="auto"/>
            <w:bottom w:val="none" w:sz="0" w:space="0" w:color="auto"/>
            <w:right w:val="none" w:sz="0" w:space="0" w:color="auto"/>
          </w:divBdr>
        </w:div>
        <w:div w:id="1327398063">
          <w:marLeft w:val="480"/>
          <w:marRight w:val="0"/>
          <w:marTop w:val="0"/>
          <w:marBottom w:val="0"/>
          <w:divBdr>
            <w:top w:val="none" w:sz="0" w:space="0" w:color="auto"/>
            <w:left w:val="none" w:sz="0" w:space="0" w:color="auto"/>
            <w:bottom w:val="none" w:sz="0" w:space="0" w:color="auto"/>
            <w:right w:val="none" w:sz="0" w:space="0" w:color="auto"/>
          </w:divBdr>
        </w:div>
        <w:div w:id="1381399526">
          <w:marLeft w:val="480"/>
          <w:marRight w:val="0"/>
          <w:marTop w:val="0"/>
          <w:marBottom w:val="0"/>
          <w:divBdr>
            <w:top w:val="none" w:sz="0" w:space="0" w:color="auto"/>
            <w:left w:val="none" w:sz="0" w:space="0" w:color="auto"/>
            <w:bottom w:val="none" w:sz="0" w:space="0" w:color="auto"/>
            <w:right w:val="none" w:sz="0" w:space="0" w:color="auto"/>
          </w:divBdr>
        </w:div>
        <w:div w:id="1456557333">
          <w:marLeft w:val="480"/>
          <w:marRight w:val="0"/>
          <w:marTop w:val="0"/>
          <w:marBottom w:val="0"/>
          <w:divBdr>
            <w:top w:val="none" w:sz="0" w:space="0" w:color="auto"/>
            <w:left w:val="none" w:sz="0" w:space="0" w:color="auto"/>
            <w:bottom w:val="none" w:sz="0" w:space="0" w:color="auto"/>
            <w:right w:val="none" w:sz="0" w:space="0" w:color="auto"/>
          </w:divBdr>
        </w:div>
        <w:div w:id="1467577376">
          <w:marLeft w:val="480"/>
          <w:marRight w:val="0"/>
          <w:marTop w:val="0"/>
          <w:marBottom w:val="0"/>
          <w:divBdr>
            <w:top w:val="none" w:sz="0" w:space="0" w:color="auto"/>
            <w:left w:val="none" w:sz="0" w:space="0" w:color="auto"/>
            <w:bottom w:val="none" w:sz="0" w:space="0" w:color="auto"/>
            <w:right w:val="none" w:sz="0" w:space="0" w:color="auto"/>
          </w:divBdr>
        </w:div>
        <w:div w:id="1525484256">
          <w:marLeft w:val="480"/>
          <w:marRight w:val="0"/>
          <w:marTop w:val="0"/>
          <w:marBottom w:val="0"/>
          <w:divBdr>
            <w:top w:val="none" w:sz="0" w:space="0" w:color="auto"/>
            <w:left w:val="none" w:sz="0" w:space="0" w:color="auto"/>
            <w:bottom w:val="none" w:sz="0" w:space="0" w:color="auto"/>
            <w:right w:val="none" w:sz="0" w:space="0" w:color="auto"/>
          </w:divBdr>
        </w:div>
        <w:div w:id="1575316173">
          <w:marLeft w:val="480"/>
          <w:marRight w:val="0"/>
          <w:marTop w:val="0"/>
          <w:marBottom w:val="0"/>
          <w:divBdr>
            <w:top w:val="none" w:sz="0" w:space="0" w:color="auto"/>
            <w:left w:val="none" w:sz="0" w:space="0" w:color="auto"/>
            <w:bottom w:val="none" w:sz="0" w:space="0" w:color="auto"/>
            <w:right w:val="none" w:sz="0" w:space="0" w:color="auto"/>
          </w:divBdr>
        </w:div>
        <w:div w:id="1590701466">
          <w:marLeft w:val="480"/>
          <w:marRight w:val="0"/>
          <w:marTop w:val="0"/>
          <w:marBottom w:val="0"/>
          <w:divBdr>
            <w:top w:val="none" w:sz="0" w:space="0" w:color="auto"/>
            <w:left w:val="none" w:sz="0" w:space="0" w:color="auto"/>
            <w:bottom w:val="none" w:sz="0" w:space="0" w:color="auto"/>
            <w:right w:val="none" w:sz="0" w:space="0" w:color="auto"/>
          </w:divBdr>
        </w:div>
        <w:div w:id="1642072195">
          <w:marLeft w:val="480"/>
          <w:marRight w:val="0"/>
          <w:marTop w:val="0"/>
          <w:marBottom w:val="0"/>
          <w:divBdr>
            <w:top w:val="none" w:sz="0" w:space="0" w:color="auto"/>
            <w:left w:val="none" w:sz="0" w:space="0" w:color="auto"/>
            <w:bottom w:val="none" w:sz="0" w:space="0" w:color="auto"/>
            <w:right w:val="none" w:sz="0" w:space="0" w:color="auto"/>
          </w:divBdr>
        </w:div>
        <w:div w:id="1672414069">
          <w:marLeft w:val="480"/>
          <w:marRight w:val="0"/>
          <w:marTop w:val="0"/>
          <w:marBottom w:val="0"/>
          <w:divBdr>
            <w:top w:val="none" w:sz="0" w:space="0" w:color="auto"/>
            <w:left w:val="none" w:sz="0" w:space="0" w:color="auto"/>
            <w:bottom w:val="none" w:sz="0" w:space="0" w:color="auto"/>
            <w:right w:val="none" w:sz="0" w:space="0" w:color="auto"/>
          </w:divBdr>
        </w:div>
        <w:div w:id="1695570914">
          <w:marLeft w:val="480"/>
          <w:marRight w:val="0"/>
          <w:marTop w:val="0"/>
          <w:marBottom w:val="0"/>
          <w:divBdr>
            <w:top w:val="none" w:sz="0" w:space="0" w:color="auto"/>
            <w:left w:val="none" w:sz="0" w:space="0" w:color="auto"/>
            <w:bottom w:val="none" w:sz="0" w:space="0" w:color="auto"/>
            <w:right w:val="none" w:sz="0" w:space="0" w:color="auto"/>
          </w:divBdr>
        </w:div>
        <w:div w:id="1817069249">
          <w:marLeft w:val="480"/>
          <w:marRight w:val="0"/>
          <w:marTop w:val="0"/>
          <w:marBottom w:val="0"/>
          <w:divBdr>
            <w:top w:val="none" w:sz="0" w:space="0" w:color="auto"/>
            <w:left w:val="none" w:sz="0" w:space="0" w:color="auto"/>
            <w:bottom w:val="none" w:sz="0" w:space="0" w:color="auto"/>
            <w:right w:val="none" w:sz="0" w:space="0" w:color="auto"/>
          </w:divBdr>
        </w:div>
        <w:div w:id="1821576290">
          <w:marLeft w:val="480"/>
          <w:marRight w:val="0"/>
          <w:marTop w:val="0"/>
          <w:marBottom w:val="0"/>
          <w:divBdr>
            <w:top w:val="none" w:sz="0" w:space="0" w:color="auto"/>
            <w:left w:val="none" w:sz="0" w:space="0" w:color="auto"/>
            <w:bottom w:val="none" w:sz="0" w:space="0" w:color="auto"/>
            <w:right w:val="none" w:sz="0" w:space="0" w:color="auto"/>
          </w:divBdr>
        </w:div>
        <w:div w:id="1821842635">
          <w:marLeft w:val="480"/>
          <w:marRight w:val="0"/>
          <w:marTop w:val="0"/>
          <w:marBottom w:val="0"/>
          <w:divBdr>
            <w:top w:val="none" w:sz="0" w:space="0" w:color="auto"/>
            <w:left w:val="none" w:sz="0" w:space="0" w:color="auto"/>
            <w:bottom w:val="none" w:sz="0" w:space="0" w:color="auto"/>
            <w:right w:val="none" w:sz="0" w:space="0" w:color="auto"/>
          </w:divBdr>
        </w:div>
        <w:div w:id="1901552008">
          <w:marLeft w:val="480"/>
          <w:marRight w:val="0"/>
          <w:marTop w:val="0"/>
          <w:marBottom w:val="0"/>
          <w:divBdr>
            <w:top w:val="none" w:sz="0" w:space="0" w:color="auto"/>
            <w:left w:val="none" w:sz="0" w:space="0" w:color="auto"/>
            <w:bottom w:val="none" w:sz="0" w:space="0" w:color="auto"/>
            <w:right w:val="none" w:sz="0" w:space="0" w:color="auto"/>
          </w:divBdr>
        </w:div>
        <w:div w:id="1953630528">
          <w:marLeft w:val="480"/>
          <w:marRight w:val="0"/>
          <w:marTop w:val="0"/>
          <w:marBottom w:val="0"/>
          <w:divBdr>
            <w:top w:val="none" w:sz="0" w:space="0" w:color="auto"/>
            <w:left w:val="none" w:sz="0" w:space="0" w:color="auto"/>
            <w:bottom w:val="none" w:sz="0" w:space="0" w:color="auto"/>
            <w:right w:val="none" w:sz="0" w:space="0" w:color="auto"/>
          </w:divBdr>
        </w:div>
        <w:div w:id="1974748542">
          <w:marLeft w:val="480"/>
          <w:marRight w:val="0"/>
          <w:marTop w:val="0"/>
          <w:marBottom w:val="0"/>
          <w:divBdr>
            <w:top w:val="none" w:sz="0" w:space="0" w:color="auto"/>
            <w:left w:val="none" w:sz="0" w:space="0" w:color="auto"/>
            <w:bottom w:val="none" w:sz="0" w:space="0" w:color="auto"/>
            <w:right w:val="none" w:sz="0" w:space="0" w:color="auto"/>
          </w:divBdr>
        </w:div>
        <w:div w:id="1977292552">
          <w:marLeft w:val="480"/>
          <w:marRight w:val="0"/>
          <w:marTop w:val="0"/>
          <w:marBottom w:val="0"/>
          <w:divBdr>
            <w:top w:val="none" w:sz="0" w:space="0" w:color="auto"/>
            <w:left w:val="none" w:sz="0" w:space="0" w:color="auto"/>
            <w:bottom w:val="none" w:sz="0" w:space="0" w:color="auto"/>
            <w:right w:val="none" w:sz="0" w:space="0" w:color="auto"/>
          </w:divBdr>
        </w:div>
        <w:div w:id="1982882046">
          <w:marLeft w:val="480"/>
          <w:marRight w:val="0"/>
          <w:marTop w:val="0"/>
          <w:marBottom w:val="0"/>
          <w:divBdr>
            <w:top w:val="none" w:sz="0" w:space="0" w:color="auto"/>
            <w:left w:val="none" w:sz="0" w:space="0" w:color="auto"/>
            <w:bottom w:val="none" w:sz="0" w:space="0" w:color="auto"/>
            <w:right w:val="none" w:sz="0" w:space="0" w:color="auto"/>
          </w:divBdr>
        </w:div>
        <w:div w:id="2006856458">
          <w:marLeft w:val="480"/>
          <w:marRight w:val="0"/>
          <w:marTop w:val="0"/>
          <w:marBottom w:val="0"/>
          <w:divBdr>
            <w:top w:val="none" w:sz="0" w:space="0" w:color="auto"/>
            <w:left w:val="none" w:sz="0" w:space="0" w:color="auto"/>
            <w:bottom w:val="none" w:sz="0" w:space="0" w:color="auto"/>
            <w:right w:val="none" w:sz="0" w:space="0" w:color="auto"/>
          </w:divBdr>
        </w:div>
        <w:div w:id="2056729280">
          <w:marLeft w:val="480"/>
          <w:marRight w:val="0"/>
          <w:marTop w:val="0"/>
          <w:marBottom w:val="0"/>
          <w:divBdr>
            <w:top w:val="none" w:sz="0" w:space="0" w:color="auto"/>
            <w:left w:val="none" w:sz="0" w:space="0" w:color="auto"/>
            <w:bottom w:val="none" w:sz="0" w:space="0" w:color="auto"/>
            <w:right w:val="none" w:sz="0" w:space="0" w:color="auto"/>
          </w:divBdr>
        </w:div>
        <w:div w:id="2066561080">
          <w:marLeft w:val="480"/>
          <w:marRight w:val="0"/>
          <w:marTop w:val="0"/>
          <w:marBottom w:val="0"/>
          <w:divBdr>
            <w:top w:val="none" w:sz="0" w:space="0" w:color="auto"/>
            <w:left w:val="none" w:sz="0" w:space="0" w:color="auto"/>
            <w:bottom w:val="none" w:sz="0" w:space="0" w:color="auto"/>
            <w:right w:val="none" w:sz="0" w:space="0" w:color="auto"/>
          </w:divBdr>
        </w:div>
        <w:div w:id="2080054284">
          <w:marLeft w:val="480"/>
          <w:marRight w:val="0"/>
          <w:marTop w:val="0"/>
          <w:marBottom w:val="0"/>
          <w:divBdr>
            <w:top w:val="none" w:sz="0" w:space="0" w:color="auto"/>
            <w:left w:val="none" w:sz="0" w:space="0" w:color="auto"/>
            <w:bottom w:val="none" w:sz="0" w:space="0" w:color="auto"/>
            <w:right w:val="none" w:sz="0" w:space="0" w:color="auto"/>
          </w:divBdr>
        </w:div>
        <w:div w:id="2107457971">
          <w:marLeft w:val="480"/>
          <w:marRight w:val="0"/>
          <w:marTop w:val="0"/>
          <w:marBottom w:val="0"/>
          <w:divBdr>
            <w:top w:val="none" w:sz="0" w:space="0" w:color="auto"/>
            <w:left w:val="none" w:sz="0" w:space="0" w:color="auto"/>
            <w:bottom w:val="none" w:sz="0" w:space="0" w:color="auto"/>
            <w:right w:val="none" w:sz="0" w:space="0" w:color="auto"/>
          </w:divBdr>
        </w:div>
        <w:div w:id="2142183426">
          <w:marLeft w:val="480"/>
          <w:marRight w:val="0"/>
          <w:marTop w:val="0"/>
          <w:marBottom w:val="0"/>
          <w:divBdr>
            <w:top w:val="none" w:sz="0" w:space="0" w:color="auto"/>
            <w:left w:val="none" w:sz="0" w:space="0" w:color="auto"/>
            <w:bottom w:val="none" w:sz="0" w:space="0" w:color="auto"/>
            <w:right w:val="none" w:sz="0" w:space="0" w:color="auto"/>
          </w:divBdr>
        </w:div>
      </w:divsChild>
    </w:div>
    <w:div w:id="271866083">
      <w:bodyDiv w:val="1"/>
      <w:marLeft w:val="0"/>
      <w:marRight w:val="0"/>
      <w:marTop w:val="0"/>
      <w:marBottom w:val="0"/>
      <w:divBdr>
        <w:top w:val="none" w:sz="0" w:space="0" w:color="auto"/>
        <w:left w:val="none" w:sz="0" w:space="0" w:color="auto"/>
        <w:bottom w:val="none" w:sz="0" w:space="0" w:color="auto"/>
        <w:right w:val="none" w:sz="0" w:space="0" w:color="auto"/>
      </w:divBdr>
    </w:div>
    <w:div w:id="273251697">
      <w:bodyDiv w:val="1"/>
      <w:marLeft w:val="0"/>
      <w:marRight w:val="0"/>
      <w:marTop w:val="0"/>
      <w:marBottom w:val="0"/>
      <w:divBdr>
        <w:top w:val="none" w:sz="0" w:space="0" w:color="auto"/>
        <w:left w:val="none" w:sz="0" w:space="0" w:color="auto"/>
        <w:bottom w:val="none" w:sz="0" w:space="0" w:color="auto"/>
        <w:right w:val="none" w:sz="0" w:space="0" w:color="auto"/>
      </w:divBdr>
    </w:div>
    <w:div w:id="283461504">
      <w:bodyDiv w:val="1"/>
      <w:marLeft w:val="0"/>
      <w:marRight w:val="0"/>
      <w:marTop w:val="0"/>
      <w:marBottom w:val="0"/>
      <w:divBdr>
        <w:top w:val="none" w:sz="0" w:space="0" w:color="auto"/>
        <w:left w:val="none" w:sz="0" w:space="0" w:color="auto"/>
        <w:bottom w:val="none" w:sz="0" w:space="0" w:color="auto"/>
        <w:right w:val="none" w:sz="0" w:space="0" w:color="auto"/>
      </w:divBdr>
    </w:div>
    <w:div w:id="290475296">
      <w:bodyDiv w:val="1"/>
      <w:marLeft w:val="0"/>
      <w:marRight w:val="0"/>
      <w:marTop w:val="0"/>
      <w:marBottom w:val="0"/>
      <w:divBdr>
        <w:top w:val="none" w:sz="0" w:space="0" w:color="auto"/>
        <w:left w:val="none" w:sz="0" w:space="0" w:color="auto"/>
        <w:bottom w:val="none" w:sz="0" w:space="0" w:color="auto"/>
        <w:right w:val="none" w:sz="0" w:space="0" w:color="auto"/>
      </w:divBdr>
    </w:div>
    <w:div w:id="295182978">
      <w:bodyDiv w:val="1"/>
      <w:marLeft w:val="0"/>
      <w:marRight w:val="0"/>
      <w:marTop w:val="0"/>
      <w:marBottom w:val="0"/>
      <w:divBdr>
        <w:top w:val="none" w:sz="0" w:space="0" w:color="auto"/>
        <w:left w:val="none" w:sz="0" w:space="0" w:color="auto"/>
        <w:bottom w:val="none" w:sz="0" w:space="0" w:color="auto"/>
        <w:right w:val="none" w:sz="0" w:space="0" w:color="auto"/>
      </w:divBdr>
    </w:div>
    <w:div w:id="298078357">
      <w:bodyDiv w:val="1"/>
      <w:marLeft w:val="0"/>
      <w:marRight w:val="0"/>
      <w:marTop w:val="0"/>
      <w:marBottom w:val="0"/>
      <w:divBdr>
        <w:top w:val="none" w:sz="0" w:space="0" w:color="auto"/>
        <w:left w:val="none" w:sz="0" w:space="0" w:color="auto"/>
        <w:bottom w:val="none" w:sz="0" w:space="0" w:color="auto"/>
        <w:right w:val="none" w:sz="0" w:space="0" w:color="auto"/>
      </w:divBdr>
    </w:div>
    <w:div w:id="298189243">
      <w:bodyDiv w:val="1"/>
      <w:marLeft w:val="0"/>
      <w:marRight w:val="0"/>
      <w:marTop w:val="0"/>
      <w:marBottom w:val="0"/>
      <w:divBdr>
        <w:top w:val="none" w:sz="0" w:space="0" w:color="auto"/>
        <w:left w:val="none" w:sz="0" w:space="0" w:color="auto"/>
        <w:bottom w:val="none" w:sz="0" w:space="0" w:color="auto"/>
        <w:right w:val="none" w:sz="0" w:space="0" w:color="auto"/>
      </w:divBdr>
    </w:div>
    <w:div w:id="305402722">
      <w:bodyDiv w:val="1"/>
      <w:marLeft w:val="0"/>
      <w:marRight w:val="0"/>
      <w:marTop w:val="0"/>
      <w:marBottom w:val="0"/>
      <w:divBdr>
        <w:top w:val="none" w:sz="0" w:space="0" w:color="auto"/>
        <w:left w:val="none" w:sz="0" w:space="0" w:color="auto"/>
        <w:bottom w:val="none" w:sz="0" w:space="0" w:color="auto"/>
        <w:right w:val="none" w:sz="0" w:space="0" w:color="auto"/>
      </w:divBdr>
      <w:divsChild>
        <w:div w:id="29573686">
          <w:marLeft w:val="480"/>
          <w:marRight w:val="0"/>
          <w:marTop w:val="0"/>
          <w:marBottom w:val="0"/>
          <w:divBdr>
            <w:top w:val="none" w:sz="0" w:space="0" w:color="auto"/>
            <w:left w:val="none" w:sz="0" w:space="0" w:color="auto"/>
            <w:bottom w:val="none" w:sz="0" w:space="0" w:color="auto"/>
            <w:right w:val="none" w:sz="0" w:space="0" w:color="auto"/>
          </w:divBdr>
        </w:div>
        <w:div w:id="47265466">
          <w:marLeft w:val="480"/>
          <w:marRight w:val="0"/>
          <w:marTop w:val="0"/>
          <w:marBottom w:val="0"/>
          <w:divBdr>
            <w:top w:val="none" w:sz="0" w:space="0" w:color="auto"/>
            <w:left w:val="none" w:sz="0" w:space="0" w:color="auto"/>
            <w:bottom w:val="none" w:sz="0" w:space="0" w:color="auto"/>
            <w:right w:val="none" w:sz="0" w:space="0" w:color="auto"/>
          </w:divBdr>
        </w:div>
        <w:div w:id="65957159">
          <w:marLeft w:val="480"/>
          <w:marRight w:val="0"/>
          <w:marTop w:val="0"/>
          <w:marBottom w:val="0"/>
          <w:divBdr>
            <w:top w:val="none" w:sz="0" w:space="0" w:color="auto"/>
            <w:left w:val="none" w:sz="0" w:space="0" w:color="auto"/>
            <w:bottom w:val="none" w:sz="0" w:space="0" w:color="auto"/>
            <w:right w:val="none" w:sz="0" w:space="0" w:color="auto"/>
          </w:divBdr>
        </w:div>
        <w:div w:id="183400795">
          <w:marLeft w:val="480"/>
          <w:marRight w:val="0"/>
          <w:marTop w:val="0"/>
          <w:marBottom w:val="0"/>
          <w:divBdr>
            <w:top w:val="none" w:sz="0" w:space="0" w:color="auto"/>
            <w:left w:val="none" w:sz="0" w:space="0" w:color="auto"/>
            <w:bottom w:val="none" w:sz="0" w:space="0" w:color="auto"/>
            <w:right w:val="none" w:sz="0" w:space="0" w:color="auto"/>
          </w:divBdr>
        </w:div>
        <w:div w:id="325597729">
          <w:marLeft w:val="480"/>
          <w:marRight w:val="0"/>
          <w:marTop w:val="0"/>
          <w:marBottom w:val="0"/>
          <w:divBdr>
            <w:top w:val="none" w:sz="0" w:space="0" w:color="auto"/>
            <w:left w:val="none" w:sz="0" w:space="0" w:color="auto"/>
            <w:bottom w:val="none" w:sz="0" w:space="0" w:color="auto"/>
            <w:right w:val="none" w:sz="0" w:space="0" w:color="auto"/>
          </w:divBdr>
        </w:div>
        <w:div w:id="364209971">
          <w:marLeft w:val="480"/>
          <w:marRight w:val="0"/>
          <w:marTop w:val="0"/>
          <w:marBottom w:val="0"/>
          <w:divBdr>
            <w:top w:val="none" w:sz="0" w:space="0" w:color="auto"/>
            <w:left w:val="none" w:sz="0" w:space="0" w:color="auto"/>
            <w:bottom w:val="none" w:sz="0" w:space="0" w:color="auto"/>
            <w:right w:val="none" w:sz="0" w:space="0" w:color="auto"/>
          </w:divBdr>
        </w:div>
        <w:div w:id="386301116">
          <w:marLeft w:val="480"/>
          <w:marRight w:val="0"/>
          <w:marTop w:val="0"/>
          <w:marBottom w:val="0"/>
          <w:divBdr>
            <w:top w:val="none" w:sz="0" w:space="0" w:color="auto"/>
            <w:left w:val="none" w:sz="0" w:space="0" w:color="auto"/>
            <w:bottom w:val="none" w:sz="0" w:space="0" w:color="auto"/>
            <w:right w:val="none" w:sz="0" w:space="0" w:color="auto"/>
          </w:divBdr>
        </w:div>
        <w:div w:id="389576256">
          <w:marLeft w:val="480"/>
          <w:marRight w:val="0"/>
          <w:marTop w:val="0"/>
          <w:marBottom w:val="0"/>
          <w:divBdr>
            <w:top w:val="none" w:sz="0" w:space="0" w:color="auto"/>
            <w:left w:val="none" w:sz="0" w:space="0" w:color="auto"/>
            <w:bottom w:val="none" w:sz="0" w:space="0" w:color="auto"/>
            <w:right w:val="none" w:sz="0" w:space="0" w:color="auto"/>
          </w:divBdr>
        </w:div>
        <w:div w:id="402415295">
          <w:marLeft w:val="480"/>
          <w:marRight w:val="0"/>
          <w:marTop w:val="0"/>
          <w:marBottom w:val="0"/>
          <w:divBdr>
            <w:top w:val="none" w:sz="0" w:space="0" w:color="auto"/>
            <w:left w:val="none" w:sz="0" w:space="0" w:color="auto"/>
            <w:bottom w:val="none" w:sz="0" w:space="0" w:color="auto"/>
            <w:right w:val="none" w:sz="0" w:space="0" w:color="auto"/>
          </w:divBdr>
        </w:div>
        <w:div w:id="438986038">
          <w:marLeft w:val="480"/>
          <w:marRight w:val="0"/>
          <w:marTop w:val="0"/>
          <w:marBottom w:val="0"/>
          <w:divBdr>
            <w:top w:val="none" w:sz="0" w:space="0" w:color="auto"/>
            <w:left w:val="none" w:sz="0" w:space="0" w:color="auto"/>
            <w:bottom w:val="none" w:sz="0" w:space="0" w:color="auto"/>
            <w:right w:val="none" w:sz="0" w:space="0" w:color="auto"/>
          </w:divBdr>
        </w:div>
        <w:div w:id="443112638">
          <w:marLeft w:val="480"/>
          <w:marRight w:val="0"/>
          <w:marTop w:val="0"/>
          <w:marBottom w:val="0"/>
          <w:divBdr>
            <w:top w:val="none" w:sz="0" w:space="0" w:color="auto"/>
            <w:left w:val="none" w:sz="0" w:space="0" w:color="auto"/>
            <w:bottom w:val="none" w:sz="0" w:space="0" w:color="auto"/>
            <w:right w:val="none" w:sz="0" w:space="0" w:color="auto"/>
          </w:divBdr>
        </w:div>
        <w:div w:id="474489581">
          <w:marLeft w:val="480"/>
          <w:marRight w:val="0"/>
          <w:marTop w:val="0"/>
          <w:marBottom w:val="0"/>
          <w:divBdr>
            <w:top w:val="none" w:sz="0" w:space="0" w:color="auto"/>
            <w:left w:val="none" w:sz="0" w:space="0" w:color="auto"/>
            <w:bottom w:val="none" w:sz="0" w:space="0" w:color="auto"/>
            <w:right w:val="none" w:sz="0" w:space="0" w:color="auto"/>
          </w:divBdr>
        </w:div>
        <w:div w:id="558175406">
          <w:marLeft w:val="480"/>
          <w:marRight w:val="0"/>
          <w:marTop w:val="0"/>
          <w:marBottom w:val="0"/>
          <w:divBdr>
            <w:top w:val="none" w:sz="0" w:space="0" w:color="auto"/>
            <w:left w:val="none" w:sz="0" w:space="0" w:color="auto"/>
            <w:bottom w:val="none" w:sz="0" w:space="0" w:color="auto"/>
            <w:right w:val="none" w:sz="0" w:space="0" w:color="auto"/>
          </w:divBdr>
        </w:div>
        <w:div w:id="605388127">
          <w:marLeft w:val="480"/>
          <w:marRight w:val="0"/>
          <w:marTop w:val="0"/>
          <w:marBottom w:val="0"/>
          <w:divBdr>
            <w:top w:val="none" w:sz="0" w:space="0" w:color="auto"/>
            <w:left w:val="none" w:sz="0" w:space="0" w:color="auto"/>
            <w:bottom w:val="none" w:sz="0" w:space="0" w:color="auto"/>
            <w:right w:val="none" w:sz="0" w:space="0" w:color="auto"/>
          </w:divBdr>
        </w:div>
        <w:div w:id="613709005">
          <w:marLeft w:val="480"/>
          <w:marRight w:val="0"/>
          <w:marTop w:val="0"/>
          <w:marBottom w:val="0"/>
          <w:divBdr>
            <w:top w:val="none" w:sz="0" w:space="0" w:color="auto"/>
            <w:left w:val="none" w:sz="0" w:space="0" w:color="auto"/>
            <w:bottom w:val="none" w:sz="0" w:space="0" w:color="auto"/>
            <w:right w:val="none" w:sz="0" w:space="0" w:color="auto"/>
          </w:divBdr>
        </w:div>
        <w:div w:id="667174299">
          <w:marLeft w:val="480"/>
          <w:marRight w:val="0"/>
          <w:marTop w:val="0"/>
          <w:marBottom w:val="0"/>
          <w:divBdr>
            <w:top w:val="none" w:sz="0" w:space="0" w:color="auto"/>
            <w:left w:val="none" w:sz="0" w:space="0" w:color="auto"/>
            <w:bottom w:val="none" w:sz="0" w:space="0" w:color="auto"/>
            <w:right w:val="none" w:sz="0" w:space="0" w:color="auto"/>
          </w:divBdr>
        </w:div>
        <w:div w:id="681081969">
          <w:marLeft w:val="480"/>
          <w:marRight w:val="0"/>
          <w:marTop w:val="0"/>
          <w:marBottom w:val="0"/>
          <w:divBdr>
            <w:top w:val="none" w:sz="0" w:space="0" w:color="auto"/>
            <w:left w:val="none" w:sz="0" w:space="0" w:color="auto"/>
            <w:bottom w:val="none" w:sz="0" w:space="0" w:color="auto"/>
            <w:right w:val="none" w:sz="0" w:space="0" w:color="auto"/>
          </w:divBdr>
        </w:div>
        <w:div w:id="716128773">
          <w:marLeft w:val="480"/>
          <w:marRight w:val="0"/>
          <w:marTop w:val="0"/>
          <w:marBottom w:val="0"/>
          <w:divBdr>
            <w:top w:val="none" w:sz="0" w:space="0" w:color="auto"/>
            <w:left w:val="none" w:sz="0" w:space="0" w:color="auto"/>
            <w:bottom w:val="none" w:sz="0" w:space="0" w:color="auto"/>
            <w:right w:val="none" w:sz="0" w:space="0" w:color="auto"/>
          </w:divBdr>
        </w:div>
        <w:div w:id="717778386">
          <w:marLeft w:val="480"/>
          <w:marRight w:val="0"/>
          <w:marTop w:val="0"/>
          <w:marBottom w:val="0"/>
          <w:divBdr>
            <w:top w:val="none" w:sz="0" w:space="0" w:color="auto"/>
            <w:left w:val="none" w:sz="0" w:space="0" w:color="auto"/>
            <w:bottom w:val="none" w:sz="0" w:space="0" w:color="auto"/>
            <w:right w:val="none" w:sz="0" w:space="0" w:color="auto"/>
          </w:divBdr>
        </w:div>
        <w:div w:id="745155164">
          <w:marLeft w:val="480"/>
          <w:marRight w:val="0"/>
          <w:marTop w:val="0"/>
          <w:marBottom w:val="0"/>
          <w:divBdr>
            <w:top w:val="none" w:sz="0" w:space="0" w:color="auto"/>
            <w:left w:val="none" w:sz="0" w:space="0" w:color="auto"/>
            <w:bottom w:val="none" w:sz="0" w:space="0" w:color="auto"/>
            <w:right w:val="none" w:sz="0" w:space="0" w:color="auto"/>
          </w:divBdr>
        </w:div>
        <w:div w:id="789932284">
          <w:marLeft w:val="480"/>
          <w:marRight w:val="0"/>
          <w:marTop w:val="0"/>
          <w:marBottom w:val="0"/>
          <w:divBdr>
            <w:top w:val="none" w:sz="0" w:space="0" w:color="auto"/>
            <w:left w:val="none" w:sz="0" w:space="0" w:color="auto"/>
            <w:bottom w:val="none" w:sz="0" w:space="0" w:color="auto"/>
            <w:right w:val="none" w:sz="0" w:space="0" w:color="auto"/>
          </w:divBdr>
        </w:div>
        <w:div w:id="837891764">
          <w:marLeft w:val="480"/>
          <w:marRight w:val="0"/>
          <w:marTop w:val="0"/>
          <w:marBottom w:val="0"/>
          <w:divBdr>
            <w:top w:val="none" w:sz="0" w:space="0" w:color="auto"/>
            <w:left w:val="none" w:sz="0" w:space="0" w:color="auto"/>
            <w:bottom w:val="none" w:sz="0" w:space="0" w:color="auto"/>
            <w:right w:val="none" w:sz="0" w:space="0" w:color="auto"/>
          </w:divBdr>
        </w:div>
        <w:div w:id="917130289">
          <w:marLeft w:val="480"/>
          <w:marRight w:val="0"/>
          <w:marTop w:val="0"/>
          <w:marBottom w:val="0"/>
          <w:divBdr>
            <w:top w:val="none" w:sz="0" w:space="0" w:color="auto"/>
            <w:left w:val="none" w:sz="0" w:space="0" w:color="auto"/>
            <w:bottom w:val="none" w:sz="0" w:space="0" w:color="auto"/>
            <w:right w:val="none" w:sz="0" w:space="0" w:color="auto"/>
          </w:divBdr>
        </w:div>
        <w:div w:id="929389672">
          <w:marLeft w:val="480"/>
          <w:marRight w:val="0"/>
          <w:marTop w:val="0"/>
          <w:marBottom w:val="0"/>
          <w:divBdr>
            <w:top w:val="none" w:sz="0" w:space="0" w:color="auto"/>
            <w:left w:val="none" w:sz="0" w:space="0" w:color="auto"/>
            <w:bottom w:val="none" w:sz="0" w:space="0" w:color="auto"/>
            <w:right w:val="none" w:sz="0" w:space="0" w:color="auto"/>
          </w:divBdr>
        </w:div>
        <w:div w:id="936905062">
          <w:marLeft w:val="480"/>
          <w:marRight w:val="0"/>
          <w:marTop w:val="0"/>
          <w:marBottom w:val="0"/>
          <w:divBdr>
            <w:top w:val="none" w:sz="0" w:space="0" w:color="auto"/>
            <w:left w:val="none" w:sz="0" w:space="0" w:color="auto"/>
            <w:bottom w:val="none" w:sz="0" w:space="0" w:color="auto"/>
            <w:right w:val="none" w:sz="0" w:space="0" w:color="auto"/>
          </w:divBdr>
        </w:div>
        <w:div w:id="1149715074">
          <w:marLeft w:val="480"/>
          <w:marRight w:val="0"/>
          <w:marTop w:val="0"/>
          <w:marBottom w:val="0"/>
          <w:divBdr>
            <w:top w:val="none" w:sz="0" w:space="0" w:color="auto"/>
            <w:left w:val="none" w:sz="0" w:space="0" w:color="auto"/>
            <w:bottom w:val="none" w:sz="0" w:space="0" w:color="auto"/>
            <w:right w:val="none" w:sz="0" w:space="0" w:color="auto"/>
          </w:divBdr>
        </w:div>
        <w:div w:id="1188717382">
          <w:marLeft w:val="480"/>
          <w:marRight w:val="0"/>
          <w:marTop w:val="0"/>
          <w:marBottom w:val="0"/>
          <w:divBdr>
            <w:top w:val="none" w:sz="0" w:space="0" w:color="auto"/>
            <w:left w:val="none" w:sz="0" w:space="0" w:color="auto"/>
            <w:bottom w:val="none" w:sz="0" w:space="0" w:color="auto"/>
            <w:right w:val="none" w:sz="0" w:space="0" w:color="auto"/>
          </w:divBdr>
        </w:div>
        <w:div w:id="1273980711">
          <w:marLeft w:val="480"/>
          <w:marRight w:val="0"/>
          <w:marTop w:val="0"/>
          <w:marBottom w:val="0"/>
          <w:divBdr>
            <w:top w:val="none" w:sz="0" w:space="0" w:color="auto"/>
            <w:left w:val="none" w:sz="0" w:space="0" w:color="auto"/>
            <w:bottom w:val="none" w:sz="0" w:space="0" w:color="auto"/>
            <w:right w:val="none" w:sz="0" w:space="0" w:color="auto"/>
          </w:divBdr>
        </w:div>
        <w:div w:id="1284459053">
          <w:marLeft w:val="480"/>
          <w:marRight w:val="0"/>
          <w:marTop w:val="0"/>
          <w:marBottom w:val="0"/>
          <w:divBdr>
            <w:top w:val="none" w:sz="0" w:space="0" w:color="auto"/>
            <w:left w:val="none" w:sz="0" w:space="0" w:color="auto"/>
            <w:bottom w:val="none" w:sz="0" w:space="0" w:color="auto"/>
            <w:right w:val="none" w:sz="0" w:space="0" w:color="auto"/>
          </w:divBdr>
        </w:div>
        <w:div w:id="1305086029">
          <w:marLeft w:val="480"/>
          <w:marRight w:val="0"/>
          <w:marTop w:val="0"/>
          <w:marBottom w:val="0"/>
          <w:divBdr>
            <w:top w:val="none" w:sz="0" w:space="0" w:color="auto"/>
            <w:left w:val="none" w:sz="0" w:space="0" w:color="auto"/>
            <w:bottom w:val="none" w:sz="0" w:space="0" w:color="auto"/>
            <w:right w:val="none" w:sz="0" w:space="0" w:color="auto"/>
          </w:divBdr>
        </w:div>
        <w:div w:id="1384209066">
          <w:marLeft w:val="480"/>
          <w:marRight w:val="0"/>
          <w:marTop w:val="0"/>
          <w:marBottom w:val="0"/>
          <w:divBdr>
            <w:top w:val="none" w:sz="0" w:space="0" w:color="auto"/>
            <w:left w:val="none" w:sz="0" w:space="0" w:color="auto"/>
            <w:bottom w:val="none" w:sz="0" w:space="0" w:color="auto"/>
            <w:right w:val="none" w:sz="0" w:space="0" w:color="auto"/>
          </w:divBdr>
        </w:div>
        <w:div w:id="1425689524">
          <w:marLeft w:val="480"/>
          <w:marRight w:val="0"/>
          <w:marTop w:val="0"/>
          <w:marBottom w:val="0"/>
          <w:divBdr>
            <w:top w:val="none" w:sz="0" w:space="0" w:color="auto"/>
            <w:left w:val="none" w:sz="0" w:space="0" w:color="auto"/>
            <w:bottom w:val="none" w:sz="0" w:space="0" w:color="auto"/>
            <w:right w:val="none" w:sz="0" w:space="0" w:color="auto"/>
          </w:divBdr>
        </w:div>
        <w:div w:id="1463690310">
          <w:marLeft w:val="480"/>
          <w:marRight w:val="0"/>
          <w:marTop w:val="0"/>
          <w:marBottom w:val="0"/>
          <w:divBdr>
            <w:top w:val="none" w:sz="0" w:space="0" w:color="auto"/>
            <w:left w:val="none" w:sz="0" w:space="0" w:color="auto"/>
            <w:bottom w:val="none" w:sz="0" w:space="0" w:color="auto"/>
            <w:right w:val="none" w:sz="0" w:space="0" w:color="auto"/>
          </w:divBdr>
        </w:div>
        <w:div w:id="1471245751">
          <w:marLeft w:val="480"/>
          <w:marRight w:val="0"/>
          <w:marTop w:val="0"/>
          <w:marBottom w:val="0"/>
          <w:divBdr>
            <w:top w:val="none" w:sz="0" w:space="0" w:color="auto"/>
            <w:left w:val="none" w:sz="0" w:space="0" w:color="auto"/>
            <w:bottom w:val="none" w:sz="0" w:space="0" w:color="auto"/>
            <w:right w:val="none" w:sz="0" w:space="0" w:color="auto"/>
          </w:divBdr>
        </w:div>
        <w:div w:id="1479296452">
          <w:marLeft w:val="480"/>
          <w:marRight w:val="0"/>
          <w:marTop w:val="0"/>
          <w:marBottom w:val="0"/>
          <w:divBdr>
            <w:top w:val="none" w:sz="0" w:space="0" w:color="auto"/>
            <w:left w:val="none" w:sz="0" w:space="0" w:color="auto"/>
            <w:bottom w:val="none" w:sz="0" w:space="0" w:color="auto"/>
            <w:right w:val="none" w:sz="0" w:space="0" w:color="auto"/>
          </w:divBdr>
        </w:div>
        <w:div w:id="1487742454">
          <w:marLeft w:val="480"/>
          <w:marRight w:val="0"/>
          <w:marTop w:val="0"/>
          <w:marBottom w:val="0"/>
          <w:divBdr>
            <w:top w:val="none" w:sz="0" w:space="0" w:color="auto"/>
            <w:left w:val="none" w:sz="0" w:space="0" w:color="auto"/>
            <w:bottom w:val="none" w:sz="0" w:space="0" w:color="auto"/>
            <w:right w:val="none" w:sz="0" w:space="0" w:color="auto"/>
          </w:divBdr>
        </w:div>
        <w:div w:id="1490096274">
          <w:marLeft w:val="480"/>
          <w:marRight w:val="0"/>
          <w:marTop w:val="0"/>
          <w:marBottom w:val="0"/>
          <w:divBdr>
            <w:top w:val="none" w:sz="0" w:space="0" w:color="auto"/>
            <w:left w:val="none" w:sz="0" w:space="0" w:color="auto"/>
            <w:bottom w:val="none" w:sz="0" w:space="0" w:color="auto"/>
            <w:right w:val="none" w:sz="0" w:space="0" w:color="auto"/>
          </w:divBdr>
        </w:div>
        <w:div w:id="1491484315">
          <w:marLeft w:val="480"/>
          <w:marRight w:val="0"/>
          <w:marTop w:val="0"/>
          <w:marBottom w:val="0"/>
          <w:divBdr>
            <w:top w:val="none" w:sz="0" w:space="0" w:color="auto"/>
            <w:left w:val="none" w:sz="0" w:space="0" w:color="auto"/>
            <w:bottom w:val="none" w:sz="0" w:space="0" w:color="auto"/>
            <w:right w:val="none" w:sz="0" w:space="0" w:color="auto"/>
          </w:divBdr>
        </w:div>
        <w:div w:id="1510370845">
          <w:marLeft w:val="480"/>
          <w:marRight w:val="0"/>
          <w:marTop w:val="0"/>
          <w:marBottom w:val="0"/>
          <w:divBdr>
            <w:top w:val="none" w:sz="0" w:space="0" w:color="auto"/>
            <w:left w:val="none" w:sz="0" w:space="0" w:color="auto"/>
            <w:bottom w:val="none" w:sz="0" w:space="0" w:color="auto"/>
            <w:right w:val="none" w:sz="0" w:space="0" w:color="auto"/>
          </w:divBdr>
        </w:div>
        <w:div w:id="1519348232">
          <w:marLeft w:val="480"/>
          <w:marRight w:val="0"/>
          <w:marTop w:val="0"/>
          <w:marBottom w:val="0"/>
          <w:divBdr>
            <w:top w:val="none" w:sz="0" w:space="0" w:color="auto"/>
            <w:left w:val="none" w:sz="0" w:space="0" w:color="auto"/>
            <w:bottom w:val="none" w:sz="0" w:space="0" w:color="auto"/>
            <w:right w:val="none" w:sz="0" w:space="0" w:color="auto"/>
          </w:divBdr>
        </w:div>
        <w:div w:id="1529755945">
          <w:marLeft w:val="480"/>
          <w:marRight w:val="0"/>
          <w:marTop w:val="0"/>
          <w:marBottom w:val="0"/>
          <w:divBdr>
            <w:top w:val="none" w:sz="0" w:space="0" w:color="auto"/>
            <w:left w:val="none" w:sz="0" w:space="0" w:color="auto"/>
            <w:bottom w:val="none" w:sz="0" w:space="0" w:color="auto"/>
            <w:right w:val="none" w:sz="0" w:space="0" w:color="auto"/>
          </w:divBdr>
        </w:div>
        <w:div w:id="1597136648">
          <w:marLeft w:val="480"/>
          <w:marRight w:val="0"/>
          <w:marTop w:val="0"/>
          <w:marBottom w:val="0"/>
          <w:divBdr>
            <w:top w:val="none" w:sz="0" w:space="0" w:color="auto"/>
            <w:left w:val="none" w:sz="0" w:space="0" w:color="auto"/>
            <w:bottom w:val="none" w:sz="0" w:space="0" w:color="auto"/>
            <w:right w:val="none" w:sz="0" w:space="0" w:color="auto"/>
          </w:divBdr>
        </w:div>
        <w:div w:id="1613979438">
          <w:marLeft w:val="480"/>
          <w:marRight w:val="0"/>
          <w:marTop w:val="0"/>
          <w:marBottom w:val="0"/>
          <w:divBdr>
            <w:top w:val="none" w:sz="0" w:space="0" w:color="auto"/>
            <w:left w:val="none" w:sz="0" w:space="0" w:color="auto"/>
            <w:bottom w:val="none" w:sz="0" w:space="0" w:color="auto"/>
            <w:right w:val="none" w:sz="0" w:space="0" w:color="auto"/>
          </w:divBdr>
        </w:div>
        <w:div w:id="1623804715">
          <w:marLeft w:val="480"/>
          <w:marRight w:val="0"/>
          <w:marTop w:val="0"/>
          <w:marBottom w:val="0"/>
          <w:divBdr>
            <w:top w:val="none" w:sz="0" w:space="0" w:color="auto"/>
            <w:left w:val="none" w:sz="0" w:space="0" w:color="auto"/>
            <w:bottom w:val="none" w:sz="0" w:space="0" w:color="auto"/>
            <w:right w:val="none" w:sz="0" w:space="0" w:color="auto"/>
          </w:divBdr>
        </w:div>
        <w:div w:id="1636369339">
          <w:marLeft w:val="480"/>
          <w:marRight w:val="0"/>
          <w:marTop w:val="0"/>
          <w:marBottom w:val="0"/>
          <w:divBdr>
            <w:top w:val="none" w:sz="0" w:space="0" w:color="auto"/>
            <w:left w:val="none" w:sz="0" w:space="0" w:color="auto"/>
            <w:bottom w:val="none" w:sz="0" w:space="0" w:color="auto"/>
            <w:right w:val="none" w:sz="0" w:space="0" w:color="auto"/>
          </w:divBdr>
        </w:div>
        <w:div w:id="1661343648">
          <w:marLeft w:val="480"/>
          <w:marRight w:val="0"/>
          <w:marTop w:val="0"/>
          <w:marBottom w:val="0"/>
          <w:divBdr>
            <w:top w:val="none" w:sz="0" w:space="0" w:color="auto"/>
            <w:left w:val="none" w:sz="0" w:space="0" w:color="auto"/>
            <w:bottom w:val="none" w:sz="0" w:space="0" w:color="auto"/>
            <w:right w:val="none" w:sz="0" w:space="0" w:color="auto"/>
          </w:divBdr>
        </w:div>
        <w:div w:id="1679388565">
          <w:marLeft w:val="480"/>
          <w:marRight w:val="0"/>
          <w:marTop w:val="0"/>
          <w:marBottom w:val="0"/>
          <w:divBdr>
            <w:top w:val="none" w:sz="0" w:space="0" w:color="auto"/>
            <w:left w:val="none" w:sz="0" w:space="0" w:color="auto"/>
            <w:bottom w:val="none" w:sz="0" w:space="0" w:color="auto"/>
            <w:right w:val="none" w:sz="0" w:space="0" w:color="auto"/>
          </w:divBdr>
        </w:div>
        <w:div w:id="1716006053">
          <w:marLeft w:val="480"/>
          <w:marRight w:val="0"/>
          <w:marTop w:val="0"/>
          <w:marBottom w:val="0"/>
          <w:divBdr>
            <w:top w:val="none" w:sz="0" w:space="0" w:color="auto"/>
            <w:left w:val="none" w:sz="0" w:space="0" w:color="auto"/>
            <w:bottom w:val="none" w:sz="0" w:space="0" w:color="auto"/>
            <w:right w:val="none" w:sz="0" w:space="0" w:color="auto"/>
          </w:divBdr>
        </w:div>
        <w:div w:id="1813399800">
          <w:marLeft w:val="480"/>
          <w:marRight w:val="0"/>
          <w:marTop w:val="0"/>
          <w:marBottom w:val="0"/>
          <w:divBdr>
            <w:top w:val="none" w:sz="0" w:space="0" w:color="auto"/>
            <w:left w:val="none" w:sz="0" w:space="0" w:color="auto"/>
            <w:bottom w:val="none" w:sz="0" w:space="0" w:color="auto"/>
            <w:right w:val="none" w:sz="0" w:space="0" w:color="auto"/>
          </w:divBdr>
        </w:div>
        <w:div w:id="1830242150">
          <w:marLeft w:val="480"/>
          <w:marRight w:val="0"/>
          <w:marTop w:val="0"/>
          <w:marBottom w:val="0"/>
          <w:divBdr>
            <w:top w:val="none" w:sz="0" w:space="0" w:color="auto"/>
            <w:left w:val="none" w:sz="0" w:space="0" w:color="auto"/>
            <w:bottom w:val="none" w:sz="0" w:space="0" w:color="auto"/>
            <w:right w:val="none" w:sz="0" w:space="0" w:color="auto"/>
          </w:divBdr>
        </w:div>
        <w:div w:id="1911773239">
          <w:marLeft w:val="480"/>
          <w:marRight w:val="0"/>
          <w:marTop w:val="0"/>
          <w:marBottom w:val="0"/>
          <w:divBdr>
            <w:top w:val="none" w:sz="0" w:space="0" w:color="auto"/>
            <w:left w:val="none" w:sz="0" w:space="0" w:color="auto"/>
            <w:bottom w:val="none" w:sz="0" w:space="0" w:color="auto"/>
            <w:right w:val="none" w:sz="0" w:space="0" w:color="auto"/>
          </w:divBdr>
        </w:div>
        <w:div w:id="2004160174">
          <w:marLeft w:val="480"/>
          <w:marRight w:val="0"/>
          <w:marTop w:val="0"/>
          <w:marBottom w:val="0"/>
          <w:divBdr>
            <w:top w:val="none" w:sz="0" w:space="0" w:color="auto"/>
            <w:left w:val="none" w:sz="0" w:space="0" w:color="auto"/>
            <w:bottom w:val="none" w:sz="0" w:space="0" w:color="auto"/>
            <w:right w:val="none" w:sz="0" w:space="0" w:color="auto"/>
          </w:divBdr>
        </w:div>
        <w:div w:id="2066178622">
          <w:marLeft w:val="480"/>
          <w:marRight w:val="0"/>
          <w:marTop w:val="0"/>
          <w:marBottom w:val="0"/>
          <w:divBdr>
            <w:top w:val="none" w:sz="0" w:space="0" w:color="auto"/>
            <w:left w:val="none" w:sz="0" w:space="0" w:color="auto"/>
            <w:bottom w:val="none" w:sz="0" w:space="0" w:color="auto"/>
            <w:right w:val="none" w:sz="0" w:space="0" w:color="auto"/>
          </w:divBdr>
        </w:div>
        <w:div w:id="2137210510">
          <w:marLeft w:val="480"/>
          <w:marRight w:val="0"/>
          <w:marTop w:val="0"/>
          <w:marBottom w:val="0"/>
          <w:divBdr>
            <w:top w:val="none" w:sz="0" w:space="0" w:color="auto"/>
            <w:left w:val="none" w:sz="0" w:space="0" w:color="auto"/>
            <w:bottom w:val="none" w:sz="0" w:space="0" w:color="auto"/>
            <w:right w:val="none" w:sz="0" w:space="0" w:color="auto"/>
          </w:divBdr>
        </w:div>
      </w:divsChild>
    </w:div>
    <w:div w:id="311176530">
      <w:bodyDiv w:val="1"/>
      <w:marLeft w:val="0"/>
      <w:marRight w:val="0"/>
      <w:marTop w:val="0"/>
      <w:marBottom w:val="0"/>
      <w:divBdr>
        <w:top w:val="none" w:sz="0" w:space="0" w:color="auto"/>
        <w:left w:val="none" w:sz="0" w:space="0" w:color="auto"/>
        <w:bottom w:val="none" w:sz="0" w:space="0" w:color="auto"/>
        <w:right w:val="none" w:sz="0" w:space="0" w:color="auto"/>
      </w:divBdr>
    </w:div>
    <w:div w:id="311446602">
      <w:bodyDiv w:val="1"/>
      <w:marLeft w:val="0"/>
      <w:marRight w:val="0"/>
      <w:marTop w:val="0"/>
      <w:marBottom w:val="0"/>
      <w:divBdr>
        <w:top w:val="none" w:sz="0" w:space="0" w:color="auto"/>
        <w:left w:val="none" w:sz="0" w:space="0" w:color="auto"/>
        <w:bottom w:val="none" w:sz="0" w:space="0" w:color="auto"/>
        <w:right w:val="none" w:sz="0" w:space="0" w:color="auto"/>
      </w:divBdr>
    </w:div>
    <w:div w:id="311983129">
      <w:bodyDiv w:val="1"/>
      <w:marLeft w:val="0"/>
      <w:marRight w:val="0"/>
      <w:marTop w:val="0"/>
      <w:marBottom w:val="0"/>
      <w:divBdr>
        <w:top w:val="none" w:sz="0" w:space="0" w:color="auto"/>
        <w:left w:val="none" w:sz="0" w:space="0" w:color="auto"/>
        <w:bottom w:val="none" w:sz="0" w:space="0" w:color="auto"/>
        <w:right w:val="none" w:sz="0" w:space="0" w:color="auto"/>
      </w:divBdr>
    </w:div>
    <w:div w:id="319581908">
      <w:bodyDiv w:val="1"/>
      <w:marLeft w:val="0"/>
      <w:marRight w:val="0"/>
      <w:marTop w:val="0"/>
      <w:marBottom w:val="0"/>
      <w:divBdr>
        <w:top w:val="none" w:sz="0" w:space="0" w:color="auto"/>
        <w:left w:val="none" w:sz="0" w:space="0" w:color="auto"/>
        <w:bottom w:val="none" w:sz="0" w:space="0" w:color="auto"/>
        <w:right w:val="none" w:sz="0" w:space="0" w:color="auto"/>
      </w:divBdr>
    </w:div>
    <w:div w:id="320235883">
      <w:bodyDiv w:val="1"/>
      <w:marLeft w:val="0"/>
      <w:marRight w:val="0"/>
      <w:marTop w:val="0"/>
      <w:marBottom w:val="0"/>
      <w:divBdr>
        <w:top w:val="none" w:sz="0" w:space="0" w:color="auto"/>
        <w:left w:val="none" w:sz="0" w:space="0" w:color="auto"/>
        <w:bottom w:val="none" w:sz="0" w:space="0" w:color="auto"/>
        <w:right w:val="none" w:sz="0" w:space="0" w:color="auto"/>
      </w:divBdr>
    </w:div>
    <w:div w:id="325091089">
      <w:bodyDiv w:val="1"/>
      <w:marLeft w:val="0"/>
      <w:marRight w:val="0"/>
      <w:marTop w:val="0"/>
      <w:marBottom w:val="0"/>
      <w:divBdr>
        <w:top w:val="none" w:sz="0" w:space="0" w:color="auto"/>
        <w:left w:val="none" w:sz="0" w:space="0" w:color="auto"/>
        <w:bottom w:val="none" w:sz="0" w:space="0" w:color="auto"/>
        <w:right w:val="none" w:sz="0" w:space="0" w:color="auto"/>
      </w:divBdr>
    </w:div>
    <w:div w:id="326447744">
      <w:bodyDiv w:val="1"/>
      <w:marLeft w:val="0"/>
      <w:marRight w:val="0"/>
      <w:marTop w:val="0"/>
      <w:marBottom w:val="0"/>
      <w:divBdr>
        <w:top w:val="none" w:sz="0" w:space="0" w:color="auto"/>
        <w:left w:val="none" w:sz="0" w:space="0" w:color="auto"/>
        <w:bottom w:val="none" w:sz="0" w:space="0" w:color="auto"/>
        <w:right w:val="none" w:sz="0" w:space="0" w:color="auto"/>
      </w:divBdr>
    </w:div>
    <w:div w:id="332611864">
      <w:bodyDiv w:val="1"/>
      <w:marLeft w:val="0"/>
      <w:marRight w:val="0"/>
      <w:marTop w:val="0"/>
      <w:marBottom w:val="0"/>
      <w:divBdr>
        <w:top w:val="none" w:sz="0" w:space="0" w:color="auto"/>
        <w:left w:val="none" w:sz="0" w:space="0" w:color="auto"/>
        <w:bottom w:val="none" w:sz="0" w:space="0" w:color="auto"/>
        <w:right w:val="none" w:sz="0" w:space="0" w:color="auto"/>
      </w:divBdr>
    </w:div>
    <w:div w:id="345598690">
      <w:bodyDiv w:val="1"/>
      <w:marLeft w:val="0"/>
      <w:marRight w:val="0"/>
      <w:marTop w:val="0"/>
      <w:marBottom w:val="0"/>
      <w:divBdr>
        <w:top w:val="none" w:sz="0" w:space="0" w:color="auto"/>
        <w:left w:val="none" w:sz="0" w:space="0" w:color="auto"/>
        <w:bottom w:val="none" w:sz="0" w:space="0" w:color="auto"/>
        <w:right w:val="none" w:sz="0" w:space="0" w:color="auto"/>
      </w:divBdr>
    </w:div>
    <w:div w:id="346517684">
      <w:bodyDiv w:val="1"/>
      <w:marLeft w:val="0"/>
      <w:marRight w:val="0"/>
      <w:marTop w:val="0"/>
      <w:marBottom w:val="0"/>
      <w:divBdr>
        <w:top w:val="none" w:sz="0" w:space="0" w:color="auto"/>
        <w:left w:val="none" w:sz="0" w:space="0" w:color="auto"/>
        <w:bottom w:val="none" w:sz="0" w:space="0" w:color="auto"/>
        <w:right w:val="none" w:sz="0" w:space="0" w:color="auto"/>
      </w:divBdr>
    </w:div>
    <w:div w:id="347953210">
      <w:bodyDiv w:val="1"/>
      <w:marLeft w:val="0"/>
      <w:marRight w:val="0"/>
      <w:marTop w:val="0"/>
      <w:marBottom w:val="0"/>
      <w:divBdr>
        <w:top w:val="none" w:sz="0" w:space="0" w:color="auto"/>
        <w:left w:val="none" w:sz="0" w:space="0" w:color="auto"/>
        <w:bottom w:val="none" w:sz="0" w:space="0" w:color="auto"/>
        <w:right w:val="none" w:sz="0" w:space="0" w:color="auto"/>
      </w:divBdr>
    </w:div>
    <w:div w:id="350373989">
      <w:bodyDiv w:val="1"/>
      <w:marLeft w:val="0"/>
      <w:marRight w:val="0"/>
      <w:marTop w:val="0"/>
      <w:marBottom w:val="0"/>
      <w:divBdr>
        <w:top w:val="none" w:sz="0" w:space="0" w:color="auto"/>
        <w:left w:val="none" w:sz="0" w:space="0" w:color="auto"/>
        <w:bottom w:val="none" w:sz="0" w:space="0" w:color="auto"/>
        <w:right w:val="none" w:sz="0" w:space="0" w:color="auto"/>
      </w:divBdr>
    </w:div>
    <w:div w:id="355038110">
      <w:bodyDiv w:val="1"/>
      <w:marLeft w:val="0"/>
      <w:marRight w:val="0"/>
      <w:marTop w:val="0"/>
      <w:marBottom w:val="0"/>
      <w:divBdr>
        <w:top w:val="none" w:sz="0" w:space="0" w:color="auto"/>
        <w:left w:val="none" w:sz="0" w:space="0" w:color="auto"/>
        <w:bottom w:val="none" w:sz="0" w:space="0" w:color="auto"/>
        <w:right w:val="none" w:sz="0" w:space="0" w:color="auto"/>
      </w:divBdr>
      <w:divsChild>
        <w:div w:id="25565900">
          <w:marLeft w:val="480"/>
          <w:marRight w:val="0"/>
          <w:marTop w:val="0"/>
          <w:marBottom w:val="0"/>
          <w:divBdr>
            <w:top w:val="none" w:sz="0" w:space="0" w:color="auto"/>
            <w:left w:val="none" w:sz="0" w:space="0" w:color="auto"/>
            <w:bottom w:val="none" w:sz="0" w:space="0" w:color="auto"/>
            <w:right w:val="none" w:sz="0" w:space="0" w:color="auto"/>
          </w:divBdr>
        </w:div>
        <w:div w:id="88553338">
          <w:marLeft w:val="480"/>
          <w:marRight w:val="0"/>
          <w:marTop w:val="0"/>
          <w:marBottom w:val="0"/>
          <w:divBdr>
            <w:top w:val="none" w:sz="0" w:space="0" w:color="auto"/>
            <w:left w:val="none" w:sz="0" w:space="0" w:color="auto"/>
            <w:bottom w:val="none" w:sz="0" w:space="0" w:color="auto"/>
            <w:right w:val="none" w:sz="0" w:space="0" w:color="auto"/>
          </w:divBdr>
        </w:div>
        <w:div w:id="90703096">
          <w:marLeft w:val="480"/>
          <w:marRight w:val="0"/>
          <w:marTop w:val="0"/>
          <w:marBottom w:val="0"/>
          <w:divBdr>
            <w:top w:val="none" w:sz="0" w:space="0" w:color="auto"/>
            <w:left w:val="none" w:sz="0" w:space="0" w:color="auto"/>
            <w:bottom w:val="none" w:sz="0" w:space="0" w:color="auto"/>
            <w:right w:val="none" w:sz="0" w:space="0" w:color="auto"/>
          </w:divBdr>
        </w:div>
        <w:div w:id="90783409">
          <w:marLeft w:val="480"/>
          <w:marRight w:val="0"/>
          <w:marTop w:val="0"/>
          <w:marBottom w:val="0"/>
          <w:divBdr>
            <w:top w:val="none" w:sz="0" w:space="0" w:color="auto"/>
            <w:left w:val="none" w:sz="0" w:space="0" w:color="auto"/>
            <w:bottom w:val="none" w:sz="0" w:space="0" w:color="auto"/>
            <w:right w:val="none" w:sz="0" w:space="0" w:color="auto"/>
          </w:divBdr>
        </w:div>
        <w:div w:id="102578844">
          <w:marLeft w:val="480"/>
          <w:marRight w:val="0"/>
          <w:marTop w:val="0"/>
          <w:marBottom w:val="0"/>
          <w:divBdr>
            <w:top w:val="none" w:sz="0" w:space="0" w:color="auto"/>
            <w:left w:val="none" w:sz="0" w:space="0" w:color="auto"/>
            <w:bottom w:val="none" w:sz="0" w:space="0" w:color="auto"/>
            <w:right w:val="none" w:sz="0" w:space="0" w:color="auto"/>
          </w:divBdr>
        </w:div>
        <w:div w:id="103035917">
          <w:marLeft w:val="480"/>
          <w:marRight w:val="0"/>
          <w:marTop w:val="0"/>
          <w:marBottom w:val="0"/>
          <w:divBdr>
            <w:top w:val="none" w:sz="0" w:space="0" w:color="auto"/>
            <w:left w:val="none" w:sz="0" w:space="0" w:color="auto"/>
            <w:bottom w:val="none" w:sz="0" w:space="0" w:color="auto"/>
            <w:right w:val="none" w:sz="0" w:space="0" w:color="auto"/>
          </w:divBdr>
        </w:div>
        <w:div w:id="122770794">
          <w:marLeft w:val="480"/>
          <w:marRight w:val="0"/>
          <w:marTop w:val="0"/>
          <w:marBottom w:val="0"/>
          <w:divBdr>
            <w:top w:val="none" w:sz="0" w:space="0" w:color="auto"/>
            <w:left w:val="none" w:sz="0" w:space="0" w:color="auto"/>
            <w:bottom w:val="none" w:sz="0" w:space="0" w:color="auto"/>
            <w:right w:val="none" w:sz="0" w:space="0" w:color="auto"/>
          </w:divBdr>
        </w:div>
        <w:div w:id="280963016">
          <w:marLeft w:val="480"/>
          <w:marRight w:val="0"/>
          <w:marTop w:val="0"/>
          <w:marBottom w:val="0"/>
          <w:divBdr>
            <w:top w:val="none" w:sz="0" w:space="0" w:color="auto"/>
            <w:left w:val="none" w:sz="0" w:space="0" w:color="auto"/>
            <w:bottom w:val="none" w:sz="0" w:space="0" w:color="auto"/>
            <w:right w:val="none" w:sz="0" w:space="0" w:color="auto"/>
          </w:divBdr>
        </w:div>
        <w:div w:id="328605565">
          <w:marLeft w:val="480"/>
          <w:marRight w:val="0"/>
          <w:marTop w:val="0"/>
          <w:marBottom w:val="0"/>
          <w:divBdr>
            <w:top w:val="none" w:sz="0" w:space="0" w:color="auto"/>
            <w:left w:val="none" w:sz="0" w:space="0" w:color="auto"/>
            <w:bottom w:val="none" w:sz="0" w:space="0" w:color="auto"/>
            <w:right w:val="none" w:sz="0" w:space="0" w:color="auto"/>
          </w:divBdr>
        </w:div>
        <w:div w:id="355234508">
          <w:marLeft w:val="480"/>
          <w:marRight w:val="0"/>
          <w:marTop w:val="0"/>
          <w:marBottom w:val="0"/>
          <w:divBdr>
            <w:top w:val="none" w:sz="0" w:space="0" w:color="auto"/>
            <w:left w:val="none" w:sz="0" w:space="0" w:color="auto"/>
            <w:bottom w:val="none" w:sz="0" w:space="0" w:color="auto"/>
            <w:right w:val="none" w:sz="0" w:space="0" w:color="auto"/>
          </w:divBdr>
        </w:div>
        <w:div w:id="375348773">
          <w:marLeft w:val="480"/>
          <w:marRight w:val="0"/>
          <w:marTop w:val="0"/>
          <w:marBottom w:val="0"/>
          <w:divBdr>
            <w:top w:val="none" w:sz="0" w:space="0" w:color="auto"/>
            <w:left w:val="none" w:sz="0" w:space="0" w:color="auto"/>
            <w:bottom w:val="none" w:sz="0" w:space="0" w:color="auto"/>
            <w:right w:val="none" w:sz="0" w:space="0" w:color="auto"/>
          </w:divBdr>
        </w:div>
        <w:div w:id="377973686">
          <w:marLeft w:val="480"/>
          <w:marRight w:val="0"/>
          <w:marTop w:val="0"/>
          <w:marBottom w:val="0"/>
          <w:divBdr>
            <w:top w:val="none" w:sz="0" w:space="0" w:color="auto"/>
            <w:left w:val="none" w:sz="0" w:space="0" w:color="auto"/>
            <w:bottom w:val="none" w:sz="0" w:space="0" w:color="auto"/>
            <w:right w:val="none" w:sz="0" w:space="0" w:color="auto"/>
          </w:divBdr>
        </w:div>
        <w:div w:id="386414604">
          <w:marLeft w:val="480"/>
          <w:marRight w:val="0"/>
          <w:marTop w:val="0"/>
          <w:marBottom w:val="0"/>
          <w:divBdr>
            <w:top w:val="none" w:sz="0" w:space="0" w:color="auto"/>
            <w:left w:val="none" w:sz="0" w:space="0" w:color="auto"/>
            <w:bottom w:val="none" w:sz="0" w:space="0" w:color="auto"/>
            <w:right w:val="none" w:sz="0" w:space="0" w:color="auto"/>
          </w:divBdr>
        </w:div>
        <w:div w:id="388193445">
          <w:marLeft w:val="480"/>
          <w:marRight w:val="0"/>
          <w:marTop w:val="0"/>
          <w:marBottom w:val="0"/>
          <w:divBdr>
            <w:top w:val="none" w:sz="0" w:space="0" w:color="auto"/>
            <w:left w:val="none" w:sz="0" w:space="0" w:color="auto"/>
            <w:bottom w:val="none" w:sz="0" w:space="0" w:color="auto"/>
            <w:right w:val="none" w:sz="0" w:space="0" w:color="auto"/>
          </w:divBdr>
        </w:div>
        <w:div w:id="423035230">
          <w:marLeft w:val="480"/>
          <w:marRight w:val="0"/>
          <w:marTop w:val="0"/>
          <w:marBottom w:val="0"/>
          <w:divBdr>
            <w:top w:val="none" w:sz="0" w:space="0" w:color="auto"/>
            <w:left w:val="none" w:sz="0" w:space="0" w:color="auto"/>
            <w:bottom w:val="none" w:sz="0" w:space="0" w:color="auto"/>
            <w:right w:val="none" w:sz="0" w:space="0" w:color="auto"/>
          </w:divBdr>
        </w:div>
        <w:div w:id="502819021">
          <w:marLeft w:val="480"/>
          <w:marRight w:val="0"/>
          <w:marTop w:val="0"/>
          <w:marBottom w:val="0"/>
          <w:divBdr>
            <w:top w:val="none" w:sz="0" w:space="0" w:color="auto"/>
            <w:left w:val="none" w:sz="0" w:space="0" w:color="auto"/>
            <w:bottom w:val="none" w:sz="0" w:space="0" w:color="auto"/>
            <w:right w:val="none" w:sz="0" w:space="0" w:color="auto"/>
          </w:divBdr>
        </w:div>
        <w:div w:id="505943356">
          <w:marLeft w:val="480"/>
          <w:marRight w:val="0"/>
          <w:marTop w:val="0"/>
          <w:marBottom w:val="0"/>
          <w:divBdr>
            <w:top w:val="none" w:sz="0" w:space="0" w:color="auto"/>
            <w:left w:val="none" w:sz="0" w:space="0" w:color="auto"/>
            <w:bottom w:val="none" w:sz="0" w:space="0" w:color="auto"/>
            <w:right w:val="none" w:sz="0" w:space="0" w:color="auto"/>
          </w:divBdr>
        </w:div>
        <w:div w:id="518349791">
          <w:marLeft w:val="480"/>
          <w:marRight w:val="0"/>
          <w:marTop w:val="0"/>
          <w:marBottom w:val="0"/>
          <w:divBdr>
            <w:top w:val="none" w:sz="0" w:space="0" w:color="auto"/>
            <w:left w:val="none" w:sz="0" w:space="0" w:color="auto"/>
            <w:bottom w:val="none" w:sz="0" w:space="0" w:color="auto"/>
            <w:right w:val="none" w:sz="0" w:space="0" w:color="auto"/>
          </w:divBdr>
        </w:div>
        <w:div w:id="625547489">
          <w:marLeft w:val="480"/>
          <w:marRight w:val="0"/>
          <w:marTop w:val="0"/>
          <w:marBottom w:val="0"/>
          <w:divBdr>
            <w:top w:val="none" w:sz="0" w:space="0" w:color="auto"/>
            <w:left w:val="none" w:sz="0" w:space="0" w:color="auto"/>
            <w:bottom w:val="none" w:sz="0" w:space="0" w:color="auto"/>
            <w:right w:val="none" w:sz="0" w:space="0" w:color="auto"/>
          </w:divBdr>
        </w:div>
        <w:div w:id="746271685">
          <w:marLeft w:val="480"/>
          <w:marRight w:val="0"/>
          <w:marTop w:val="0"/>
          <w:marBottom w:val="0"/>
          <w:divBdr>
            <w:top w:val="none" w:sz="0" w:space="0" w:color="auto"/>
            <w:left w:val="none" w:sz="0" w:space="0" w:color="auto"/>
            <w:bottom w:val="none" w:sz="0" w:space="0" w:color="auto"/>
            <w:right w:val="none" w:sz="0" w:space="0" w:color="auto"/>
          </w:divBdr>
        </w:div>
        <w:div w:id="789319279">
          <w:marLeft w:val="480"/>
          <w:marRight w:val="0"/>
          <w:marTop w:val="0"/>
          <w:marBottom w:val="0"/>
          <w:divBdr>
            <w:top w:val="none" w:sz="0" w:space="0" w:color="auto"/>
            <w:left w:val="none" w:sz="0" w:space="0" w:color="auto"/>
            <w:bottom w:val="none" w:sz="0" w:space="0" w:color="auto"/>
            <w:right w:val="none" w:sz="0" w:space="0" w:color="auto"/>
          </w:divBdr>
        </w:div>
        <w:div w:id="849488132">
          <w:marLeft w:val="480"/>
          <w:marRight w:val="0"/>
          <w:marTop w:val="0"/>
          <w:marBottom w:val="0"/>
          <w:divBdr>
            <w:top w:val="none" w:sz="0" w:space="0" w:color="auto"/>
            <w:left w:val="none" w:sz="0" w:space="0" w:color="auto"/>
            <w:bottom w:val="none" w:sz="0" w:space="0" w:color="auto"/>
            <w:right w:val="none" w:sz="0" w:space="0" w:color="auto"/>
          </w:divBdr>
        </w:div>
        <w:div w:id="854420851">
          <w:marLeft w:val="480"/>
          <w:marRight w:val="0"/>
          <w:marTop w:val="0"/>
          <w:marBottom w:val="0"/>
          <w:divBdr>
            <w:top w:val="none" w:sz="0" w:space="0" w:color="auto"/>
            <w:left w:val="none" w:sz="0" w:space="0" w:color="auto"/>
            <w:bottom w:val="none" w:sz="0" w:space="0" w:color="auto"/>
            <w:right w:val="none" w:sz="0" w:space="0" w:color="auto"/>
          </w:divBdr>
        </w:div>
        <w:div w:id="899442523">
          <w:marLeft w:val="480"/>
          <w:marRight w:val="0"/>
          <w:marTop w:val="0"/>
          <w:marBottom w:val="0"/>
          <w:divBdr>
            <w:top w:val="none" w:sz="0" w:space="0" w:color="auto"/>
            <w:left w:val="none" w:sz="0" w:space="0" w:color="auto"/>
            <w:bottom w:val="none" w:sz="0" w:space="0" w:color="auto"/>
            <w:right w:val="none" w:sz="0" w:space="0" w:color="auto"/>
          </w:divBdr>
        </w:div>
        <w:div w:id="946935461">
          <w:marLeft w:val="480"/>
          <w:marRight w:val="0"/>
          <w:marTop w:val="0"/>
          <w:marBottom w:val="0"/>
          <w:divBdr>
            <w:top w:val="none" w:sz="0" w:space="0" w:color="auto"/>
            <w:left w:val="none" w:sz="0" w:space="0" w:color="auto"/>
            <w:bottom w:val="none" w:sz="0" w:space="0" w:color="auto"/>
            <w:right w:val="none" w:sz="0" w:space="0" w:color="auto"/>
          </w:divBdr>
        </w:div>
        <w:div w:id="967514348">
          <w:marLeft w:val="480"/>
          <w:marRight w:val="0"/>
          <w:marTop w:val="0"/>
          <w:marBottom w:val="0"/>
          <w:divBdr>
            <w:top w:val="none" w:sz="0" w:space="0" w:color="auto"/>
            <w:left w:val="none" w:sz="0" w:space="0" w:color="auto"/>
            <w:bottom w:val="none" w:sz="0" w:space="0" w:color="auto"/>
            <w:right w:val="none" w:sz="0" w:space="0" w:color="auto"/>
          </w:divBdr>
        </w:div>
        <w:div w:id="973675997">
          <w:marLeft w:val="480"/>
          <w:marRight w:val="0"/>
          <w:marTop w:val="0"/>
          <w:marBottom w:val="0"/>
          <w:divBdr>
            <w:top w:val="none" w:sz="0" w:space="0" w:color="auto"/>
            <w:left w:val="none" w:sz="0" w:space="0" w:color="auto"/>
            <w:bottom w:val="none" w:sz="0" w:space="0" w:color="auto"/>
            <w:right w:val="none" w:sz="0" w:space="0" w:color="auto"/>
          </w:divBdr>
        </w:div>
        <w:div w:id="1014503621">
          <w:marLeft w:val="480"/>
          <w:marRight w:val="0"/>
          <w:marTop w:val="0"/>
          <w:marBottom w:val="0"/>
          <w:divBdr>
            <w:top w:val="none" w:sz="0" w:space="0" w:color="auto"/>
            <w:left w:val="none" w:sz="0" w:space="0" w:color="auto"/>
            <w:bottom w:val="none" w:sz="0" w:space="0" w:color="auto"/>
            <w:right w:val="none" w:sz="0" w:space="0" w:color="auto"/>
          </w:divBdr>
        </w:div>
        <w:div w:id="1024094019">
          <w:marLeft w:val="480"/>
          <w:marRight w:val="0"/>
          <w:marTop w:val="0"/>
          <w:marBottom w:val="0"/>
          <w:divBdr>
            <w:top w:val="none" w:sz="0" w:space="0" w:color="auto"/>
            <w:left w:val="none" w:sz="0" w:space="0" w:color="auto"/>
            <w:bottom w:val="none" w:sz="0" w:space="0" w:color="auto"/>
            <w:right w:val="none" w:sz="0" w:space="0" w:color="auto"/>
          </w:divBdr>
        </w:div>
        <w:div w:id="1027298022">
          <w:marLeft w:val="480"/>
          <w:marRight w:val="0"/>
          <w:marTop w:val="0"/>
          <w:marBottom w:val="0"/>
          <w:divBdr>
            <w:top w:val="none" w:sz="0" w:space="0" w:color="auto"/>
            <w:left w:val="none" w:sz="0" w:space="0" w:color="auto"/>
            <w:bottom w:val="none" w:sz="0" w:space="0" w:color="auto"/>
            <w:right w:val="none" w:sz="0" w:space="0" w:color="auto"/>
          </w:divBdr>
        </w:div>
        <w:div w:id="1045562358">
          <w:marLeft w:val="480"/>
          <w:marRight w:val="0"/>
          <w:marTop w:val="0"/>
          <w:marBottom w:val="0"/>
          <w:divBdr>
            <w:top w:val="none" w:sz="0" w:space="0" w:color="auto"/>
            <w:left w:val="none" w:sz="0" w:space="0" w:color="auto"/>
            <w:bottom w:val="none" w:sz="0" w:space="0" w:color="auto"/>
            <w:right w:val="none" w:sz="0" w:space="0" w:color="auto"/>
          </w:divBdr>
        </w:div>
        <w:div w:id="1078985124">
          <w:marLeft w:val="480"/>
          <w:marRight w:val="0"/>
          <w:marTop w:val="0"/>
          <w:marBottom w:val="0"/>
          <w:divBdr>
            <w:top w:val="none" w:sz="0" w:space="0" w:color="auto"/>
            <w:left w:val="none" w:sz="0" w:space="0" w:color="auto"/>
            <w:bottom w:val="none" w:sz="0" w:space="0" w:color="auto"/>
            <w:right w:val="none" w:sz="0" w:space="0" w:color="auto"/>
          </w:divBdr>
        </w:div>
        <w:div w:id="1122457682">
          <w:marLeft w:val="480"/>
          <w:marRight w:val="0"/>
          <w:marTop w:val="0"/>
          <w:marBottom w:val="0"/>
          <w:divBdr>
            <w:top w:val="none" w:sz="0" w:space="0" w:color="auto"/>
            <w:left w:val="none" w:sz="0" w:space="0" w:color="auto"/>
            <w:bottom w:val="none" w:sz="0" w:space="0" w:color="auto"/>
            <w:right w:val="none" w:sz="0" w:space="0" w:color="auto"/>
          </w:divBdr>
        </w:div>
        <w:div w:id="1169754389">
          <w:marLeft w:val="480"/>
          <w:marRight w:val="0"/>
          <w:marTop w:val="0"/>
          <w:marBottom w:val="0"/>
          <w:divBdr>
            <w:top w:val="none" w:sz="0" w:space="0" w:color="auto"/>
            <w:left w:val="none" w:sz="0" w:space="0" w:color="auto"/>
            <w:bottom w:val="none" w:sz="0" w:space="0" w:color="auto"/>
            <w:right w:val="none" w:sz="0" w:space="0" w:color="auto"/>
          </w:divBdr>
        </w:div>
        <w:div w:id="1170372089">
          <w:marLeft w:val="480"/>
          <w:marRight w:val="0"/>
          <w:marTop w:val="0"/>
          <w:marBottom w:val="0"/>
          <w:divBdr>
            <w:top w:val="none" w:sz="0" w:space="0" w:color="auto"/>
            <w:left w:val="none" w:sz="0" w:space="0" w:color="auto"/>
            <w:bottom w:val="none" w:sz="0" w:space="0" w:color="auto"/>
            <w:right w:val="none" w:sz="0" w:space="0" w:color="auto"/>
          </w:divBdr>
        </w:div>
        <w:div w:id="1188837631">
          <w:marLeft w:val="480"/>
          <w:marRight w:val="0"/>
          <w:marTop w:val="0"/>
          <w:marBottom w:val="0"/>
          <w:divBdr>
            <w:top w:val="none" w:sz="0" w:space="0" w:color="auto"/>
            <w:left w:val="none" w:sz="0" w:space="0" w:color="auto"/>
            <w:bottom w:val="none" w:sz="0" w:space="0" w:color="auto"/>
            <w:right w:val="none" w:sz="0" w:space="0" w:color="auto"/>
          </w:divBdr>
        </w:div>
        <w:div w:id="1196768793">
          <w:marLeft w:val="480"/>
          <w:marRight w:val="0"/>
          <w:marTop w:val="0"/>
          <w:marBottom w:val="0"/>
          <w:divBdr>
            <w:top w:val="none" w:sz="0" w:space="0" w:color="auto"/>
            <w:left w:val="none" w:sz="0" w:space="0" w:color="auto"/>
            <w:bottom w:val="none" w:sz="0" w:space="0" w:color="auto"/>
            <w:right w:val="none" w:sz="0" w:space="0" w:color="auto"/>
          </w:divBdr>
        </w:div>
        <w:div w:id="1332827673">
          <w:marLeft w:val="480"/>
          <w:marRight w:val="0"/>
          <w:marTop w:val="0"/>
          <w:marBottom w:val="0"/>
          <w:divBdr>
            <w:top w:val="none" w:sz="0" w:space="0" w:color="auto"/>
            <w:left w:val="none" w:sz="0" w:space="0" w:color="auto"/>
            <w:bottom w:val="none" w:sz="0" w:space="0" w:color="auto"/>
            <w:right w:val="none" w:sz="0" w:space="0" w:color="auto"/>
          </w:divBdr>
        </w:div>
        <w:div w:id="1412964081">
          <w:marLeft w:val="480"/>
          <w:marRight w:val="0"/>
          <w:marTop w:val="0"/>
          <w:marBottom w:val="0"/>
          <w:divBdr>
            <w:top w:val="none" w:sz="0" w:space="0" w:color="auto"/>
            <w:left w:val="none" w:sz="0" w:space="0" w:color="auto"/>
            <w:bottom w:val="none" w:sz="0" w:space="0" w:color="auto"/>
            <w:right w:val="none" w:sz="0" w:space="0" w:color="auto"/>
          </w:divBdr>
        </w:div>
        <w:div w:id="1439595082">
          <w:marLeft w:val="480"/>
          <w:marRight w:val="0"/>
          <w:marTop w:val="0"/>
          <w:marBottom w:val="0"/>
          <w:divBdr>
            <w:top w:val="none" w:sz="0" w:space="0" w:color="auto"/>
            <w:left w:val="none" w:sz="0" w:space="0" w:color="auto"/>
            <w:bottom w:val="none" w:sz="0" w:space="0" w:color="auto"/>
            <w:right w:val="none" w:sz="0" w:space="0" w:color="auto"/>
          </w:divBdr>
        </w:div>
        <w:div w:id="1449397027">
          <w:marLeft w:val="480"/>
          <w:marRight w:val="0"/>
          <w:marTop w:val="0"/>
          <w:marBottom w:val="0"/>
          <w:divBdr>
            <w:top w:val="none" w:sz="0" w:space="0" w:color="auto"/>
            <w:left w:val="none" w:sz="0" w:space="0" w:color="auto"/>
            <w:bottom w:val="none" w:sz="0" w:space="0" w:color="auto"/>
            <w:right w:val="none" w:sz="0" w:space="0" w:color="auto"/>
          </w:divBdr>
        </w:div>
        <w:div w:id="1511598771">
          <w:marLeft w:val="480"/>
          <w:marRight w:val="0"/>
          <w:marTop w:val="0"/>
          <w:marBottom w:val="0"/>
          <w:divBdr>
            <w:top w:val="none" w:sz="0" w:space="0" w:color="auto"/>
            <w:left w:val="none" w:sz="0" w:space="0" w:color="auto"/>
            <w:bottom w:val="none" w:sz="0" w:space="0" w:color="auto"/>
            <w:right w:val="none" w:sz="0" w:space="0" w:color="auto"/>
          </w:divBdr>
        </w:div>
        <w:div w:id="1513840261">
          <w:marLeft w:val="480"/>
          <w:marRight w:val="0"/>
          <w:marTop w:val="0"/>
          <w:marBottom w:val="0"/>
          <w:divBdr>
            <w:top w:val="none" w:sz="0" w:space="0" w:color="auto"/>
            <w:left w:val="none" w:sz="0" w:space="0" w:color="auto"/>
            <w:bottom w:val="none" w:sz="0" w:space="0" w:color="auto"/>
            <w:right w:val="none" w:sz="0" w:space="0" w:color="auto"/>
          </w:divBdr>
        </w:div>
        <w:div w:id="1636254694">
          <w:marLeft w:val="480"/>
          <w:marRight w:val="0"/>
          <w:marTop w:val="0"/>
          <w:marBottom w:val="0"/>
          <w:divBdr>
            <w:top w:val="none" w:sz="0" w:space="0" w:color="auto"/>
            <w:left w:val="none" w:sz="0" w:space="0" w:color="auto"/>
            <w:bottom w:val="none" w:sz="0" w:space="0" w:color="auto"/>
            <w:right w:val="none" w:sz="0" w:space="0" w:color="auto"/>
          </w:divBdr>
        </w:div>
        <w:div w:id="1706249155">
          <w:marLeft w:val="480"/>
          <w:marRight w:val="0"/>
          <w:marTop w:val="0"/>
          <w:marBottom w:val="0"/>
          <w:divBdr>
            <w:top w:val="none" w:sz="0" w:space="0" w:color="auto"/>
            <w:left w:val="none" w:sz="0" w:space="0" w:color="auto"/>
            <w:bottom w:val="none" w:sz="0" w:space="0" w:color="auto"/>
            <w:right w:val="none" w:sz="0" w:space="0" w:color="auto"/>
          </w:divBdr>
        </w:div>
        <w:div w:id="1726098617">
          <w:marLeft w:val="480"/>
          <w:marRight w:val="0"/>
          <w:marTop w:val="0"/>
          <w:marBottom w:val="0"/>
          <w:divBdr>
            <w:top w:val="none" w:sz="0" w:space="0" w:color="auto"/>
            <w:left w:val="none" w:sz="0" w:space="0" w:color="auto"/>
            <w:bottom w:val="none" w:sz="0" w:space="0" w:color="auto"/>
            <w:right w:val="none" w:sz="0" w:space="0" w:color="auto"/>
          </w:divBdr>
        </w:div>
        <w:div w:id="1796487457">
          <w:marLeft w:val="480"/>
          <w:marRight w:val="0"/>
          <w:marTop w:val="0"/>
          <w:marBottom w:val="0"/>
          <w:divBdr>
            <w:top w:val="none" w:sz="0" w:space="0" w:color="auto"/>
            <w:left w:val="none" w:sz="0" w:space="0" w:color="auto"/>
            <w:bottom w:val="none" w:sz="0" w:space="0" w:color="auto"/>
            <w:right w:val="none" w:sz="0" w:space="0" w:color="auto"/>
          </w:divBdr>
        </w:div>
        <w:div w:id="1806460305">
          <w:marLeft w:val="480"/>
          <w:marRight w:val="0"/>
          <w:marTop w:val="0"/>
          <w:marBottom w:val="0"/>
          <w:divBdr>
            <w:top w:val="none" w:sz="0" w:space="0" w:color="auto"/>
            <w:left w:val="none" w:sz="0" w:space="0" w:color="auto"/>
            <w:bottom w:val="none" w:sz="0" w:space="0" w:color="auto"/>
            <w:right w:val="none" w:sz="0" w:space="0" w:color="auto"/>
          </w:divBdr>
        </w:div>
        <w:div w:id="1860005088">
          <w:marLeft w:val="480"/>
          <w:marRight w:val="0"/>
          <w:marTop w:val="0"/>
          <w:marBottom w:val="0"/>
          <w:divBdr>
            <w:top w:val="none" w:sz="0" w:space="0" w:color="auto"/>
            <w:left w:val="none" w:sz="0" w:space="0" w:color="auto"/>
            <w:bottom w:val="none" w:sz="0" w:space="0" w:color="auto"/>
            <w:right w:val="none" w:sz="0" w:space="0" w:color="auto"/>
          </w:divBdr>
        </w:div>
        <w:div w:id="1889756727">
          <w:marLeft w:val="480"/>
          <w:marRight w:val="0"/>
          <w:marTop w:val="0"/>
          <w:marBottom w:val="0"/>
          <w:divBdr>
            <w:top w:val="none" w:sz="0" w:space="0" w:color="auto"/>
            <w:left w:val="none" w:sz="0" w:space="0" w:color="auto"/>
            <w:bottom w:val="none" w:sz="0" w:space="0" w:color="auto"/>
            <w:right w:val="none" w:sz="0" w:space="0" w:color="auto"/>
          </w:divBdr>
        </w:div>
        <w:div w:id="1892646503">
          <w:marLeft w:val="480"/>
          <w:marRight w:val="0"/>
          <w:marTop w:val="0"/>
          <w:marBottom w:val="0"/>
          <w:divBdr>
            <w:top w:val="none" w:sz="0" w:space="0" w:color="auto"/>
            <w:left w:val="none" w:sz="0" w:space="0" w:color="auto"/>
            <w:bottom w:val="none" w:sz="0" w:space="0" w:color="auto"/>
            <w:right w:val="none" w:sz="0" w:space="0" w:color="auto"/>
          </w:divBdr>
        </w:div>
        <w:div w:id="1926111280">
          <w:marLeft w:val="480"/>
          <w:marRight w:val="0"/>
          <w:marTop w:val="0"/>
          <w:marBottom w:val="0"/>
          <w:divBdr>
            <w:top w:val="none" w:sz="0" w:space="0" w:color="auto"/>
            <w:left w:val="none" w:sz="0" w:space="0" w:color="auto"/>
            <w:bottom w:val="none" w:sz="0" w:space="0" w:color="auto"/>
            <w:right w:val="none" w:sz="0" w:space="0" w:color="auto"/>
          </w:divBdr>
        </w:div>
        <w:div w:id="1945920549">
          <w:marLeft w:val="480"/>
          <w:marRight w:val="0"/>
          <w:marTop w:val="0"/>
          <w:marBottom w:val="0"/>
          <w:divBdr>
            <w:top w:val="none" w:sz="0" w:space="0" w:color="auto"/>
            <w:left w:val="none" w:sz="0" w:space="0" w:color="auto"/>
            <w:bottom w:val="none" w:sz="0" w:space="0" w:color="auto"/>
            <w:right w:val="none" w:sz="0" w:space="0" w:color="auto"/>
          </w:divBdr>
        </w:div>
        <w:div w:id="1956865024">
          <w:marLeft w:val="480"/>
          <w:marRight w:val="0"/>
          <w:marTop w:val="0"/>
          <w:marBottom w:val="0"/>
          <w:divBdr>
            <w:top w:val="none" w:sz="0" w:space="0" w:color="auto"/>
            <w:left w:val="none" w:sz="0" w:space="0" w:color="auto"/>
            <w:bottom w:val="none" w:sz="0" w:space="0" w:color="auto"/>
            <w:right w:val="none" w:sz="0" w:space="0" w:color="auto"/>
          </w:divBdr>
        </w:div>
        <w:div w:id="2023510967">
          <w:marLeft w:val="480"/>
          <w:marRight w:val="0"/>
          <w:marTop w:val="0"/>
          <w:marBottom w:val="0"/>
          <w:divBdr>
            <w:top w:val="none" w:sz="0" w:space="0" w:color="auto"/>
            <w:left w:val="none" w:sz="0" w:space="0" w:color="auto"/>
            <w:bottom w:val="none" w:sz="0" w:space="0" w:color="auto"/>
            <w:right w:val="none" w:sz="0" w:space="0" w:color="auto"/>
          </w:divBdr>
        </w:div>
        <w:div w:id="2035112573">
          <w:marLeft w:val="480"/>
          <w:marRight w:val="0"/>
          <w:marTop w:val="0"/>
          <w:marBottom w:val="0"/>
          <w:divBdr>
            <w:top w:val="none" w:sz="0" w:space="0" w:color="auto"/>
            <w:left w:val="none" w:sz="0" w:space="0" w:color="auto"/>
            <w:bottom w:val="none" w:sz="0" w:space="0" w:color="auto"/>
            <w:right w:val="none" w:sz="0" w:space="0" w:color="auto"/>
          </w:divBdr>
        </w:div>
        <w:div w:id="2044090152">
          <w:marLeft w:val="480"/>
          <w:marRight w:val="0"/>
          <w:marTop w:val="0"/>
          <w:marBottom w:val="0"/>
          <w:divBdr>
            <w:top w:val="none" w:sz="0" w:space="0" w:color="auto"/>
            <w:left w:val="none" w:sz="0" w:space="0" w:color="auto"/>
            <w:bottom w:val="none" w:sz="0" w:space="0" w:color="auto"/>
            <w:right w:val="none" w:sz="0" w:space="0" w:color="auto"/>
          </w:divBdr>
        </w:div>
      </w:divsChild>
    </w:div>
    <w:div w:id="356466980">
      <w:bodyDiv w:val="1"/>
      <w:marLeft w:val="0"/>
      <w:marRight w:val="0"/>
      <w:marTop w:val="0"/>
      <w:marBottom w:val="0"/>
      <w:divBdr>
        <w:top w:val="none" w:sz="0" w:space="0" w:color="auto"/>
        <w:left w:val="none" w:sz="0" w:space="0" w:color="auto"/>
        <w:bottom w:val="none" w:sz="0" w:space="0" w:color="auto"/>
        <w:right w:val="none" w:sz="0" w:space="0" w:color="auto"/>
      </w:divBdr>
    </w:div>
    <w:div w:id="360522127">
      <w:bodyDiv w:val="1"/>
      <w:marLeft w:val="0"/>
      <w:marRight w:val="0"/>
      <w:marTop w:val="0"/>
      <w:marBottom w:val="0"/>
      <w:divBdr>
        <w:top w:val="none" w:sz="0" w:space="0" w:color="auto"/>
        <w:left w:val="none" w:sz="0" w:space="0" w:color="auto"/>
        <w:bottom w:val="none" w:sz="0" w:space="0" w:color="auto"/>
        <w:right w:val="none" w:sz="0" w:space="0" w:color="auto"/>
      </w:divBdr>
    </w:div>
    <w:div w:id="360790100">
      <w:bodyDiv w:val="1"/>
      <w:marLeft w:val="0"/>
      <w:marRight w:val="0"/>
      <w:marTop w:val="0"/>
      <w:marBottom w:val="0"/>
      <w:divBdr>
        <w:top w:val="none" w:sz="0" w:space="0" w:color="auto"/>
        <w:left w:val="none" w:sz="0" w:space="0" w:color="auto"/>
        <w:bottom w:val="none" w:sz="0" w:space="0" w:color="auto"/>
        <w:right w:val="none" w:sz="0" w:space="0" w:color="auto"/>
      </w:divBdr>
    </w:div>
    <w:div w:id="374426706">
      <w:bodyDiv w:val="1"/>
      <w:marLeft w:val="0"/>
      <w:marRight w:val="0"/>
      <w:marTop w:val="0"/>
      <w:marBottom w:val="0"/>
      <w:divBdr>
        <w:top w:val="none" w:sz="0" w:space="0" w:color="auto"/>
        <w:left w:val="none" w:sz="0" w:space="0" w:color="auto"/>
        <w:bottom w:val="none" w:sz="0" w:space="0" w:color="auto"/>
        <w:right w:val="none" w:sz="0" w:space="0" w:color="auto"/>
      </w:divBdr>
    </w:div>
    <w:div w:id="377440688">
      <w:bodyDiv w:val="1"/>
      <w:marLeft w:val="0"/>
      <w:marRight w:val="0"/>
      <w:marTop w:val="0"/>
      <w:marBottom w:val="0"/>
      <w:divBdr>
        <w:top w:val="none" w:sz="0" w:space="0" w:color="auto"/>
        <w:left w:val="none" w:sz="0" w:space="0" w:color="auto"/>
        <w:bottom w:val="none" w:sz="0" w:space="0" w:color="auto"/>
        <w:right w:val="none" w:sz="0" w:space="0" w:color="auto"/>
      </w:divBdr>
    </w:div>
    <w:div w:id="382560287">
      <w:bodyDiv w:val="1"/>
      <w:marLeft w:val="0"/>
      <w:marRight w:val="0"/>
      <w:marTop w:val="0"/>
      <w:marBottom w:val="0"/>
      <w:divBdr>
        <w:top w:val="none" w:sz="0" w:space="0" w:color="auto"/>
        <w:left w:val="none" w:sz="0" w:space="0" w:color="auto"/>
        <w:bottom w:val="none" w:sz="0" w:space="0" w:color="auto"/>
        <w:right w:val="none" w:sz="0" w:space="0" w:color="auto"/>
      </w:divBdr>
    </w:div>
    <w:div w:id="384064466">
      <w:bodyDiv w:val="1"/>
      <w:marLeft w:val="0"/>
      <w:marRight w:val="0"/>
      <w:marTop w:val="0"/>
      <w:marBottom w:val="0"/>
      <w:divBdr>
        <w:top w:val="none" w:sz="0" w:space="0" w:color="auto"/>
        <w:left w:val="none" w:sz="0" w:space="0" w:color="auto"/>
        <w:bottom w:val="none" w:sz="0" w:space="0" w:color="auto"/>
        <w:right w:val="none" w:sz="0" w:space="0" w:color="auto"/>
      </w:divBdr>
    </w:div>
    <w:div w:id="387805326">
      <w:bodyDiv w:val="1"/>
      <w:marLeft w:val="0"/>
      <w:marRight w:val="0"/>
      <w:marTop w:val="0"/>
      <w:marBottom w:val="0"/>
      <w:divBdr>
        <w:top w:val="none" w:sz="0" w:space="0" w:color="auto"/>
        <w:left w:val="none" w:sz="0" w:space="0" w:color="auto"/>
        <w:bottom w:val="none" w:sz="0" w:space="0" w:color="auto"/>
        <w:right w:val="none" w:sz="0" w:space="0" w:color="auto"/>
      </w:divBdr>
    </w:div>
    <w:div w:id="387850237">
      <w:bodyDiv w:val="1"/>
      <w:marLeft w:val="0"/>
      <w:marRight w:val="0"/>
      <w:marTop w:val="0"/>
      <w:marBottom w:val="0"/>
      <w:divBdr>
        <w:top w:val="none" w:sz="0" w:space="0" w:color="auto"/>
        <w:left w:val="none" w:sz="0" w:space="0" w:color="auto"/>
        <w:bottom w:val="none" w:sz="0" w:space="0" w:color="auto"/>
        <w:right w:val="none" w:sz="0" w:space="0" w:color="auto"/>
      </w:divBdr>
    </w:div>
    <w:div w:id="390274594">
      <w:bodyDiv w:val="1"/>
      <w:marLeft w:val="0"/>
      <w:marRight w:val="0"/>
      <w:marTop w:val="0"/>
      <w:marBottom w:val="0"/>
      <w:divBdr>
        <w:top w:val="none" w:sz="0" w:space="0" w:color="auto"/>
        <w:left w:val="none" w:sz="0" w:space="0" w:color="auto"/>
        <w:bottom w:val="none" w:sz="0" w:space="0" w:color="auto"/>
        <w:right w:val="none" w:sz="0" w:space="0" w:color="auto"/>
      </w:divBdr>
    </w:div>
    <w:div w:id="393746608">
      <w:bodyDiv w:val="1"/>
      <w:marLeft w:val="0"/>
      <w:marRight w:val="0"/>
      <w:marTop w:val="0"/>
      <w:marBottom w:val="0"/>
      <w:divBdr>
        <w:top w:val="none" w:sz="0" w:space="0" w:color="auto"/>
        <w:left w:val="none" w:sz="0" w:space="0" w:color="auto"/>
        <w:bottom w:val="none" w:sz="0" w:space="0" w:color="auto"/>
        <w:right w:val="none" w:sz="0" w:space="0" w:color="auto"/>
      </w:divBdr>
    </w:div>
    <w:div w:id="395395081">
      <w:bodyDiv w:val="1"/>
      <w:marLeft w:val="0"/>
      <w:marRight w:val="0"/>
      <w:marTop w:val="0"/>
      <w:marBottom w:val="0"/>
      <w:divBdr>
        <w:top w:val="none" w:sz="0" w:space="0" w:color="auto"/>
        <w:left w:val="none" w:sz="0" w:space="0" w:color="auto"/>
        <w:bottom w:val="none" w:sz="0" w:space="0" w:color="auto"/>
        <w:right w:val="none" w:sz="0" w:space="0" w:color="auto"/>
      </w:divBdr>
    </w:div>
    <w:div w:id="396974594">
      <w:bodyDiv w:val="1"/>
      <w:marLeft w:val="0"/>
      <w:marRight w:val="0"/>
      <w:marTop w:val="0"/>
      <w:marBottom w:val="0"/>
      <w:divBdr>
        <w:top w:val="none" w:sz="0" w:space="0" w:color="auto"/>
        <w:left w:val="none" w:sz="0" w:space="0" w:color="auto"/>
        <w:bottom w:val="none" w:sz="0" w:space="0" w:color="auto"/>
        <w:right w:val="none" w:sz="0" w:space="0" w:color="auto"/>
      </w:divBdr>
    </w:div>
    <w:div w:id="410086865">
      <w:bodyDiv w:val="1"/>
      <w:marLeft w:val="0"/>
      <w:marRight w:val="0"/>
      <w:marTop w:val="0"/>
      <w:marBottom w:val="0"/>
      <w:divBdr>
        <w:top w:val="none" w:sz="0" w:space="0" w:color="auto"/>
        <w:left w:val="none" w:sz="0" w:space="0" w:color="auto"/>
        <w:bottom w:val="none" w:sz="0" w:space="0" w:color="auto"/>
        <w:right w:val="none" w:sz="0" w:space="0" w:color="auto"/>
      </w:divBdr>
    </w:div>
    <w:div w:id="432941456">
      <w:bodyDiv w:val="1"/>
      <w:marLeft w:val="0"/>
      <w:marRight w:val="0"/>
      <w:marTop w:val="0"/>
      <w:marBottom w:val="0"/>
      <w:divBdr>
        <w:top w:val="none" w:sz="0" w:space="0" w:color="auto"/>
        <w:left w:val="none" w:sz="0" w:space="0" w:color="auto"/>
        <w:bottom w:val="none" w:sz="0" w:space="0" w:color="auto"/>
        <w:right w:val="none" w:sz="0" w:space="0" w:color="auto"/>
      </w:divBdr>
    </w:div>
    <w:div w:id="437525474">
      <w:bodyDiv w:val="1"/>
      <w:marLeft w:val="0"/>
      <w:marRight w:val="0"/>
      <w:marTop w:val="0"/>
      <w:marBottom w:val="0"/>
      <w:divBdr>
        <w:top w:val="none" w:sz="0" w:space="0" w:color="auto"/>
        <w:left w:val="none" w:sz="0" w:space="0" w:color="auto"/>
        <w:bottom w:val="none" w:sz="0" w:space="0" w:color="auto"/>
        <w:right w:val="none" w:sz="0" w:space="0" w:color="auto"/>
      </w:divBdr>
    </w:div>
    <w:div w:id="448860590">
      <w:bodyDiv w:val="1"/>
      <w:marLeft w:val="0"/>
      <w:marRight w:val="0"/>
      <w:marTop w:val="0"/>
      <w:marBottom w:val="0"/>
      <w:divBdr>
        <w:top w:val="none" w:sz="0" w:space="0" w:color="auto"/>
        <w:left w:val="none" w:sz="0" w:space="0" w:color="auto"/>
        <w:bottom w:val="none" w:sz="0" w:space="0" w:color="auto"/>
        <w:right w:val="none" w:sz="0" w:space="0" w:color="auto"/>
      </w:divBdr>
    </w:div>
    <w:div w:id="454061590">
      <w:bodyDiv w:val="1"/>
      <w:marLeft w:val="0"/>
      <w:marRight w:val="0"/>
      <w:marTop w:val="0"/>
      <w:marBottom w:val="0"/>
      <w:divBdr>
        <w:top w:val="none" w:sz="0" w:space="0" w:color="auto"/>
        <w:left w:val="none" w:sz="0" w:space="0" w:color="auto"/>
        <w:bottom w:val="none" w:sz="0" w:space="0" w:color="auto"/>
        <w:right w:val="none" w:sz="0" w:space="0" w:color="auto"/>
      </w:divBdr>
    </w:div>
    <w:div w:id="455680078">
      <w:bodyDiv w:val="1"/>
      <w:marLeft w:val="0"/>
      <w:marRight w:val="0"/>
      <w:marTop w:val="0"/>
      <w:marBottom w:val="0"/>
      <w:divBdr>
        <w:top w:val="none" w:sz="0" w:space="0" w:color="auto"/>
        <w:left w:val="none" w:sz="0" w:space="0" w:color="auto"/>
        <w:bottom w:val="none" w:sz="0" w:space="0" w:color="auto"/>
        <w:right w:val="none" w:sz="0" w:space="0" w:color="auto"/>
      </w:divBdr>
    </w:div>
    <w:div w:id="459226010">
      <w:bodyDiv w:val="1"/>
      <w:marLeft w:val="0"/>
      <w:marRight w:val="0"/>
      <w:marTop w:val="0"/>
      <w:marBottom w:val="0"/>
      <w:divBdr>
        <w:top w:val="none" w:sz="0" w:space="0" w:color="auto"/>
        <w:left w:val="none" w:sz="0" w:space="0" w:color="auto"/>
        <w:bottom w:val="none" w:sz="0" w:space="0" w:color="auto"/>
        <w:right w:val="none" w:sz="0" w:space="0" w:color="auto"/>
      </w:divBdr>
    </w:div>
    <w:div w:id="461727890">
      <w:bodyDiv w:val="1"/>
      <w:marLeft w:val="0"/>
      <w:marRight w:val="0"/>
      <w:marTop w:val="0"/>
      <w:marBottom w:val="0"/>
      <w:divBdr>
        <w:top w:val="none" w:sz="0" w:space="0" w:color="auto"/>
        <w:left w:val="none" w:sz="0" w:space="0" w:color="auto"/>
        <w:bottom w:val="none" w:sz="0" w:space="0" w:color="auto"/>
        <w:right w:val="none" w:sz="0" w:space="0" w:color="auto"/>
      </w:divBdr>
    </w:div>
    <w:div w:id="461728138">
      <w:bodyDiv w:val="1"/>
      <w:marLeft w:val="0"/>
      <w:marRight w:val="0"/>
      <w:marTop w:val="0"/>
      <w:marBottom w:val="0"/>
      <w:divBdr>
        <w:top w:val="none" w:sz="0" w:space="0" w:color="auto"/>
        <w:left w:val="none" w:sz="0" w:space="0" w:color="auto"/>
        <w:bottom w:val="none" w:sz="0" w:space="0" w:color="auto"/>
        <w:right w:val="none" w:sz="0" w:space="0" w:color="auto"/>
      </w:divBdr>
    </w:div>
    <w:div w:id="465896861">
      <w:bodyDiv w:val="1"/>
      <w:marLeft w:val="0"/>
      <w:marRight w:val="0"/>
      <w:marTop w:val="0"/>
      <w:marBottom w:val="0"/>
      <w:divBdr>
        <w:top w:val="none" w:sz="0" w:space="0" w:color="auto"/>
        <w:left w:val="none" w:sz="0" w:space="0" w:color="auto"/>
        <w:bottom w:val="none" w:sz="0" w:space="0" w:color="auto"/>
        <w:right w:val="none" w:sz="0" w:space="0" w:color="auto"/>
      </w:divBdr>
    </w:div>
    <w:div w:id="466044498">
      <w:bodyDiv w:val="1"/>
      <w:marLeft w:val="0"/>
      <w:marRight w:val="0"/>
      <w:marTop w:val="0"/>
      <w:marBottom w:val="0"/>
      <w:divBdr>
        <w:top w:val="none" w:sz="0" w:space="0" w:color="auto"/>
        <w:left w:val="none" w:sz="0" w:space="0" w:color="auto"/>
        <w:bottom w:val="none" w:sz="0" w:space="0" w:color="auto"/>
        <w:right w:val="none" w:sz="0" w:space="0" w:color="auto"/>
      </w:divBdr>
    </w:div>
    <w:div w:id="466508398">
      <w:bodyDiv w:val="1"/>
      <w:marLeft w:val="0"/>
      <w:marRight w:val="0"/>
      <w:marTop w:val="0"/>
      <w:marBottom w:val="0"/>
      <w:divBdr>
        <w:top w:val="none" w:sz="0" w:space="0" w:color="auto"/>
        <w:left w:val="none" w:sz="0" w:space="0" w:color="auto"/>
        <w:bottom w:val="none" w:sz="0" w:space="0" w:color="auto"/>
        <w:right w:val="none" w:sz="0" w:space="0" w:color="auto"/>
      </w:divBdr>
    </w:div>
    <w:div w:id="469595461">
      <w:bodyDiv w:val="1"/>
      <w:marLeft w:val="0"/>
      <w:marRight w:val="0"/>
      <w:marTop w:val="0"/>
      <w:marBottom w:val="0"/>
      <w:divBdr>
        <w:top w:val="none" w:sz="0" w:space="0" w:color="auto"/>
        <w:left w:val="none" w:sz="0" w:space="0" w:color="auto"/>
        <w:bottom w:val="none" w:sz="0" w:space="0" w:color="auto"/>
        <w:right w:val="none" w:sz="0" w:space="0" w:color="auto"/>
      </w:divBdr>
    </w:div>
    <w:div w:id="489952322">
      <w:bodyDiv w:val="1"/>
      <w:marLeft w:val="0"/>
      <w:marRight w:val="0"/>
      <w:marTop w:val="0"/>
      <w:marBottom w:val="0"/>
      <w:divBdr>
        <w:top w:val="none" w:sz="0" w:space="0" w:color="auto"/>
        <w:left w:val="none" w:sz="0" w:space="0" w:color="auto"/>
        <w:bottom w:val="none" w:sz="0" w:space="0" w:color="auto"/>
        <w:right w:val="none" w:sz="0" w:space="0" w:color="auto"/>
      </w:divBdr>
    </w:div>
    <w:div w:id="490489127">
      <w:bodyDiv w:val="1"/>
      <w:marLeft w:val="0"/>
      <w:marRight w:val="0"/>
      <w:marTop w:val="0"/>
      <w:marBottom w:val="0"/>
      <w:divBdr>
        <w:top w:val="none" w:sz="0" w:space="0" w:color="auto"/>
        <w:left w:val="none" w:sz="0" w:space="0" w:color="auto"/>
        <w:bottom w:val="none" w:sz="0" w:space="0" w:color="auto"/>
        <w:right w:val="none" w:sz="0" w:space="0" w:color="auto"/>
      </w:divBdr>
    </w:div>
    <w:div w:id="490604049">
      <w:bodyDiv w:val="1"/>
      <w:marLeft w:val="0"/>
      <w:marRight w:val="0"/>
      <w:marTop w:val="0"/>
      <w:marBottom w:val="0"/>
      <w:divBdr>
        <w:top w:val="none" w:sz="0" w:space="0" w:color="auto"/>
        <w:left w:val="none" w:sz="0" w:space="0" w:color="auto"/>
        <w:bottom w:val="none" w:sz="0" w:space="0" w:color="auto"/>
        <w:right w:val="none" w:sz="0" w:space="0" w:color="auto"/>
      </w:divBdr>
      <w:divsChild>
        <w:div w:id="4984433">
          <w:marLeft w:val="480"/>
          <w:marRight w:val="0"/>
          <w:marTop w:val="0"/>
          <w:marBottom w:val="0"/>
          <w:divBdr>
            <w:top w:val="none" w:sz="0" w:space="0" w:color="auto"/>
            <w:left w:val="none" w:sz="0" w:space="0" w:color="auto"/>
            <w:bottom w:val="none" w:sz="0" w:space="0" w:color="auto"/>
            <w:right w:val="none" w:sz="0" w:space="0" w:color="auto"/>
          </w:divBdr>
        </w:div>
        <w:div w:id="16472783">
          <w:marLeft w:val="480"/>
          <w:marRight w:val="0"/>
          <w:marTop w:val="0"/>
          <w:marBottom w:val="0"/>
          <w:divBdr>
            <w:top w:val="none" w:sz="0" w:space="0" w:color="auto"/>
            <w:left w:val="none" w:sz="0" w:space="0" w:color="auto"/>
            <w:bottom w:val="none" w:sz="0" w:space="0" w:color="auto"/>
            <w:right w:val="none" w:sz="0" w:space="0" w:color="auto"/>
          </w:divBdr>
        </w:div>
        <w:div w:id="32734287">
          <w:marLeft w:val="480"/>
          <w:marRight w:val="0"/>
          <w:marTop w:val="0"/>
          <w:marBottom w:val="0"/>
          <w:divBdr>
            <w:top w:val="none" w:sz="0" w:space="0" w:color="auto"/>
            <w:left w:val="none" w:sz="0" w:space="0" w:color="auto"/>
            <w:bottom w:val="none" w:sz="0" w:space="0" w:color="auto"/>
            <w:right w:val="none" w:sz="0" w:space="0" w:color="auto"/>
          </w:divBdr>
        </w:div>
        <w:div w:id="79955432">
          <w:marLeft w:val="480"/>
          <w:marRight w:val="0"/>
          <w:marTop w:val="0"/>
          <w:marBottom w:val="0"/>
          <w:divBdr>
            <w:top w:val="none" w:sz="0" w:space="0" w:color="auto"/>
            <w:left w:val="none" w:sz="0" w:space="0" w:color="auto"/>
            <w:bottom w:val="none" w:sz="0" w:space="0" w:color="auto"/>
            <w:right w:val="none" w:sz="0" w:space="0" w:color="auto"/>
          </w:divBdr>
        </w:div>
        <w:div w:id="127482650">
          <w:marLeft w:val="480"/>
          <w:marRight w:val="0"/>
          <w:marTop w:val="0"/>
          <w:marBottom w:val="0"/>
          <w:divBdr>
            <w:top w:val="none" w:sz="0" w:space="0" w:color="auto"/>
            <w:left w:val="none" w:sz="0" w:space="0" w:color="auto"/>
            <w:bottom w:val="none" w:sz="0" w:space="0" w:color="auto"/>
            <w:right w:val="none" w:sz="0" w:space="0" w:color="auto"/>
          </w:divBdr>
        </w:div>
        <w:div w:id="145318572">
          <w:marLeft w:val="480"/>
          <w:marRight w:val="0"/>
          <w:marTop w:val="0"/>
          <w:marBottom w:val="0"/>
          <w:divBdr>
            <w:top w:val="none" w:sz="0" w:space="0" w:color="auto"/>
            <w:left w:val="none" w:sz="0" w:space="0" w:color="auto"/>
            <w:bottom w:val="none" w:sz="0" w:space="0" w:color="auto"/>
            <w:right w:val="none" w:sz="0" w:space="0" w:color="auto"/>
          </w:divBdr>
        </w:div>
        <w:div w:id="184104483">
          <w:marLeft w:val="480"/>
          <w:marRight w:val="0"/>
          <w:marTop w:val="0"/>
          <w:marBottom w:val="0"/>
          <w:divBdr>
            <w:top w:val="none" w:sz="0" w:space="0" w:color="auto"/>
            <w:left w:val="none" w:sz="0" w:space="0" w:color="auto"/>
            <w:bottom w:val="none" w:sz="0" w:space="0" w:color="auto"/>
            <w:right w:val="none" w:sz="0" w:space="0" w:color="auto"/>
          </w:divBdr>
        </w:div>
        <w:div w:id="244190243">
          <w:marLeft w:val="480"/>
          <w:marRight w:val="0"/>
          <w:marTop w:val="0"/>
          <w:marBottom w:val="0"/>
          <w:divBdr>
            <w:top w:val="none" w:sz="0" w:space="0" w:color="auto"/>
            <w:left w:val="none" w:sz="0" w:space="0" w:color="auto"/>
            <w:bottom w:val="none" w:sz="0" w:space="0" w:color="auto"/>
            <w:right w:val="none" w:sz="0" w:space="0" w:color="auto"/>
          </w:divBdr>
        </w:div>
        <w:div w:id="254746749">
          <w:marLeft w:val="480"/>
          <w:marRight w:val="0"/>
          <w:marTop w:val="0"/>
          <w:marBottom w:val="0"/>
          <w:divBdr>
            <w:top w:val="none" w:sz="0" w:space="0" w:color="auto"/>
            <w:left w:val="none" w:sz="0" w:space="0" w:color="auto"/>
            <w:bottom w:val="none" w:sz="0" w:space="0" w:color="auto"/>
            <w:right w:val="none" w:sz="0" w:space="0" w:color="auto"/>
          </w:divBdr>
        </w:div>
        <w:div w:id="275331975">
          <w:marLeft w:val="480"/>
          <w:marRight w:val="0"/>
          <w:marTop w:val="0"/>
          <w:marBottom w:val="0"/>
          <w:divBdr>
            <w:top w:val="none" w:sz="0" w:space="0" w:color="auto"/>
            <w:left w:val="none" w:sz="0" w:space="0" w:color="auto"/>
            <w:bottom w:val="none" w:sz="0" w:space="0" w:color="auto"/>
            <w:right w:val="none" w:sz="0" w:space="0" w:color="auto"/>
          </w:divBdr>
        </w:div>
        <w:div w:id="306858320">
          <w:marLeft w:val="480"/>
          <w:marRight w:val="0"/>
          <w:marTop w:val="0"/>
          <w:marBottom w:val="0"/>
          <w:divBdr>
            <w:top w:val="none" w:sz="0" w:space="0" w:color="auto"/>
            <w:left w:val="none" w:sz="0" w:space="0" w:color="auto"/>
            <w:bottom w:val="none" w:sz="0" w:space="0" w:color="auto"/>
            <w:right w:val="none" w:sz="0" w:space="0" w:color="auto"/>
          </w:divBdr>
        </w:div>
        <w:div w:id="381638921">
          <w:marLeft w:val="480"/>
          <w:marRight w:val="0"/>
          <w:marTop w:val="0"/>
          <w:marBottom w:val="0"/>
          <w:divBdr>
            <w:top w:val="none" w:sz="0" w:space="0" w:color="auto"/>
            <w:left w:val="none" w:sz="0" w:space="0" w:color="auto"/>
            <w:bottom w:val="none" w:sz="0" w:space="0" w:color="auto"/>
            <w:right w:val="none" w:sz="0" w:space="0" w:color="auto"/>
          </w:divBdr>
        </w:div>
        <w:div w:id="407849243">
          <w:marLeft w:val="480"/>
          <w:marRight w:val="0"/>
          <w:marTop w:val="0"/>
          <w:marBottom w:val="0"/>
          <w:divBdr>
            <w:top w:val="none" w:sz="0" w:space="0" w:color="auto"/>
            <w:left w:val="none" w:sz="0" w:space="0" w:color="auto"/>
            <w:bottom w:val="none" w:sz="0" w:space="0" w:color="auto"/>
            <w:right w:val="none" w:sz="0" w:space="0" w:color="auto"/>
          </w:divBdr>
        </w:div>
        <w:div w:id="424694354">
          <w:marLeft w:val="480"/>
          <w:marRight w:val="0"/>
          <w:marTop w:val="0"/>
          <w:marBottom w:val="0"/>
          <w:divBdr>
            <w:top w:val="none" w:sz="0" w:space="0" w:color="auto"/>
            <w:left w:val="none" w:sz="0" w:space="0" w:color="auto"/>
            <w:bottom w:val="none" w:sz="0" w:space="0" w:color="auto"/>
            <w:right w:val="none" w:sz="0" w:space="0" w:color="auto"/>
          </w:divBdr>
        </w:div>
        <w:div w:id="532421570">
          <w:marLeft w:val="480"/>
          <w:marRight w:val="0"/>
          <w:marTop w:val="0"/>
          <w:marBottom w:val="0"/>
          <w:divBdr>
            <w:top w:val="none" w:sz="0" w:space="0" w:color="auto"/>
            <w:left w:val="none" w:sz="0" w:space="0" w:color="auto"/>
            <w:bottom w:val="none" w:sz="0" w:space="0" w:color="auto"/>
            <w:right w:val="none" w:sz="0" w:space="0" w:color="auto"/>
          </w:divBdr>
        </w:div>
        <w:div w:id="536622661">
          <w:marLeft w:val="480"/>
          <w:marRight w:val="0"/>
          <w:marTop w:val="0"/>
          <w:marBottom w:val="0"/>
          <w:divBdr>
            <w:top w:val="none" w:sz="0" w:space="0" w:color="auto"/>
            <w:left w:val="none" w:sz="0" w:space="0" w:color="auto"/>
            <w:bottom w:val="none" w:sz="0" w:space="0" w:color="auto"/>
            <w:right w:val="none" w:sz="0" w:space="0" w:color="auto"/>
          </w:divBdr>
        </w:div>
        <w:div w:id="580336056">
          <w:marLeft w:val="480"/>
          <w:marRight w:val="0"/>
          <w:marTop w:val="0"/>
          <w:marBottom w:val="0"/>
          <w:divBdr>
            <w:top w:val="none" w:sz="0" w:space="0" w:color="auto"/>
            <w:left w:val="none" w:sz="0" w:space="0" w:color="auto"/>
            <w:bottom w:val="none" w:sz="0" w:space="0" w:color="auto"/>
            <w:right w:val="none" w:sz="0" w:space="0" w:color="auto"/>
          </w:divBdr>
        </w:div>
        <w:div w:id="601843760">
          <w:marLeft w:val="480"/>
          <w:marRight w:val="0"/>
          <w:marTop w:val="0"/>
          <w:marBottom w:val="0"/>
          <w:divBdr>
            <w:top w:val="none" w:sz="0" w:space="0" w:color="auto"/>
            <w:left w:val="none" w:sz="0" w:space="0" w:color="auto"/>
            <w:bottom w:val="none" w:sz="0" w:space="0" w:color="auto"/>
            <w:right w:val="none" w:sz="0" w:space="0" w:color="auto"/>
          </w:divBdr>
        </w:div>
        <w:div w:id="637952230">
          <w:marLeft w:val="480"/>
          <w:marRight w:val="0"/>
          <w:marTop w:val="0"/>
          <w:marBottom w:val="0"/>
          <w:divBdr>
            <w:top w:val="none" w:sz="0" w:space="0" w:color="auto"/>
            <w:left w:val="none" w:sz="0" w:space="0" w:color="auto"/>
            <w:bottom w:val="none" w:sz="0" w:space="0" w:color="auto"/>
            <w:right w:val="none" w:sz="0" w:space="0" w:color="auto"/>
          </w:divBdr>
        </w:div>
        <w:div w:id="676999988">
          <w:marLeft w:val="480"/>
          <w:marRight w:val="0"/>
          <w:marTop w:val="0"/>
          <w:marBottom w:val="0"/>
          <w:divBdr>
            <w:top w:val="none" w:sz="0" w:space="0" w:color="auto"/>
            <w:left w:val="none" w:sz="0" w:space="0" w:color="auto"/>
            <w:bottom w:val="none" w:sz="0" w:space="0" w:color="auto"/>
            <w:right w:val="none" w:sz="0" w:space="0" w:color="auto"/>
          </w:divBdr>
        </w:div>
        <w:div w:id="698747477">
          <w:marLeft w:val="480"/>
          <w:marRight w:val="0"/>
          <w:marTop w:val="0"/>
          <w:marBottom w:val="0"/>
          <w:divBdr>
            <w:top w:val="none" w:sz="0" w:space="0" w:color="auto"/>
            <w:left w:val="none" w:sz="0" w:space="0" w:color="auto"/>
            <w:bottom w:val="none" w:sz="0" w:space="0" w:color="auto"/>
            <w:right w:val="none" w:sz="0" w:space="0" w:color="auto"/>
          </w:divBdr>
        </w:div>
        <w:div w:id="706099007">
          <w:marLeft w:val="480"/>
          <w:marRight w:val="0"/>
          <w:marTop w:val="0"/>
          <w:marBottom w:val="0"/>
          <w:divBdr>
            <w:top w:val="none" w:sz="0" w:space="0" w:color="auto"/>
            <w:left w:val="none" w:sz="0" w:space="0" w:color="auto"/>
            <w:bottom w:val="none" w:sz="0" w:space="0" w:color="auto"/>
            <w:right w:val="none" w:sz="0" w:space="0" w:color="auto"/>
          </w:divBdr>
        </w:div>
        <w:div w:id="780033962">
          <w:marLeft w:val="480"/>
          <w:marRight w:val="0"/>
          <w:marTop w:val="0"/>
          <w:marBottom w:val="0"/>
          <w:divBdr>
            <w:top w:val="none" w:sz="0" w:space="0" w:color="auto"/>
            <w:left w:val="none" w:sz="0" w:space="0" w:color="auto"/>
            <w:bottom w:val="none" w:sz="0" w:space="0" w:color="auto"/>
            <w:right w:val="none" w:sz="0" w:space="0" w:color="auto"/>
          </w:divBdr>
        </w:div>
        <w:div w:id="855657329">
          <w:marLeft w:val="480"/>
          <w:marRight w:val="0"/>
          <w:marTop w:val="0"/>
          <w:marBottom w:val="0"/>
          <w:divBdr>
            <w:top w:val="none" w:sz="0" w:space="0" w:color="auto"/>
            <w:left w:val="none" w:sz="0" w:space="0" w:color="auto"/>
            <w:bottom w:val="none" w:sz="0" w:space="0" w:color="auto"/>
            <w:right w:val="none" w:sz="0" w:space="0" w:color="auto"/>
          </w:divBdr>
        </w:div>
        <w:div w:id="875388279">
          <w:marLeft w:val="480"/>
          <w:marRight w:val="0"/>
          <w:marTop w:val="0"/>
          <w:marBottom w:val="0"/>
          <w:divBdr>
            <w:top w:val="none" w:sz="0" w:space="0" w:color="auto"/>
            <w:left w:val="none" w:sz="0" w:space="0" w:color="auto"/>
            <w:bottom w:val="none" w:sz="0" w:space="0" w:color="auto"/>
            <w:right w:val="none" w:sz="0" w:space="0" w:color="auto"/>
          </w:divBdr>
        </w:div>
        <w:div w:id="920333633">
          <w:marLeft w:val="480"/>
          <w:marRight w:val="0"/>
          <w:marTop w:val="0"/>
          <w:marBottom w:val="0"/>
          <w:divBdr>
            <w:top w:val="none" w:sz="0" w:space="0" w:color="auto"/>
            <w:left w:val="none" w:sz="0" w:space="0" w:color="auto"/>
            <w:bottom w:val="none" w:sz="0" w:space="0" w:color="auto"/>
            <w:right w:val="none" w:sz="0" w:space="0" w:color="auto"/>
          </w:divBdr>
        </w:div>
        <w:div w:id="932515483">
          <w:marLeft w:val="480"/>
          <w:marRight w:val="0"/>
          <w:marTop w:val="0"/>
          <w:marBottom w:val="0"/>
          <w:divBdr>
            <w:top w:val="none" w:sz="0" w:space="0" w:color="auto"/>
            <w:left w:val="none" w:sz="0" w:space="0" w:color="auto"/>
            <w:bottom w:val="none" w:sz="0" w:space="0" w:color="auto"/>
            <w:right w:val="none" w:sz="0" w:space="0" w:color="auto"/>
          </w:divBdr>
        </w:div>
        <w:div w:id="969017780">
          <w:marLeft w:val="480"/>
          <w:marRight w:val="0"/>
          <w:marTop w:val="0"/>
          <w:marBottom w:val="0"/>
          <w:divBdr>
            <w:top w:val="none" w:sz="0" w:space="0" w:color="auto"/>
            <w:left w:val="none" w:sz="0" w:space="0" w:color="auto"/>
            <w:bottom w:val="none" w:sz="0" w:space="0" w:color="auto"/>
            <w:right w:val="none" w:sz="0" w:space="0" w:color="auto"/>
          </w:divBdr>
        </w:div>
        <w:div w:id="997809084">
          <w:marLeft w:val="480"/>
          <w:marRight w:val="0"/>
          <w:marTop w:val="0"/>
          <w:marBottom w:val="0"/>
          <w:divBdr>
            <w:top w:val="none" w:sz="0" w:space="0" w:color="auto"/>
            <w:left w:val="none" w:sz="0" w:space="0" w:color="auto"/>
            <w:bottom w:val="none" w:sz="0" w:space="0" w:color="auto"/>
            <w:right w:val="none" w:sz="0" w:space="0" w:color="auto"/>
          </w:divBdr>
        </w:div>
        <w:div w:id="1005403187">
          <w:marLeft w:val="480"/>
          <w:marRight w:val="0"/>
          <w:marTop w:val="0"/>
          <w:marBottom w:val="0"/>
          <w:divBdr>
            <w:top w:val="none" w:sz="0" w:space="0" w:color="auto"/>
            <w:left w:val="none" w:sz="0" w:space="0" w:color="auto"/>
            <w:bottom w:val="none" w:sz="0" w:space="0" w:color="auto"/>
            <w:right w:val="none" w:sz="0" w:space="0" w:color="auto"/>
          </w:divBdr>
        </w:div>
        <w:div w:id="1007446438">
          <w:marLeft w:val="480"/>
          <w:marRight w:val="0"/>
          <w:marTop w:val="0"/>
          <w:marBottom w:val="0"/>
          <w:divBdr>
            <w:top w:val="none" w:sz="0" w:space="0" w:color="auto"/>
            <w:left w:val="none" w:sz="0" w:space="0" w:color="auto"/>
            <w:bottom w:val="none" w:sz="0" w:space="0" w:color="auto"/>
            <w:right w:val="none" w:sz="0" w:space="0" w:color="auto"/>
          </w:divBdr>
        </w:div>
        <w:div w:id="1035619380">
          <w:marLeft w:val="480"/>
          <w:marRight w:val="0"/>
          <w:marTop w:val="0"/>
          <w:marBottom w:val="0"/>
          <w:divBdr>
            <w:top w:val="none" w:sz="0" w:space="0" w:color="auto"/>
            <w:left w:val="none" w:sz="0" w:space="0" w:color="auto"/>
            <w:bottom w:val="none" w:sz="0" w:space="0" w:color="auto"/>
            <w:right w:val="none" w:sz="0" w:space="0" w:color="auto"/>
          </w:divBdr>
        </w:div>
        <w:div w:id="1046485839">
          <w:marLeft w:val="480"/>
          <w:marRight w:val="0"/>
          <w:marTop w:val="0"/>
          <w:marBottom w:val="0"/>
          <w:divBdr>
            <w:top w:val="none" w:sz="0" w:space="0" w:color="auto"/>
            <w:left w:val="none" w:sz="0" w:space="0" w:color="auto"/>
            <w:bottom w:val="none" w:sz="0" w:space="0" w:color="auto"/>
            <w:right w:val="none" w:sz="0" w:space="0" w:color="auto"/>
          </w:divBdr>
        </w:div>
        <w:div w:id="1054088507">
          <w:marLeft w:val="480"/>
          <w:marRight w:val="0"/>
          <w:marTop w:val="0"/>
          <w:marBottom w:val="0"/>
          <w:divBdr>
            <w:top w:val="none" w:sz="0" w:space="0" w:color="auto"/>
            <w:left w:val="none" w:sz="0" w:space="0" w:color="auto"/>
            <w:bottom w:val="none" w:sz="0" w:space="0" w:color="auto"/>
            <w:right w:val="none" w:sz="0" w:space="0" w:color="auto"/>
          </w:divBdr>
        </w:div>
        <w:div w:id="1058473276">
          <w:marLeft w:val="480"/>
          <w:marRight w:val="0"/>
          <w:marTop w:val="0"/>
          <w:marBottom w:val="0"/>
          <w:divBdr>
            <w:top w:val="none" w:sz="0" w:space="0" w:color="auto"/>
            <w:left w:val="none" w:sz="0" w:space="0" w:color="auto"/>
            <w:bottom w:val="none" w:sz="0" w:space="0" w:color="auto"/>
            <w:right w:val="none" w:sz="0" w:space="0" w:color="auto"/>
          </w:divBdr>
        </w:div>
        <w:div w:id="1074549376">
          <w:marLeft w:val="480"/>
          <w:marRight w:val="0"/>
          <w:marTop w:val="0"/>
          <w:marBottom w:val="0"/>
          <w:divBdr>
            <w:top w:val="none" w:sz="0" w:space="0" w:color="auto"/>
            <w:left w:val="none" w:sz="0" w:space="0" w:color="auto"/>
            <w:bottom w:val="none" w:sz="0" w:space="0" w:color="auto"/>
            <w:right w:val="none" w:sz="0" w:space="0" w:color="auto"/>
          </w:divBdr>
        </w:div>
        <w:div w:id="1083645632">
          <w:marLeft w:val="480"/>
          <w:marRight w:val="0"/>
          <w:marTop w:val="0"/>
          <w:marBottom w:val="0"/>
          <w:divBdr>
            <w:top w:val="none" w:sz="0" w:space="0" w:color="auto"/>
            <w:left w:val="none" w:sz="0" w:space="0" w:color="auto"/>
            <w:bottom w:val="none" w:sz="0" w:space="0" w:color="auto"/>
            <w:right w:val="none" w:sz="0" w:space="0" w:color="auto"/>
          </w:divBdr>
        </w:div>
        <w:div w:id="1194198613">
          <w:marLeft w:val="480"/>
          <w:marRight w:val="0"/>
          <w:marTop w:val="0"/>
          <w:marBottom w:val="0"/>
          <w:divBdr>
            <w:top w:val="none" w:sz="0" w:space="0" w:color="auto"/>
            <w:left w:val="none" w:sz="0" w:space="0" w:color="auto"/>
            <w:bottom w:val="none" w:sz="0" w:space="0" w:color="auto"/>
            <w:right w:val="none" w:sz="0" w:space="0" w:color="auto"/>
          </w:divBdr>
        </w:div>
        <w:div w:id="1222517507">
          <w:marLeft w:val="480"/>
          <w:marRight w:val="0"/>
          <w:marTop w:val="0"/>
          <w:marBottom w:val="0"/>
          <w:divBdr>
            <w:top w:val="none" w:sz="0" w:space="0" w:color="auto"/>
            <w:left w:val="none" w:sz="0" w:space="0" w:color="auto"/>
            <w:bottom w:val="none" w:sz="0" w:space="0" w:color="auto"/>
            <w:right w:val="none" w:sz="0" w:space="0" w:color="auto"/>
          </w:divBdr>
        </w:div>
        <w:div w:id="1312176047">
          <w:marLeft w:val="480"/>
          <w:marRight w:val="0"/>
          <w:marTop w:val="0"/>
          <w:marBottom w:val="0"/>
          <w:divBdr>
            <w:top w:val="none" w:sz="0" w:space="0" w:color="auto"/>
            <w:left w:val="none" w:sz="0" w:space="0" w:color="auto"/>
            <w:bottom w:val="none" w:sz="0" w:space="0" w:color="auto"/>
            <w:right w:val="none" w:sz="0" w:space="0" w:color="auto"/>
          </w:divBdr>
        </w:div>
        <w:div w:id="1368264111">
          <w:marLeft w:val="480"/>
          <w:marRight w:val="0"/>
          <w:marTop w:val="0"/>
          <w:marBottom w:val="0"/>
          <w:divBdr>
            <w:top w:val="none" w:sz="0" w:space="0" w:color="auto"/>
            <w:left w:val="none" w:sz="0" w:space="0" w:color="auto"/>
            <w:bottom w:val="none" w:sz="0" w:space="0" w:color="auto"/>
            <w:right w:val="none" w:sz="0" w:space="0" w:color="auto"/>
          </w:divBdr>
        </w:div>
        <w:div w:id="1384325071">
          <w:marLeft w:val="480"/>
          <w:marRight w:val="0"/>
          <w:marTop w:val="0"/>
          <w:marBottom w:val="0"/>
          <w:divBdr>
            <w:top w:val="none" w:sz="0" w:space="0" w:color="auto"/>
            <w:left w:val="none" w:sz="0" w:space="0" w:color="auto"/>
            <w:bottom w:val="none" w:sz="0" w:space="0" w:color="auto"/>
            <w:right w:val="none" w:sz="0" w:space="0" w:color="auto"/>
          </w:divBdr>
        </w:div>
        <w:div w:id="1417088611">
          <w:marLeft w:val="480"/>
          <w:marRight w:val="0"/>
          <w:marTop w:val="0"/>
          <w:marBottom w:val="0"/>
          <w:divBdr>
            <w:top w:val="none" w:sz="0" w:space="0" w:color="auto"/>
            <w:left w:val="none" w:sz="0" w:space="0" w:color="auto"/>
            <w:bottom w:val="none" w:sz="0" w:space="0" w:color="auto"/>
            <w:right w:val="none" w:sz="0" w:space="0" w:color="auto"/>
          </w:divBdr>
        </w:div>
        <w:div w:id="1454862504">
          <w:marLeft w:val="480"/>
          <w:marRight w:val="0"/>
          <w:marTop w:val="0"/>
          <w:marBottom w:val="0"/>
          <w:divBdr>
            <w:top w:val="none" w:sz="0" w:space="0" w:color="auto"/>
            <w:left w:val="none" w:sz="0" w:space="0" w:color="auto"/>
            <w:bottom w:val="none" w:sz="0" w:space="0" w:color="auto"/>
            <w:right w:val="none" w:sz="0" w:space="0" w:color="auto"/>
          </w:divBdr>
        </w:div>
        <w:div w:id="1460686638">
          <w:marLeft w:val="480"/>
          <w:marRight w:val="0"/>
          <w:marTop w:val="0"/>
          <w:marBottom w:val="0"/>
          <w:divBdr>
            <w:top w:val="none" w:sz="0" w:space="0" w:color="auto"/>
            <w:left w:val="none" w:sz="0" w:space="0" w:color="auto"/>
            <w:bottom w:val="none" w:sz="0" w:space="0" w:color="auto"/>
            <w:right w:val="none" w:sz="0" w:space="0" w:color="auto"/>
          </w:divBdr>
        </w:div>
        <w:div w:id="1480876568">
          <w:marLeft w:val="480"/>
          <w:marRight w:val="0"/>
          <w:marTop w:val="0"/>
          <w:marBottom w:val="0"/>
          <w:divBdr>
            <w:top w:val="none" w:sz="0" w:space="0" w:color="auto"/>
            <w:left w:val="none" w:sz="0" w:space="0" w:color="auto"/>
            <w:bottom w:val="none" w:sz="0" w:space="0" w:color="auto"/>
            <w:right w:val="none" w:sz="0" w:space="0" w:color="auto"/>
          </w:divBdr>
        </w:div>
        <w:div w:id="1489327211">
          <w:marLeft w:val="480"/>
          <w:marRight w:val="0"/>
          <w:marTop w:val="0"/>
          <w:marBottom w:val="0"/>
          <w:divBdr>
            <w:top w:val="none" w:sz="0" w:space="0" w:color="auto"/>
            <w:left w:val="none" w:sz="0" w:space="0" w:color="auto"/>
            <w:bottom w:val="none" w:sz="0" w:space="0" w:color="auto"/>
            <w:right w:val="none" w:sz="0" w:space="0" w:color="auto"/>
          </w:divBdr>
        </w:div>
        <w:div w:id="1508591353">
          <w:marLeft w:val="480"/>
          <w:marRight w:val="0"/>
          <w:marTop w:val="0"/>
          <w:marBottom w:val="0"/>
          <w:divBdr>
            <w:top w:val="none" w:sz="0" w:space="0" w:color="auto"/>
            <w:left w:val="none" w:sz="0" w:space="0" w:color="auto"/>
            <w:bottom w:val="none" w:sz="0" w:space="0" w:color="auto"/>
            <w:right w:val="none" w:sz="0" w:space="0" w:color="auto"/>
          </w:divBdr>
        </w:div>
        <w:div w:id="1531380551">
          <w:marLeft w:val="480"/>
          <w:marRight w:val="0"/>
          <w:marTop w:val="0"/>
          <w:marBottom w:val="0"/>
          <w:divBdr>
            <w:top w:val="none" w:sz="0" w:space="0" w:color="auto"/>
            <w:left w:val="none" w:sz="0" w:space="0" w:color="auto"/>
            <w:bottom w:val="none" w:sz="0" w:space="0" w:color="auto"/>
            <w:right w:val="none" w:sz="0" w:space="0" w:color="auto"/>
          </w:divBdr>
        </w:div>
        <w:div w:id="1545218012">
          <w:marLeft w:val="480"/>
          <w:marRight w:val="0"/>
          <w:marTop w:val="0"/>
          <w:marBottom w:val="0"/>
          <w:divBdr>
            <w:top w:val="none" w:sz="0" w:space="0" w:color="auto"/>
            <w:left w:val="none" w:sz="0" w:space="0" w:color="auto"/>
            <w:bottom w:val="none" w:sz="0" w:space="0" w:color="auto"/>
            <w:right w:val="none" w:sz="0" w:space="0" w:color="auto"/>
          </w:divBdr>
        </w:div>
        <w:div w:id="1571426366">
          <w:marLeft w:val="480"/>
          <w:marRight w:val="0"/>
          <w:marTop w:val="0"/>
          <w:marBottom w:val="0"/>
          <w:divBdr>
            <w:top w:val="none" w:sz="0" w:space="0" w:color="auto"/>
            <w:left w:val="none" w:sz="0" w:space="0" w:color="auto"/>
            <w:bottom w:val="none" w:sz="0" w:space="0" w:color="auto"/>
            <w:right w:val="none" w:sz="0" w:space="0" w:color="auto"/>
          </w:divBdr>
        </w:div>
        <w:div w:id="1582105140">
          <w:marLeft w:val="480"/>
          <w:marRight w:val="0"/>
          <w:marTop w:val="0"/>
          <w:marBottom w:val="0"/>
          <w:divBdr>
            <w:top w:val="none" w:sz="0" w:space="0" w:color="auto"/>
            <w:left w:val="none" w:sz="0" w:space="0" w:color="auto"/>
            <w:bottom w:val="none" w:sz="0" w:space="0" w:color="auto"/>
            <w:right w:val="none" w:sz="0" w:space="0" w:color="auto"/>
          </w:divBdr>
        </w:div>
        <w:div w:id="1641153394">
          <w:marLeft w:val="480"/>
          <w:marRight w:val="0"/>
          <w:marTop w:val="0"/>
          <w:marBottom w:val="0"/>
          <w:divBdr>
            <w:top w:val="none" w:sz="0" w:space="0" w:color="auto"/>
            <w:left w:val="none" w:sz="0" w:space="0" w:color="auto"/>
            <w:bottom w:val="none" w:sz="0" w:space="0" w:color="auto"/>
            <w:right w:val="none" w:sz="0" w:space="0" w:color="auto"/>
          </w:divBdr>
        </w:div>
        <w:div w:id="1755589020">
          <w:marLeft w:val="480"/>
          <w:marRight w:val="0"/>
          <w:marTop w:val="0"/>
          <w:marBottom w:val="0"/>
          <w:divBdr>
            <w:top w:val="none" w:sz="0" w:space="0" w:color="auto"/>
            <w:left w:val="none" w:sz="0" w:space="0" w:color="auto"/>
            <w:bottom w:val="none" w:sz="0" w:space="0" w:color="auto"/>
            <w:right w:val="none" w:sz="0" w:space="0" w:color="auto"/>
          </w:divBdr>
        </w:div>
        <w:div w:id="1762607611">
          <w:marLeft w:val="480"/>
          <w:marRight w:val="0"/>
          <w:marTop w:val="0"/>
          <w:marBottom w:val="0"/>
          <w:divBdr>
            <w:top w:val="none" w:sz="0" w:space="0" w:color="auto"/>
            <w:left w:val="none" w:sz="0" w:space="0" w:color="auto"/>
            <w:bottom w:val="none" w:sz="0" w:space="0" w:color="auto"/>
            <w:right w:val="none" w:sz="0" w:space="0" w:color="auto"/>
          </w:divBdr>
        </w:div>
        <w:div w:id="1779134263">
          <w:marLeft w:val="480"/>
          <w:marRight w:val="0"/>
          <w:marTop w:val="0"/>
          <w:marBottom w:val="0"/>
          <w:divBdr>
            <w:top w:val="none" w:sz="0" w:space="0" w:color="auto"/>
            <w:left w:val="none" w:sz="0" w:space="0" w:color="auto"/>
            <w:bottom w:val="none" w:sz="0" w:space="0" w:color="auto"/>
            <w:right w:val="none" w:sz="0" w:space="0" w:color="auto"/>
          </w:divBdr>
        </w:div>
        <w:div w:id="1810660111">
          <w:marLeft w:val="480"/>
          <w:marRight w:val="0"/>
          <w:marTop w:val="0"/>
          <w:marBottom w:val="0"/>
          <w:divBdr>
            <w:top w:val="none" w:sz="0" w:space="0" w:color="auto"/>
            <w:left w:val="none" w:sz="0" w:space="0" w:color="auto"/>
            <w:bottom w:val="none" w:sz="0" w:space="0" w:color="auto"/>
            <w:right w:val="none" w:sz="0" w:space="0" w:color="auto"/>
          </w:divBdr>
        </w:div>
        <w:div w:id="1815835892">
          <w:marLeft w:val="480"/>
          <w:marRight w:val="0"/>
          <w:marTop w:val="0"/>
          <w:marBottom w:val="0"/>
          <w:divBdr>
            <w:top w:val="none" w:sz="0" w:space="0" w:color="auto"/>
            <w:left w:val="none" w:sz="0" w:space="0" w:color="auto"/>
            <w:bottom w:val="none" w:sz="0" w:space="0" w:color="auto"/>
            <w:right w:val="none" w:sz="0" w:space="0" w:color="auto"/>
          </w:divBdr>
        </w:div>
        <w:div w:id="1903129455">
          <w:marLeft w:val="480"/>
          <w:marRight w:val="0"/>
          <w:marTop w:val="0"/>
          <w:marBottom w:val="0"/>
          <w:divBdr>
            <w:top w:val="none" w:sz="0" w:space="0" w:color="auto"/>
            <w:left w:val="none" w:sz="0" w:space="0" w:color="auto"/>
            <w:bottom w:val="none" w:sz="0" w:space="0" w:color="auto"/>
            <w:right w:val="none" w:sz="0" w:space="0" w:color="auto"/>
          </w:divBdr>
        </w:div>
        <w:div w:id="1920628365">
          <w:marLeft w:val="480"/>
          <w:marRight w:val="0"/>
          <w:marTop w:val="0"/>
          <w:marBottom w:val="0"/>
          <w:divBdr>
            <w:top w:val="none" w:sz="0" w:space="0" w:color="auto"/>
            <w:left w:val="none" w:sz="0" w:space="0" w:color="auto"/>
            <w:bottom w:val="none" w:sz="0" w:space="0" w:color="auto"/>
            <w:right w:val="none" w:sz="0" w:space="0" w:color="auto"/>
          </w:divBdr>
        </w:div>
        <w:div w:id="1921792460">
          <w:marLeft w:val="480"/>
          <w:marRight w:val="0"/>
          <w:marTop w:val="0"/>
          <w:marBottom w:val="0"/>
          <w:divBdr>
            <w:top w:val="none" w:sz="0" w:space="0" w:color="auto"/>
            <w:left w:val="none" w:sz="0" w:space="0" w:color="auto"/>
            <w:bottom w:val="none" w:sz="0" w:space="0" w:color="auto"/>
            <w:right w:val="none" w:sz="0" w:space="0" w:color="auto"/>
          </w:divBdr>
        </w:div>
        <w:div w:id="2135563569">
          <w:marLeft w:val="480"/>
          <w:marRight w:val="0"/>
          <w:marTop w:val="0"/>
          <w:marBottom w:val="0"/>
          <w:divBdr>
            <w:top w:val="none" w:sz="0" w:space="0" w:color="auto"/>
            <w:left w:val="none" w:sz="0" w:space="0" w:color="auto"/>
            <w:bottom w:val="none" w:sz="0" w:space="0" w:color="auto"/>
            <w:right w:val="none" w:sz="0" w:space="0" w:color="auto"/>
          </w:divBdr>
        </w:div>
      </w:divsChild>
    </w:div>
    <w:div w:id="500582332">
      <w:bodyDiv w:val="1"/>
      <w:marLeft w:val="0"/>
      <w:marRight w:val="0"/>
      <w:marTop w:val="0"/>
      <w:marBottom w:val="0"/>
      <w:divBdr>
        <w:top w:val="none" w:sz="0" w:space="0" w:color="auto"/>
        <w:left w:val="none" w:sz="0" w:space="0" w:color="auto"/>
        <w:bottom w:val="none" w:sz="0" w:space="0" w:color="auto"/>
        <w:right w:val="none" w:sz="0" w:space="0" w:color="auto"/>
      </w:divBdr>
    </w:div>
    <w:div w:id="508179789">
      <w:bodyDiv w:val="1"/>
      <w:marLeft w:val="0"/>
      <w:marRight w:val="0"/>
      <w:marTop w:val="0"/>
      <w:marBottom w:val="0"/>
      <w:divBdr>
        <w:top w:val="none" w:sz="0" w:space="0" w:color="auto"/>
        <w:left w:val="none" w:sz="0" w:space="0" w:color="auto"/>
        <w:bottom w:val="none" w:sz="0" w:space="0" w:color="auto"/>
        <w:right w:val="none" w:sz="0" w:space="0" w:color="auto"/>
      </w:divBdr>
    </w:div>
    <w:div w:id="510529275">
      <w:bodyDiv w:val="1"/>
      <w:marLeft w:val="0"/>
      <w:marRight w:val="0"/>
      <w:marTop w:val="0"/>
      <w:marBottom w:val="0"/>
      <w:divBdr>
        <w:top w:val="none" w:sz="0" w:space="0" w:color="auto"/>
        <w:left w:val="none" w:sz="0" w:space="0" w:color="auto"/>
        <w:bottom w:val="none" w:sz="0" w:space="0" w:color="auto"/>
        <w:right w:val="none" w:sz="0" w:space="0" w:color="auto"/>
      </w:divBdr>
    </w:div>
    <w:div w:id="510683916">
      <w:bodyDiv w:val="1"/>
      <w:marLeft w:val="0"/>
      <w:marRight w:val="0"/>
      <w:marTop w:val="0"/>
      <w:marBottom w:val="0"/>
      <w:divBdr>
        <w:top w:val="none" w:sz="0" w:space="0" w:color="auto"/>
        <w:left w:val="none" w:sz="0" w:space="0" w:color="auto"/>
        <w:bottom w:val="none" w:sz="0" w:space="0" w:color="auto"/>
        <w:right w:val="none" w:sz="0" w:space="0" w:color="auto"/>
      </w:divBdr>
    </w:div>
    <w:div w:id="514535620">
      <w:bodyDiv w:val="1"/>
      <w:marLeft w:val="0"/>
      <w:marRight w:val="0"/>
      <w:marTop w:val="0"/>
      <w:marBottom w:val="0"/>
      <w:divBdr>
        <w:top w:val="none" w:sz="0" w:space="0" w:color="auto"/>
        <w:left w:val="none" w:sz="0" w:space="0" w:color="auto"/>
        <w:bottom w:val="none" w:sz="0" w:space="0" w:color="auto"/>
        <w:right w:val="none" w:sz="0" w:space="0" w:color="auto"/>
      </w:divBdr>
    </w:div>
    <w:div w:id="515658707">
      <w:bodyDiv w:val="1"/>
      <w:marLeft w:val="0"/>
      <w:marRight w:val="0"/>
      <w:marTop w:val="0"/>
      <w:marBottom w:val="0"/>
      <w:divBdr>
        <w:top w:val="none" w:sz="0" w:space="0" w:color="auto"/>
        <w:left w:val="none" w:sz="0" w:space="0" w:color="auto"/>
        <w:bottom w:val="none" w:sz="0" w:space="0" w:color="auto"/>
        <w:right w:val="none" w:sz="0" w:space="0" w:color="auto"/>
      </w:divBdr>
    </w:div>
    <w:div w:id="522669170">
      <w:bodyDiv w:val="1"/>
      <w:marLeft w:val="0"/>
      <w:marRight w:val="0"/>
      <w:marTop w:val="0"/>
      <w:marBottom w:val="0"/>
      <w:divBdr>
        <w:top w:val="none" w:sz="0" w:space="0" w:color="auto"/>
        <w:left w:val="none" w:sz="0" w:space="0" w:color="auto"/>
        <w:bottom w:val="none" w:sz="0" w:space="0" w:color="auto"/>
        <w:right w:val="none" w:sz="0" w:space="0" w:color="auto"/>
      </w:divBdr>
    </w:div>
    <w:div w:id="528690515">
      <w:bodyDiv w:val="1"/>
      <w:marLeft w:val="0"/>
      <w:marRight w:val="0"/>
      <w:marTop w:val="0"/>
      <w:marBottom w:val="0"/>
      <w:divBdr>
        <w:top w:val="none" w:sz="0" w:space="0" w:color="auto"/>
        <w:left w:val="none" w:sz="0" w:space="0" w:color="auto"/>
        <w:bottom w:val="none" w:sz="0" w:space="0" w:color="auto"/>
        <w:right w:val="none" w:sz="0" w:space="0" w:color="auto"/>
      </w:divBdr>
    </w:div>
    <w:div w:id="550312704">
      <w:bodyDiv w:val="1"/>
      <w:marLeft w:val="0"/>
      <w:marRight w:val="0"/>
      <w:marTop w:val="0"/>
      <w:marBottom w:val="0"/>
      <w:divBdr>
        <w:top w:val="none" w:sz="0" w:space="0" w:color="auto"/>
        <w:left w:val="none" w:sz="0" w:space="0" w:color="auto"/>
        <w:bottom w:val="none" w:sz="0" w:space="0" w:color="auto"/>
        <w:right w:val="none" w:sz="0" w:space="0" w:color="auto"/>
      </w:divBdr>
      <w:divsChild>
        <w:div w:id="35089670">
          <w:marLeft w:val="480"/>
          <w:marRight w:val="0"/>
          <w:marTop w:val="0"/>
          <w:marBottom w:val="0"/>
          <w:divBdr>
            <w:top w:val="none" w:sz="0" w:space="0" w:color="auto"/>
            <w:left w:val="none" w:sz="0" w:space="0" w:color="auto"/>
            <w:bottom w:val="none" w:sz="0" w:space="0" w:color="auto"/>
            <w:right w:val="none" w:sz="0" w:space="0" w:color="auto"/>
          </w:divBdr>
        </w:div>
        <w:div w:id="49811680">
          <w:marLeft w:val="480"/>
          <w:marRight w:val="0"/>
          <w:marTop w:val="0"/>
          <w:marBottom w:val="0"/>
          <w:divBdr>
            <w:top w:val="none" w:sz="0" w:space="0" w:color="auto"/>
            <w:left w:val="none" w:sz="0" w:space="0" w:color="auto"/>
            <w:bottom w:val="none" w:sz="0" w:space="0" w:color="auto"/>
            <w:right w:val="none" w:sz="0" w:space="0" w:color="auto"/>
          </w:divBdr>
        </w:div>
        <w:div w:id="96407523">
          <w:marLeft w:val="480"/>
          <w:marRight w:val="0"/>
          <w:marTop w:val="0"/>
          <w:marBottom w:val="0"/>
          <w:divBdr>
            <w:top w:val="none" w:sz="0" w:space="0" w:color="auto"/>
            <w:left w:val="none" w:sz="0" w:space="0" w:color="auto"/>
            <w:bottom w:val="none" w:sz="0" w:space="0" w:color="auto"/>
            <w:right w:val="none" w:sz="0" w:space="0" w:color="auto"/>
          </w:divBdr>
        </w:div>
        <w:div w:id="144051434">
          <w:marLeft w:val="480"/>
          <w:marRight w:val="0"/>
          <w:marTop w:val="0"/>
          <w:marBottom w:val="0"/>
          <w:divBdr>
            <w:top w:val="none" w:sz="0" w:space="0" w:color="auto"/>
            <w:left w:val="none" w:sz="0" w:space="0" w:color="auto"/>
            <w:bottom w:val="none" w:sz="0" w:space="0" w:color="auto"/>
            <w:right w:val="none" w:sz="0" w:space="0" w:color="auto"/>
          </w:divBdr>
        </w:div>
        <w:div w:id="159782979">
          <w:marLeft w:val="480"/>
          <w:marRight w:val="0"/>
          <w:marTop w:val="0"/>
          <w:marBottom w:val="0"/>
          <w:divBdr>
            <w:top w:val="none" w:sz="0" w:space="0" w:color="auto"/>
            <w:left w:val="none" w:sz="0" w:space="0" w:color="auto"/>
            <w:bottom w:val="none" w:sz="0" w:space="0" w:color="auto"/>
            <w:right w:val="none" w:sz="0" w:space="0" w:color="auto"/>
          </w:divBdr>
        </w:div>
        <w:div w:id="164904451">
          <w:marLeft w:val="480"/>
          <w:marRight w:val="0"/>
          <w:marTop w:val="0"/>
          <w:marBottom w:val="0"/>
          <w:divBdr>
            <w:top w:val="none" w:sz="0" w:space="0" w:color="auto"/>
            <w:left w:val="none" w:sz="0" w:space="0" w:color="auto"/>
            <w:bottom w:val="none" w:sz="0" w:space="0" w:color="auto"/>
            <w:right w:val="none" w:sz="0" w:space="0" w:color="auto"/>
          </w:divBdr>
        </w:div>
        <w:div w:id="209191628">
          <w:marLeft w:val="480"/>
          <w:marRight w:val="0"/>
          <w:marTop w:val="0"/>
          <w:marBottom w:val="0"/>
          <w:divBdr>
            <w:top w:val="none" w:sz="0" w:space="0" w:color="auto"/>
            <w:left w:val="none" w:sz="0" w:space="0" w:color="auto"/>
            <w:bottom w:val="none" w:sz="0" w:space="0" w:color="auto"/>
            <w:right w:val="none" w:sz="0" w:space="0" w:color="auto"/>
          </w:divBdr>
        </w:div>
        <w:div w:id="233900779">
          <w:marLeft w:val="480"/>
          <w:marRight w:val="0"/>
          <w:marTop w:val="0"/>
          <w:marBottom w:val="0"/>
          <w:divBdr>
            <w:top w:val="none" w:sz="0" w:space="0" w:color="auto"/>
            <w:left w:val="none" w:sz="0" w:space="0" w:color="auto"/>
            <w:bottom w:val="none" w:sz="0" w:space="0" w:color="auto"/>
            <w:right w:val="none" w:sz="0" w:space="0" w:color="auto"/>
          </w:divBdr>
        </w:div>
        <w:div w:id="242490981">
          <w:marLeft w:val="480"/>
          <w:marRight w:val="0"/>
          <w:marTop w:val="0"/>
          <w:marBottom w:val="0"/>
          <w:divBdr>
            <w:top w:val="none" w:sz="0" w:space="0" w:color="auto"/>
            <w:left w:val="none" w:sz="0" w:space="0" w:color="auto"/>
            <w:bottom w:val="none" w:sz="0" w:space="0" w:color="auto"/>
            <w:right w:val="none" w:sz="0" w:space="0" w:color="auto"/>
          </w:divBdr>
        </w:div>
        <w:div w:id="295793382">
          <w:marLeft w:val="480"/>
          <w:marRight w:val="0"/>
          <w:marTop w:val="0"/>
          <w:marBottom w:val="0"/>
          <w:divBdr>
            <w:top w:val="none" w:sz="0" w:space="0" w:color="auto"/>
            <w:left w:val="none" w:sz="0" w:space="0" w:color="auto"/>
            <w:bottom w:val="none" w:sz="0" w:space="0" w:color="auto"/>
            <w:right w:val="none" w:sz="0" w:space="0" w:color="auto"/>
          </w:divBdr>
        </w:div>
        <w:div w:id="324627152">
          <w:marLeft w:val="480"/>
          <w:marRight w:val="0"/>
          <w:marTop w:val="0"/>
          <w:marBottom w:val="0"/>
          <w:divBdr>
            <w:top w:val="none" w:sz="0" w:space="0" w:color="auto"/>
            <w:left w:val="none" w:sz="0" w:space="0" w:color="auto"/>
            <w:bottom w:val="none" w:sz="0" w:space="0" w:color="auto"/>
            <w:right w:val="none" w:sz="0" w:space="0" w:color="auto"/>
          </w:divBdr>
        </w:div>
        <w:div w:id="326397819">
          <w:marLeft w:val="480"/>
          <w:marRight w:val="0"/>
          <w:marTop w:val="0"/>
          <w:marBottom w:val="0"/>
          <w:divBdr>
            <w:top w:val="none" w:sz="0" w:space="0" w:color="auto"/>
            <w:left w:val="none" w:sz="0" w:space="0" w:color="auto"/>
            <w:bottom w:val="none" w:sz="0" w:space="0" w:color="auto"/>
            <w:right w:val="none" w:sz="0" w:space="0" w:color="auto"/>
          </w:divBdr>
        </w:div>
        <w:div w:id="329598361">
          <w:marLeft w:val="480"/>
          <w:marRight w:val="0"/>
          <w:marTop w:val="0"/>
          <w:marBottom w:val="0"/>
          <w:divBdr>
            <w:top w:val="none" w:sz="0" w:space="0" w:color="auto"/>
            <w:left w:val="none" w:sz="0" w:space="0" w:color="auto"/>
            <w:bottom w:val="none" w:sz="0" w:space="0" w:color="auto"/>
            <w:right w:val="none" w:sz="0" w:space="0" w:color="auto"/>
          </w:divBdr>
        </w:div>
        <w:div w:id="401148797">
          <w:marLeft w:val="480"/>
          <w:marRight w:val="0"/>
          <w:marTop w:val="0"/>
          <w:marBottom w:val="0"/>
          <w:divBdr>
            <w:top w:val="none" w:sz="0" w:space="0" w:color="auto"/>
            <w:left w:val="none" w:sz="0" w:space="0" w:color="auto"/>
            <w:bottom w:val="none" w:sz="0" w:space="0" w:color="auto"/>
            <w:right w:val="none" w:sz="0" w:space="0" w:color="auto"/>
          </w:divBdr>
        </w:div>
        <w:div w:id="417217930">
          <w:marLeft w:val="480"/>
          <w:marRight w:val="0"/>
          <w:marTop w:val="0"/>
          <w:marBottom w:val="0"/>
          <w:divBdr>
            <w:top w:val="none" w:sz="0" w:space="0" w:color="auto"/>
            <w:left w:val="none" w:sz="0" w:space="0" w:color="auto"/>
            <w:bottom w:val="none" w:sz="0" w:space="0" w:color="auto"/>
            <w:right w:val="none" w:sz="0" w:space="0" w:color="auto"/>
          </w:divBdr>
        </w:div>
        <w:div w:id="473253870">
          <w:marLeft w:val="480"/>
          <w:marRight w:val="0"/>
          <w:marTop w:val="0"/>
          <w:marBottom w:val="0"/>
          <w:divBdr>
            <w:top w:val="none" w:sz="0" w:space="0" w:color="auto"/>
            <w:left w:val="none" w:sz="0" w:space="0" w:color="auto"/>
            <w:bottom w:val="none" w:sz="0" w:space="0" w:color="auto"/>
            <w:right w:val="none" w:sz="0" w:space="0" w:color="auto"/>
          </w:divBdr>
        </w:div>
        <w:div w:id="483163245">
          <w:marLeft w:val="480"/>
          <w:marRight w:val="0"/>
          <w:marTop w:val="0"/>
          <w:marBottom w:val="0"/>
          <w:divBdr>
            <w:top w:val="none" w:sz="0" w:space="0" w:color="auto"/>
            <w:left w:val="none" w:sz="0" w:space="0" w:color="auto"/>
            <w:bottom w:val="none" w:sz="0" w:space="0" w:color="auto"/>
            <w:right w:val="none" w:sz="0" w:space="0" w:color="auto"/>
          </w:divBdr>
        </w:div>
        <w:div w:id="520247139">
          <w:marLeft w:val="480"/>
          <w:marRight w:val="0"/>
          <w:marTop w:val="0"/>
          <w:marBottom w:val="0"/>
          <w:divBdr>
            <w:top w:val="none" w:sz="0" w:space="0" w:color="auto"/>
            <w:left w:val="none" w:sz="0" w:space="0" w:color="auto"/>
            <w:bottom w:val="none" w:sz="0" w:space="0" w:color="auto"/>
            <w:right w:val="none" w:sz="0" w:space="0" w:color="auto"/>
          </w:divBdr>
        </w:div>
        <w:div w:id="524289068">
          <w:marLeft w:val="480"/>
          <w:marRight w:val="0"/>
          <w:marTop w:val="0"/>
          <w:marBottom w:val="0"/>
          <w:divBdr>
            <w:top w:val="none" w:sz="0" w:space="0" w:color="auto"/>
            <w:left w:val="none" w:sz="0" w:space="0" w:color="auto"/>
            <w:bottom w:val="none" w:sz="0" w:space="0" w:color="auto"/>
            <w:right w:val="none" w:sz="0" w:space="0" w:color="auto"/>
          </w:divBdr>
        </w:div>
        <w:div w:id="554511711">
          <w:marLeft w:val="480"/>
          <w:marRight w:val="0"/>
          <w:marTop w:val="0"/>
          <w:marBottom w:val="0"/>
          <w:divBdr>
            <w:top w:val="none" w:sz="0" w:space="0" w:color="auto"/>
            <w:left w:val="none" w:sz="0" w:space="0" w:color="auto"/>
            <w:bottom w:val="none" w:sz="0" w:space="0" w:color="auto"/>
            <w:right w:val="none" w:sz="0" w:space="0" w:color="auto"/>
          </w:divBdr>
        </w:div>
        <w:div w:id="575281216">
          <w:marLeft w:val="480"/>
          <w:marRight w:val="0"/>
          <w:marTop w:val="0"/>
          <w:marBottom w:val="0"/>
          <w:divBdr>
            <w:top w:val="none" w:sz="0" w:space="0" w:color="auto"/>
            <w:left w:val="none" w:sz="0" w:space="0" w:color="auto"/>
            <w:bottom w:val="none" w:sz="0" w:space="0" w:color="auto"/>
            <w:right w:val="none" w:sz="0" w:space="0" w:color="auto"/>
          </w:divBdr>
        </w:div>
        <w:div w:id="630017735">
          <w:marLeft w:val="480"/>
          <w:marRight w:val="0"/>
          <w:marTop w:val="0"/>
          <w:marBottom w:val="0"/>
          <w:divBdr>
            <w:top w:val="none" w:sz="0" w:space="0" w:color="auto"/>
            <w:left w:val="none" w:sz="0" w:space="0" w:color="auto"/>
            <w:bottom w:val="none" w:sz="0" w:space="0" w:color="auto"/>
            <w:right w:val="none" w:sz="0" w:space="0" w:color="auto"/>
          </w:divBdr>
        </w:div>
        <w:div w:id="666707897">
          <w:marLeft w:val="480"/>
          <w:marRight w:val="0"/>
          <w:marTop w:val="0"/>
          <w:marBottom w:val="0"/>
          <w:divBdr>
            <w:top w:val="none" w:sz="0" w:space="0" w:color="auto"/>
            <w:left w:val="none" w:sz="0" w:space="0" w:color="auto"/>
            <w:bottom w:val="none" w:sz="0" w:space="0" w:color="auto"/>
            <w:right w:val="none" w:sz="0" w:space="0" w:color="auto"/>
          </w:divBdr>
        </w:div>
        <w:div w:id="674265524">
          <w:marLeft w:val="480"/>
          <w:marRight w:val="0"/>
          <w:marTop w:val="0"/>
          <w:marBottom w:val="0"/>
          <w:divBdr>
            <w:top w:val="none" w:sz="0" w:space="0" w:color="auto"/>
            <w:left w:val="none" w:sz="0" w:space="0" w:color="auto"/>
            <w:bottom w:val="none" w:sz="0" w:space="0" w:color="auto"/>
            <w:right w:val="none" w:sz="0" w:space="0" w:color="auto"/>
          </w:divBdr>
        </w:div>
        <w:div w:id="687372100">
          <w:marLeft w:val="480"/>
          <w:marRight w:val="0"/>
          <w:marTop w:val="0"/>
          <w:marBottom w:val="0"/>
          <w:divBdr>
            <w:top w:val="none" w:sz="0" w:space="0" w:color="auto"/>
            <w:left w:val="none" w:sz="0" w:space="0" w:color="auto"/>
            <w:bottom w:val="none" w:sz="0" w:space="0" w:color="auto"/>
            <w:right w:val="none" w:sz="0" w:space="0" w:color="auto"/>
          </w:divBdr>
        </w:div>
        <w:div w:id="703214820">
          <w:marLeft w:val="480"/>
          <w:marRight w:val="0"/>
          <w:marTop w:val="0"/>
          <w:marBottom w:val="0"/>
          <w:divBdr>
            <w:top w:val="none" w:sz="0" w:space="0" w:color="auto"/>
            <w:left w:val="none" w:sz="0" w:space="0" w:color="auto"/>
            <w:bottom w:val="none" w:sz="0" w:space="0" w:color="auto"/>
            <w:right w:val="none" w:sz="0" w:space="0" w:color="auto"/>
          </w:divBdr>
        </w:div>
        <w:div w:id="728115630">
          <w:marLeft w:val="480"/>
          <w:marRight w:val="0"/>
          <w:marTop w:val="0"/>
          <w:marBottom w:val="0"/>
          <w:divBdr>
            <w:top w:val="none" w:sz="0" w:space="0" w:color="auto"/>
            <w:left w:val="none" w:sz="0" w:space="0" w:color="auto"/>
            <w:bottom w:val="none" w:sz="0" w:space="0" w:color="auto"/>
            <w:right w:val="none" w:sz="0" w:space="0" w:color="auto"/>
          </w:divBdr>
        </w:div>
        <w:div w:id="778991442">
          <w:marLeft w:val="480"/>
          <w:marRight w:val="0"/>
          <w:marTop w:val="0"/>
          <w:marBottom w:val="0"/>
          <w:divBdr>
            <w:top w:val="none" w:sz="0" w:space="0" w:color="auto"/>
            <w:left w:val="none" w:sz="0" w:space="0" w:color="auto"/>
            <w:bottom w:val="none" w:sz="0" w:space="0" w:color="auto"/>
            <w:right w:val="none" w:sz="0" w:space="0" w:color="auto"/>
          </w:divBdr>
        </w:div>
        <w:div w:id="792092395">
          <w:marLeft w:val="480"/>
          <w:marRight w:val="0"/>
          <w:marTop w:val="0"/>
          <w:marBottom w:val="0"/>
          <w:divBdr>
            <w:top w:val="none" w:sz="0" w:space="0" w:color="auto"/>
            <w:left w:val="none" w:sz="0" w:space="0" w:color="auto"/>
            <w:bottom w:val="none" w:sz="0" w:space="0" w:color="auto"/>
            <w:right w:val="none" w:sz="0" w:space="0" w:color="auto"/>
          </w:divBdr>
        </w:div>
        <w:div w:id="806897355">
          <w:marLeft w:val="480"/>
          <w:marRight w:val="0"/>
          <w:marTop w:val="0"/>
          <w:marBottom w:val="0"/>
          <w:divBdr>
            <w:top w:val="none" w:sz="0" w:space="0" w:color="auto"/>
            <w:left w:val="none" w:sz="0" w:space="0" w:color="auto"/>
            <w:bottom w:val="none" w:sz="0" w:space="0" w:color="auto"/>
            <w:right w:val="none" w:sz="0" w:space="0" w:color="auto"/>
          </w:divBdr>
        </w:div>
        <w:div w:id="928541943">
          <w:marLeft w:val="480"/>
          <w:marRight w:val="0"/>
          <w:marTop w:val="0"/>
          <w:marBottom w:val="0"/>
          <w:divBdr>
            <w:top w:val="none" w:sz="0" w:space="0" w:color="auto"/>
            <w:left w:val="none" w:sz="0" w:space="0" w:color="auto"/>
            <w:bottom w:val="none" w:sz="0" w:space="0" w:color="auto"/>
            <w:right w:val="none" w:sz="0" w:space="0" w:color="auto"/>
          </w:divBdr>
        </w:div>
        <w:div w:id="973564755">
          <w:marLeft w:val="480"/>
          <w:marRight w:val="0"/>
          <w:marTop w:val="0"/>
          <w:marBottom w:val="0"/>
          <w:divBdr>
            <w:top w:val="none" w:sz="0" w:space="0" w:color="auto"/>
            <w:left w:val="none" w:sz="0" w:space="0" w:color="auto"/>
            <w:bottom w:val="none" w:sz="0" w:space="0" w:color="auto"/>
            <w:right w:val="none" w:sz="0" w:space="0" w:color="auto"/>
          </w:divBdr>
        </w:div>
        <w:div w:id="1048841856">
          <w:marLeft w:val="480"/>
          <w:marRight w:val="0"/>
          <w:marTop w:val="0"/>
          <w:marBottom w:val="0"/>
          <w:divBdr>
            <w:top w:val="none" w:sz="0" w:space="0" w:color="auto"/>
            <w:left w:val="none" w:sz="0" w:space="0" w:color="auto"/>
            <w:bottom w:val="none" w:sz="0" w:space="0" w:color="auto"/>
            <w:right w:val="none" w:sz="0" w:space="0" w:color="auto"/>
          </w:divBdr>
        </w:div>
        <w:div w:id="1067267814">
          <w:marLeft w:val="480"/>
          <w:marRight w:val="0"/>
          <w:marTop w:val="0"/>
          <w:marBottom w:val="0"/>
          <w:divBdr>
            <w:top w:val="none" w:sz="0" w:space="0" w:color="auto"/>
            <w:left w:val="none" w:sz="0" w:space="0" w:color="auto"/>
            <w:bottom w:val="none" w:sz="0" w:space="0" w:color="auto"/>
            <w:right w:val="none" w:sz="0" w:space="0" w:color="auto"/>
          </w:divBdr>
        </w:div>
        <w:div w:id="1159157493">
          <w:marLeft w:val="480"/>
          <w:marRight w:val="0"/>
          <w:marTop w:val="0"/>
          <w:marBottom w:val="0"/>
          <w:divBdr>
            <w:top w:val="none" w:sz="0" w:space="0" w:color="auto"/>
            <w:left w:val="none" w:sz="0" w:space="0" w:color="auto"/>
            <w:bottom w:val="none" w:sz="0" w:space="0" w:color="auto"/>
            <w:right w:val="none" w:sz="0" w:space="0" w:color="auto"/>
          </w:divBdr>
        </w:div>
        <w:div w:id="1257248595">
          <w:marLeft w:val="480"/>
          <w:marRight w:val="0"/>
          <w:marTop w:val="0"/>
          <w:marBottom w:val="0"/>
          <w:divBdr>
            <w:top w:val="none" w:sz="0" w:space="0" w:color="auto"/>
            <w:left w:val="none" w:sz="0" w:space="0" w:color="auto"/>
            <w:bottom w:val="none" w:sz="0" w:space="0" w:color="auto"/>
            <w:right w:val="none" w:sz="0" w:space="0" w:color="auto"/>
          </w:divBdr>
        </w:div>
        <w:div w:id="1270971088">
          <w:marLeft w:val="480"/>
          <w:marRight w:val="0"/>
          <w:marTop w:val="0"/>
          <w:marBottom w:val="0"/>
          <w:divBdr>
            <w:top w:val="none" w:sz="0" w:space="0" w:color="auto"/>
            <w:left w:val="none" w:sz="0" w:space="0" w:color="auto"/>
            <w:bottom w:val="none" w:sz="0" w:space="0" w:color="auto"/>
            <w:right w:val="none" w:sz="0" w:space="0" w:color="auto"/>
          </w:divBdr>
        </w:div>
        <w:div w:id="1351568140">
          <w:marLeft w:val="480"/>
          <w:marRight w:val="0"/>
          <w:marTop w:val="0"/>
          <w:marBottom w:val="0"/>
          <w:divBdr>
            <w:top w:val="none" w:sz="0" w:space="0" w:color="auto"/>
            <w:left w:val="none" w:sz="0" w:space="0" w:color="auto"/>
            <w:bottom w:val="none" w:sz="0" w:space="0" w:color="auto"/>
            <w:right w:val="none" w:sz="0" w:space="0" w:color="auto"/>
          </w:divBdr>
        </w:div>
        <w:div w:id="1355889368">
          <w:marLeft w:val="480"/>
          <w:marRight w:val="0"/>
          <w:marTop w:val="0"/>
          <w:marBottom w:val="0"/>
          <w:divBdr>
            <w:top w:val="none" w:sz="0" w:space="0" w:color="auto"/>
            <w:left w:val="none" w:sz="0" w:space="0" w:color="auto"/>
            <w:bottom w:val="none" w:sz="0" w:space="0" w:color="auto"/>
            <w:right w:val="none" w:sz="0" w:space="0" w:color="auto"/>
          </w:divBdr>
        </w:div>
        <w:div w:id="1485007280">
          <w:marLeft w:val="480"/>
          <w:marRight w:val="0"/>
          <w:marTop w:val="0"/>
          <w:marBottom w:val="0"/>
          <w:divBdr>
            <w:top w:val="none" w:sz="0" w:space="0" w:color="auto"/>
            <w:left w:val="none" w:sz="0" w:space="0" w:color="auto"/>
            <w:bottom w:val="none" w:sz="0" w:space="0" w:color="auto"/>
            <w:right w:val="none" w:sz="0" w:space="0" w:color="auto"/>
          </w:divBdr>
        </w:div>
        <w:div w:id="1524245851">
          <w:marLeft w:val="480"/>
          <w:marRight w:val="0"/>
          <w:marTop w:val="0"/>
          <w:marBottom w:val="0"/>
          <w:divBdr>
            <w:top w:val="none" w:sz="0" w:space="0" w:color="auto"/>
            <w:left w:val="none" w:sz="0" w:space="0" w:color="auto"/>
            <w:bottom w:val="none" w:sz="0" w:space="0" w:color="auto"/>
            <w:right w:val="none" w:sz="0" w:space="0" w:color="auto"/>
          </w:divBdr>
        </w:div>
        <w:div w:id="1551839490">
          <w:marLeft w:val="480"/>
          <w:marRight w:val="0"/>
          <w:marTop w:val="0"/>
          <w:marBottom w:val="0"/>
          <w:divBdr>
            <w:top w:val="none" w:sz="0" w:space="0" w:color="auto"/>
            <w:left w:val="none" w:sz="0" w:space="0" w:color="auto"/>
            <w:bottom w:val="none" w:sz="0" w:space="0" w:color="auto"/>
            <w:right w:val="none" w:sz="0" w:space="0" w:color="auto"/>
          </w:divBdr>
        </w:div>
        <w:div w:id="1584024871">
          <w:marLeft w:val="480"/>
          <w:marRight w:val="0"/>
          <w:marTop w:val="0"/>
          <w:marBottom w:val="0"/>
          <w:divBdr>
            <w:top w:val="none" w:sz="0" w:space="0" w:color="auto"/>
            <w:left w:val="none" w:sz="0" w:space="0" w:color="auto"/>
            <w:bottom w:val="none" w:sz="0" w:space="0" w:color="auto"/>
            <w:right w:val="none" w:sz="0" w:space="0" w:color="auto"/>
          </w:divBdr>
        </w:div>
        <w:div w:id="1605261007">
          <w:marLeft w:val="480"/>
          <w:marRight w:val="0"/>
          <w:marTop w:val="0"/>
          <w:marBottom w:val="0"/>
          <w:divBdr>
            <w:top w:val="none" w:sz="0" w:space="0" w:color="auto"/>
            <w:left w:val="none" w:sz="0" w:space="0" w:color="auto"/>
            <w:bottom w:val="none" w:sz="0" w:space="0" w:color="auto"/>
            <w:right w:val="none" w:sz="0" w:space="0" w:color="auto"/>
          </w:divBdr>
        </w:div>
        <w:div w:id="1633053547">
          <w:marLeft w:val="480"/>
          <w:marRight w:val="0"/>
          <w:marTop w:val="0"/>
          <w:marBottom w:val="0"/>
          <w:divBdr>
            <w:top w:val="none" w:sz="0" w:space="0" w:color="auto"/>
            <w:left w:val="none" w:sz="0" w:space="0" w:color="auto"/>
            <w:bottom w:val="none" w:sz="0" w:space="0" w:color="auto"/>
            <w:right w:val="none" w:sz="0" w:space="0" w:color="auto"/>
          </w:divBdr>
        </w:div>
        <w:div w:id="1641416772">
          <w:marLeft w:val="480"/>
          <w:marRight w:val="0"/>
          <w:marTop w:val="0"/>
          <w:marBottom w:val="0"/>
          <w:divBdr>
            <w:top w:val="none" w:sz="0" w:space="0" w:color="auto"/>
            <w:left w:val="none" w:sz="0" w:space="0" w:color="auto"/>
            <w:bottom w:val="none" w:sz="0" w:space="0" w:color="auto"/>
            <w:right w:val="none" w:sz="0" w:space="0" w:color="auto"/>
          </w:divBdr>
        </w:div>
        <w:div w:id="1687099607">
          <w:marLeft w:val="480"/>
          <w:marRight w:val="0"/>
          <w:marTop w:val="0"/>
          <w:marBottom w:val="0"/>
          <w:divBdr>
            <w:top w:val="none" w:sz="0" w:space="0" w:color="auto"/>
            <w:left w:val="none" w:sz="0" w:space="0" w:color="auto"/>
            <w:bottom w:val="none" w:sz="0" w:space="0" w:color="auto"/>
            <w:right w:val="none" w:sz="0" w:space="0" w:color="auto"/>
          </w:divBdr>
        </w:div>
        <w:div w:id="1725911949">
          <w:marLeft w:val="480"/>
          <w:marRight w:val="0"/>
          <w:marTop w:val="0"/>
          <w:marBottom w:val="0"/>
          <w:divBdr>
            <w:top w:val="none" w:sz="0" w:space="0" w:color="auto"/>
            <w:left w:val="none" w:sz="0" w:space="0" w:color="auto"/>
            <w:bottom w:val="none" w:sz="0" w:space="0" w:color="auto"/>
            <w:right w:val="none" w:sz="0" w:space="0" w:color="auto"/>
          </w:divBdr>
        </w:div>
        <w:div w:id="1738815711">
          <w:marLeft w:val="480"/>
          <w:marRight w:val="0"/>
          <w:marTop w:val="0"/>
          <w:marBottom w:val="0"/>
          <w:divBdr>
            <w:top w:val="none" w:sz="0" w:space="0" w:color="auto"/>
            <w:left w:val="none" w:sz="0" w:space="0" w:color="auto"/>
            <w:bottom w:val="none" w:sz="0" w:space="0" w:color="auto"/>
            <w:right w:val="none" w:sz="0" w:space="0" w:color="auto"/>
          </w:divBdr>
        </w:div>
        <w:div w:id="1757166200">
          <w:marLeft w:val="480"/>
          <w:marRight w:val="0"/>
          <w:marTop w:val="0"/>
          <w:marBottom w:val="0"/>
          <w:divBdr>
            <w:top w:val="none" w:sz="0" w:space="0" w:color="auto"/>
            <w:left w:val="none" w:sz="0" w:space="0" w:color="auto"/>
            <w:bottom w:val="none" w:sz="0" w:space="0" w:color="auto"/>
            <w:right w:val="none" w:sz="0" w:space="0" w:color="auto"/>
          </w:divBdr>
        </w:div>
        <w:div w:id="1887140436">
          <w:marLeft w:val="480"/>
          <w:marRight w:val="0"/>
          <w:marTop w:val="0"/>
          <w:marBottom w:val="0"/>
          <w:divBdr>
            <w:top w:val="none" w:sz="0" w:space="0" w:color="auto"/>
            <w:left w:val="none" w:sz="0" w:space="0" w:color="auto"/>
            <w:bottom w:val="none" w:sz="0" w:space="0" w:color="auto"/>
            <w:right w:val="none" w:sz="0" w:space="0" w:color="auto"/>
          </w:divBdr>
        </w:div>
        <w:div w:id="1941713960">
          <w:marLeft w:val="480"/>
          <w:marRight w:val="0"/>
          <w:marTop w:val="0"/>
          <w:marBottom w:val="0"/>
          <w:divBdr>
            <w:top w:val="none" w:sz="0" w:space="0" w:color="auto"/>
            <w:left w:val="none" w:sz="0" w:space="0" w:color="auto"/>
            <w:bottom w:val="none" w:sz="0" w:space="0" w:color="auto"/>
            <w:right w:val="none" w:sz="0" w:space="0" w:color="auto"/>
          </w:divBdr>
        </w:div>
        <w:div w:id="1946375884">
          <w:marLeft w:val="480"/>
          <w:marRight w:val="0"/>
          <w:marTop w:val="0"/>
          <w:marBottom w:val="0"/>
          <w:divBdr>
            <w:top w:val="none" w:sz="0" w:space="0" w:color="auto"/>
            <w:left w:val="none" w:sz="0" w:space="0" w:color="auto"/>
            <w:bottom w:val="none" w:sz="0" w:space="0" w:color="auto"/>
            <w:right w:val="none" w:sz="0" w:space="0" w:color="auto"/>
          </w:divBdr>
        </w:div>
        <w:div w:id="1988244240">
          <w:marLeft w:val="480"/>
          <w:marRight w:val="0"/>
          <w:marTop w:val="0"/>
          <w:marBottom w:val="0"/>
          <w:divBdr>
            <w:top w:val="none" w:sz="0" w:space="0" w:color="auto"/>
            <w:left w:val="none" w:sz="0" w:space="0" w:color="auto"/>
            <w:bottom w:val="none" w:sz="0" w:space="0" w:color="auto"/>
            <w:right w:val="none" w:sz="0" w:space="0" w:color="auto"/>
          </w:divBdr>
        </w:div>
        <w:div w:id="1997146385">
          <w:marLeft w:val="480"/>
          <w:marRight w:val="0"/>
          <w:marTop w:val="0"/>
          <w:marBottom w:val="0"/>
          <w:divBdr>
            <w:top w:val="none" w:sz="0" w:space="0" w:color="auto"/>
            <w:left w:val="none" w:sz="0" w:space="0" w:color="auto"/>
            <w:bottom w:val="none" w:sz="0" w:space="0" w:color="auto"/>
            <w:right w:val="none" w:sz="0" w:space="0" w:color="auto"/>
          </w:divBdr>
        </w:div>
        <w:div w:id="2002541531">
          <w:marLeft w:val="480"/>
          <w:marRight w:val="0"/>
          <w:marTop w:val="0"/>
          <w:marBottom w:val="0"/>
          <w:divBdr>
            <w:top w:val="none" w:sz="0" w:space="0" w:color="auto"/>
            <w:left w:val="none" w:sz="0" w:space="0" w:color="auto"/>
            <w:bottom w:val="none" w:sz="0" w:space="0" w:color="auto"/>
            <w:right w:val="none" w:sz="0" w:space="0" w:color="auto"/>
          </w:divBdr>
        </w:div>
        <w:div w:id="2047870069">
          <w:marLeft w:val="480"/>
          <w:marRight w:val="0"/>
          <w:marTop w:val="0"/>
          <w:marBottom w:val="0"/>
          <w:divBdr>
            <w:top w:val="none" w:sz="0" w:space="0" w:color="auto"/>
            <w:left w:val="none" w:sz="0" w:space="0" w:color="auto"/>
            <w:bottom w:val="none" w:sz="0" w:space="0" w:color="auto"/>
            <w:right w:val="none" w:sz="0" w:space="0" w:color="auto"/>
          </w:divBdr>
        </w:div>
        <w:div w:id="2057465264">
          <w:marLeft w:val="480"/>
          <w:marRight w:val="0"/>
          <w:marTop w:val="0"/>
          <w:marBottom w:val="0"/>
          <w:divBdr>
            <w:top w:val="none" w:sz="0" w:space="0" w:color="auto"/>
            <w:left w:val="none" w:sz="0" w:space="0" w:color="auto"/>
            <w:bottom w:val="none" w:sz="0" w:space="0" w:color="auto"/>
            <w:right w:val="none" w:sz="0" w:space="0" w:color="auto"/>
          </w:divBdr>
        </w:div>
        <w:div w:id="2121993145">
          <w:marLeft w:val="480"/>
          <w:marRight w:val="0"/>
          <w:marTop w:val="0"/>
          <w:marBottom w:val="0"/>
          <w:divBdr>
            <w:top w:val="none" w:sz="0" w:space="0" w:color="auto"/>
            <w:left w:val="none" w:sz="0" w:space="0" w:color="auto"/>
            <w:bottom w:val="none" w:sz="0" w:space="0" w:color="auto"/>
            <w:right w:val="none" w:sz="0" w:space="0" w:color="auto"/>
          </w:divBdr>
        </w:div>
        <w:div w:id="2130735813">
          <w:marLeft w:val="480"/>
          <w:marRight w:val="0"/>
          <w:marTop w:val="0"/>
          <w:marBottom w:val="0"/>
          <w:divBdr>
            <w:top w:val="none" w:sz="0" w:space="0" w:color="auto"/>
            <w:left w:val="none" w:sz="0" w:space="0" w:color="auto"/>
            <w:bottom w:val="none" w:sz="0" w:space="0" w:color="auto"/>
            <w:right w:val="none" w:sz="0" w:space="0" w:color="auto"/>
          </w:divBdr>
        </w:div>
      </w:divsChild>
    </w:div>
    <w:div w:id="552273253">
      <w:bodyDiv w:val="1"/>
      <w:marLeft w:val="0"/>
      <w:marRight w:val="0"/>
      <w:marTop w:val="0"/>
      <w:marBottom w:val="0"/>
      <w:divBdr>
        <w:top w:val="none" w:sz="0" w:space="0" w:color="auto"/>
        <w:left w:val="none" w:sz="0" w:space="0" w:color="auto"/>
        <w:bottom w:val="none" w:sz="0" w:space="0" w:color="auto"/>
        <w:right w:val="none" w:sz="0" w:space="0" w:color="auto"/>
      </w:divBdr>
    </w:div>
    <w:div w:id="555512932">
      <w:bodyDiv w:val="1"/>
      <w:marLeft w:val="0"/>
      <w:marRight w:val="0"/>
      <w:marTop w:val="0"/>
      <w:marBottom w:val="0"/>
      <w:divBdr>
        <w:top w:val="none" w:sz="0" w:space="0" w:color="auto"/>
        <w:left w:val="none" w:sz="0" w:space="0" w:color="auto"/>
        <w:bottom w:val="none" w:sz="0" w:space="0" w:color="auto"/>
        <w:right w:val="none" w:sz="0" w:space="0" w:color="auto"/>
      </w:divBdr>
    </w:div>
    <w:div w:id="556092833">
      <w:bodyDiv w:val="1"/>
      <w:marLeft w:val="0"/>
      <w:marRight w:val="0"/>
      <w:marTop w:val="0"/>
      <w:marBottom w:val="0"/>
      <w:divBdr>
        <w:top w:val="none" w:sz="0" w:space="0" w:color="auto"/>
        <w:left w:val="none" w:sz="0" w:space="0" w:color="auto"/>
        <w:bottom w:val="none" w:sz="0" w:space="0" w:color="auto"/>
        <w:right w:val="none" w:sz="0" w:space="0" w:color="auto"/>
      </w:divBdr>
    </w:div>
    <w:div w:id="556547216">
      <w:bodyDiv w:val="1"/>
      <w:marLeft w:val="0"/>
      <w:marRight w:val="0"/>
      <w:marTop w:val="0"/>
      <w:marBottom w:val="0"/>
      <w:divBdr>
        <w:top w:val="none" w:sz="0" w:space="0" w:color="auto"/>
        <w:left w:val="none" w:sz="0" w:space="0" w:color="auto"/>
        <w:bottom w:val="none" w:sz="0" w:space="0" w:color="auto"/>
        <w:right w:val="none" w:sz="0" w:space="0" w:color="auto"/>
      </w:divBdr>
    </w:div>
    <w:div w:id="559485878">
      <w:bodyDiv w:val="1"/>
      <w:marLeft w:val="0"/>
      <w:marRight w:val="0"/>
      <w:marTop w:val="0"/>
      <w:marBottom w:val="0"/>
      <w:divBdr>
        <w:top w:val="none" w:sz="0" w:space="0" w:color="auto"/>
        <w:left w:val="none" w:sz="0" w:space="0" w:color="auto"/>
        <w:bottom w:val="none" w:sz="0" w:space="0" w:color="auto"/>
        <w:right w:val="none" w:sz="0" w:space="0" w:color="auto"/>
      </w:divBdr>
    </w:div>
    <w:div w:id="568619232">
      <w:bodyDiv w:val="1"/>
      <w:marLeft w:val="0"/>
      <w:marRight w:val="0"/>
      <w:marTop w:val="0"/>
      <w:marBottom w:val="0"/>
      <w:divBdr>
        <w:top w:val="none" w:sz="0" w:space="0" w:color="auto"/>
        <w:left w:val="none" w:sz="0" w:space="0" w:color="auto"/>
        <w:bottom w:val="none" w:sz="0" w:space="0" w:color="auto"/>
        <w:right w:val="none" w:sz="0" w:space="0" w:color="auto"/>
      </w:divBdr>
    </w:div>
    <w:div w:id="573779308">
      <w:bodyDiv w:val="1"/>
      <w:marLeft w:val="0"/>
      <w:marRight w:val="0"/>
      <w:marTop w:val="0"/>
      <w:marBottom w:val="0"/>
      <w:divBdr>
        <w:top w:val="none" w:sz="0" w:space="0" w:color="auto"/>
        <w:left w:val="none" w:sz="0" w:space="0" w:color="auto"/>
        <w:bottom w:val="none" w:sz="0" w:space="0" w:color="auto"/>
        <w:right w:val="none" w:sz="0" w:space="0" w:color="auto"/>
      </w:divBdr>
    </w:div>
    <w:div w:id="575744774">
      <w:bodyDiv w:val="1"/>
      <w:marLeft w:val="0"/>
      <w:marRight w:val="0"/>
      <w:marTop w:val="0"/>
      <w:marBottom w:val="0"/>
      <w:divBdr>
        <w:top w:val="none" w:sz="0" w:space="0" w:color="auto"/>
        <w:left w:val="none" w:sz="0" w:space="0" w:color="auto"/>
        <w:bottom w:val="none" w:sz="0" w:space="0" w:color="auto"/>
        <w:right w:val="none" w:sz="0" w:space="0" w:color="auto"/>
      </w:divBdr>
    </w:div>
    <w:div w:id="576670740">
      <w:bodyDiv w:val="1"/>
      <w:marLeft w:val="0"/>
      <w:marRight w:val="0"/>
      <w:marTop w:val="0"/>
      <w:marBottom w:val="0"/>
      <w:divBdr>
        <w:top w:val="none" w:sz="0" w:space="0" w:color="auto"/>
        <w:left w:val="none" w:sz="0" w:space="0" w:color="auto"/>
        <w:bottom w:val="none" w:sz="0" w:space="0" w:color="auto"/>
        <w:right w:val="none" w:sz="0" w:space="0" w:color="auto"/>
      </w:divBdr>
    </w:div>
    <w:div w:id="578757933">
      <w:bodyDiv w:val="1"/>
      <w:marLeft w:val="0"/>
      <w:marRight w:val="0"/>
      <w:marTop w:val="0"/>
      <w:marBottom w:val="0"/>
      <w:divBdr>
        <w:top w:val="none" w:sz="0" w:space="0" w:color="auto"/>
        <w:left w:val="none" w:sz="0" w:space="0" w:color="auto"/>
        <w:bottom w:val="none" w:sz="0" w:space="0" w:color="auto"/>
        <w:right w:val="none" w:sz="0" w:space="0" w:color="auto"/>
      </w:divBdr>
    </w:div>
    <w:div w:id="579024383">
      <w:bodyDiv w:val="1"/>
      <w:marLeft w:val="0"/>
      <w:marRight w:val="0"/>
      <w:marTop w:val="0"/>
      <w:marBottom w:val="0"/>
      <w:divBdr>
        <w:top w:val="none" w:sz="0" w:space="0" w:color="auto"/>
        <w:left w:val="none" w:sz="0" w:space="0" w:color="auto"/>
        <w:bottom w:val="none" w:sz="0" w:space="0" w:color="auto"/>
        <w:right w:val="none" w:sz="0" w:space="0" w:color="auto"/>
      </w:divBdr>
      <w:divsChild>
        <w:div w:id="38093042">
          <w:marLeft w:val="480"/>
          <w:marRight w:val="0"/>
          <w:marTop w:val="0"/>
          <w:marBottom w:val="0"/>
          <w:divBdr>
            <w:top w:val="none" w:sz="0" w:space="0" w:color="auto"/>
            <w:left w:val="none" w:sz="0" w:space="0" w:color="auto"/>
            <w:bottom w:val="none" w:sz="0" w:space="0" w:color="auto"/>
            <w:right w:val="none" w:sz="0" w:space="0" w:color="auto"/>
          </w:divBdr>
        </w:div>
        <w:div w:id="72626158">
          <w:marLeft w:val="480"/>
          <w:marRight w:val="0"/>
          <w:marTop w:val="0"/>
          <w:marBottom w:val="0"/>
          <w:divBdr>
            <w:top w:val="none" w:sz="0" w:space="0" w:color="auto"/>
            <w:left w:val="none" w:sz="0" w:space="0" w:color="auto"/>
            <w:bottom w:val="none" w:sz="0" w:space="0" w:color="auto"/>
            <w:right w:val="none" w:sz="0" w:space="0" w:color="auto"/>
          </w:divBdr>
        </w:div>
        <w:div w:id="93137345">
          <w:marLeft w:val="480"/>
          <w:marRight w:val="0"/>
          <w:marTop w:val="0"/>
          <w:marBottom w:val="0"/>
          <w:divBdr>
            <w:top w:val="none" w:sz="0" w:space="0" w:color="auto"/>
            <w:left w:val="none" w:sz="0" w:space="0" w:color="auto"/>
            <w:bottom w:val="none" w:sz="0" w:space="0" w:color="auto"/>
            <w:right w:val="none" w:sz="0" w:space="0" w:color="auto"/>
          </w:divBdr>
        </w:div>
        <w:div w:id="142746680">
          <w:marLeft w:val="480"/>
          <w:marRight w:val="0"/>
          <w:marTop w:val="0"/>
          <w:marBottom w:val="0"/>
          <w:divBdr>
            <w:top w:val="none" w:sz="0" w:space="0" w:color="auto"/>
            <w:left w:val="none" w:sz="0" w:space="0" w:color="auto"/>
            <w:bottom w:val="none" w:sz="0" w:space="0" w:color="auto"/>
            <w:right w:val="none" w:sz="0" w:space="0" w:color="auto"/>
          </w:divBdr>
        </w:div>
        <w:div w:id="206183387">
          <w:marLeft w:val="480"/>
          <w:marRight w:val="0"/>
          <w:marTop w:val="0"/>
          <w:marBottom w:val="0"/>
          <w:divBdr>
            <w:top w:val="none" w:sz="0" w:space="0" w:color="auto"/>
            <w:left w:val="none" w:sz="0" w:space="0" w:color="auto"/>
            <w:bottom w:val="none" w:sz="0" w:space="0" w:color="auto"/>
            <w:right w:val="none" w:sz="0" w:space="0" w:color="auto"/>
          </w:divBdr>
        </w:div>
        <w:div w:id="213465950">
          <w:marLeft w:val="480"/>
          <w:marRight w:val="0"/>
          <w:marTop w:val="0"/>
          <w:marBottom w:val="0"/>
          <w:divBdr>
            <w:top w:val="none" w:sz="0" w:space="0" w:color="auto"/>
            <w:left w:val="none" w:sz="0" w:space="0" w:color="auto"/>
            <w:bottom w:val="none" w:sz="0" w:space="0" w:color="auto"/>
            <w:right w:val="none" w:sz="0" w:space="0" w:color="auto"/>
          </w:divBdr>
        </w:div>
        <w:div w:id="217740527">
          <w:marLeft w:val="480"/>
          <w:marRight w:val="0"/>
          <w:marTop w:val="0"/>
          <w:marBottom w:val="0"/>
          <w:divBdr>
            <w:top w:val="none" w:sz="0" w:space="0" w:color="auto"/>
            <w:left w:val="none" w:sz="0" w:space="0" w:color="auto"/>
            <w:bottom w:val="none" w:sz="0" w:space="0" w:color="auto"/>
            <w:right w:val="none" w:sz="0" w:space="0" w:color="auto"/>
          </w:divBdr>
        </w:div>
        <w:div w:id="238369772">
          <w:marLeft w:val="480"/>
          <w:marRight w:val="0"/>
          <w:marTop w:val="0"/>
          <w:marBottom w:val="0"/>
          <w:divBdr>
            <w:top w:val="none" w:sz="0" w:space="0" w:color="auto"/>
            <w:left w:val="none" w:sz="0" w:space="0" w:color="auto"/>
            <w:bottom w:val="none" w:sz="0" w:space="0" w:color="auto"/>
            <w:right w:val="none" w:sz="0" w:space="0" w:color="auto"/>
          </w:divBdr>
        </w:div>
        <w:div w:id="270017664">
          <w:marLeft w:val="480"/>
          <w:marRight w:val="0"/>
          <w:marTop w:val="0"/>
          <w:marBottom w:val="0"/>
          <w:divBdr>
            <w:top w:val="none" w:sz="0" w:space="0" w:color="auto"/>
            <w:left w:val="none" w:sz="0" w:space="0" w:color="auto"/>
            <w:bottom w:val="none" w:sz="0" w:space="0" w:color="auto"/>
            <w:right w:val="none" w:sz="0" w:space="0" w:color="auto"/>
          </w:divBdr>
        </w:div>
        <w:div w:id="295181507">
          <w:marLeft w:val="480"/>
          <w:marRight w:val="0"/>
          <w:marTop w:val="0"/>
          <w:marBottom w:val="0"/>
          <w:divBdr>
            <w:top w:val="none" w:sz="0" w:space="0" w:color="auto"/>
            <w:left w:val="none" w:sz="0" w:space="0" w:color="auto"/>
            <w:bottom w:val="none" w:sz="0" w:space="0" w:color="auto"/>
            <w:right w:val="none" w:sz="0" w:space="0" w:color="auto"/>
          </w:divBdr>
        </w:div>
        <w:div w:id="304698818">
          <w:marLeft w:val="480"/>
          <w:marRight w:val="0"/>
          <w:marTop w:val="0"/>
          <w:marBottom w:val="0"/>
          <w:divBdr>
            <w:top w:val="none" w:sz="0" w:space="0" w:color="auto"/>
            <w:left w:val="none" w:sz="0" w:space="0" w:color="auto"/>
            <w:bottom w:val="none" w:sz="0" w:space="0" w:color="auto"/>
            <w:right w:val="none" w:sz="0" w:space="0" w:color="auto"/>
          </w:divBdr>
        </w:div>
        <w:div w:id="315451541">
          <w:marLeft w:val="480"/>
          <w:marRight w:val="0"/>
          <w:marTop w:val="0"/>
          <w:marBottom w:val="0"/>
          <w:divBdr>
            <w:top w:val="none" w:sz="0" w:space="0" w:color="auto"/>
            <w:left w:val="none" w:sz="0" w:space="0" w:color="auto"/>
            <w:bottom w:val="none" w:sz="0" w:space="0" w:color="auto"/>
            <w:right w:val="none" w:sz="0" w:space="0" w:color="auto"/>
          </w:divBdr>
        </w:div>
        <w:div w:id="334187246">
          <w:marLeft w:val="480"/>
          <w:marRight w:val="0"/>
          <w:marTop w:val="0"/>
          <w:marBottom w:val="0"/>
          <w:divBdr>
            <w:top w:val="none" w:sz="0" w:space="0" w:color="auto"/>
            <w:left w:val="none" w:sz="0" w:space="0" w:color="auto"/>
            <w:bottom w:val="none" w:sz="0" w:space="0" w:color="auto"/>
            <w:right w:val="none" w:sz="0" w:space="0" w:color="auto"/>
          </w:divBdr>
        </w:div>
        <w:div w:id="364451982">
          <w:marLeft w:val="480"/>
          <w:marRight w:val="0"/>
          <w:marTop w:val="0"/>
          <w:marBottom w:val="0"/>
          <w:divBdr>
            <w:top w:val="none" w:sz="0" w:space="0" w:color="auto"/>
            <w:left w:val="none" w:sz="0" w:space="0" w:color="auto"/>
            <w:bottom w:val="none" w:sz="0" w:space="0" w:color="auto"/>
            <w:right w:val="none" w:sz="0" w:space="0" w:color="auto"/>
          </w:divBdr>
        </w:div>
        <w:div w:id="380710826">
          <w:marLeft w:val="480"/>
          <w:marRight w:val="0"/>
          <w:marTop w:val="0"/>
          <w:marBottom w:val="0"/>
          <w:divBdr>
            <w:top w:val="none" w:sz="0" w:space="0" w:color="auto"/>
            <w:left w:val="none" w:sz="0" w:space="0" w:color="auto"/>
            <w:bottom w:val="none" w:sz="0" w:space="0" w:color="auto"/>
            <w:right w:val="none" w:sz="0" w:space="0" w:color="auto"/>
          </w:divBdr>
        </w:div>
        <w:div w:id="385884843">
          <w:marLeft w:val="480"/>
          <w:marRight w:val="0"/>
          <w:marTop w:val="0"/>
          <w:marBottom w:val="0"/>
          <w:divBdr>
            <w:top w:val="none" w:sz="0" w:space="0" w:color="auto"/>
            <w:left w:val="none" w:sz="0" w:space="0" w:color="auto"/>
            <w:bottom w:val="none" w:sz="0" w:space="0" w:color="auto"/>
            <w:right w:val="none" w:sz="0" w:space="0" w:color="auto"/>
          </w:divBdr>
        </w:div>
        <w:div w:id="459998908">
          <w:marLeft w:val="480"/>
          <w:marRight w:val="0"/>
          <w:marTop w:val="0"/>
          <w:marBottom w:val="0"/>
          <w:divBdr>
            <w:top w:val="none" w:sz="0" w:space="0" w:color="auto"/>
            <w:left w:val="none" w:sz="0" w:space="0" w:color="auto"/>
            <w:bottom w:val="none" w:sz="0" w:space="0" w:color="auto"/>
            <w:right w:val="none" w:sz="0" w:space="0" w:color="auto"/>
          </w:divBdr>
        </w:div>
        <w:div w:id="538007260">
          <w:marLeft w:val="480"/>
          <w:marRight w:val="0"/>
          <w:marTop w:val="0"/>
          <w:marBottom w:val="0"/>
          <w:divBdr>
            <w:top w:val="none" w:sz="0" w:space="0" w:color="auto"/>
            <w:left w:val="none" w:sz="0" w:space="0" w:color="auto"/>
            <w:bottom w:val="none" w:sz="0" w:space="0" w:color="auto"/>
            <w:right w:val="none" w:sz="0" w:space="0" w:color="auto"/>
          </w:divBdr>
        </w:div>
        <w:div w:id="539634311">
          <w:marLeft w:val="480"/>
          <w:marRight w:val="0"/>
          <w:marTop w:val="0"/>
          <w:marBottom w:val="0"/>
          <w:divBdr>
            <w:top w:val="none" w:sz="0" w:space="0" w:color="auto"/>
            <w:left w:val="none" w:sz="0" w:space="0" w:color="auto"/>
            <w:bottom w:val="none" w:sz="0" w:space="0" w:color="auto"/>
            <w:right w:val="none" w:sz="0" w:space="0" w:color="auto"/>
          </w:divBdr>
        </w:div>
        <w:div w:id="599408381">
          <w:marLeft w:val="480"/>
          <w:marRight w:val="0"/>
          <w:marTop w:val="0"/>
          <w:marBottom w:val="0"/>
          <w:divBdr>
            <w:top w:val="none" w:sz="0" w:space="0" w:color="auto"/>
            <w:left w:val="none" w:sz="0" w:space="0" w:color="auto"/>
            <w:bottom w:val="none" w:sz="0" w:space="0" w:color="auto"/>
            <w:right w:val="none" w:sz="0" w:space="0" w:color="auto"/>
          </w:divBdr>
        </w:div>
        <w:div w:id="611858360">
          <w:marLeft w:val="480"/>
          <w:marRight w:val="0"/>
          <w:marTop w:val="0"/>
          <w:marBottom w:val="0"/>
          <w:divBdr>
            <w:top w:val="none" w:sz="0" w:space="0" w:color="auto"/>
            <w:left w:val="none" w:sz="0" w:space="0" w:color="auto"/>
            <w:bottom w:val="none" w:sz="0" w:space="0" w:color="auto"/>
            <w:right w:val="none" w:sz="0" w:space="0" w:color="auto"/>
          </w:divBdr>
        </w:div>
        <w:div w:id="709107680">
          <w:marLeft w:val="480"/>
          <w:marRight w:val="0"/>
          <w:marTop w:val="0"/>
          <w:marBottom w:val="0"/>
          <w:divBdr>
            <w:top w:val="none" w:sz="0" w:space="0" w:color="auto"/>
            <w:left w:val="none" w:sz="0" w:space="0" w:color="auto"/>
            <w:bottom w:val="none" w:sz="0" w:space="0" w:color="auto"/>
            <w:right w:val="none" w:sz="0" w:space="0" w:color="auto"/>
          </w:divBdr>
        </w:div>
        <w:div w:id="738796000">
          <w:marLeft w:val="480"/>
          <w:marRight w:val="0"/>
          <w:marTop w:val="0"/>
          <w:marBottom w:val="0"/>
          <w:divBdr>
            <w:top w:val="none" w:sz="0" w:space="0" w:color="auto"/>
            <w:left w:val="none" w:sz="0" w:space="0" w:color="auto"/>
            <w:bottom w:val="none" w:sz="0" w:space="0" w:color="auto"/>
            <w:right w:val="none" w:sz="0" w:space="0" w:color="auto"/>
          </w:divBdr>
        </w:div>
        <w:div w:id="772477002">
          <w:marLeft w:val="480"/>
          <w:marRight w:val="0"/>
          <w:marTop w:val="0"/>
          <w:marBottom w:val="0"/>
          <w:divBdr>
            <w:top w:val="none" w:sz="0" w:space="0" w:color="auto"/>
            <w:left w:val="none" w:sz="0" w:space="0" w:color="auto"/>
            <w:bottom w:val="none" w:sz="0" w:space="0" w:color="auto"/>
            <w:right w:val="none" w:sz="0" w:space="0" w:color="auto"/>
          </w:divBdr>
        </w:div>
        <w:div w:id="888498687">
          <w:marLeft w:val="480"/>
          <w:marRight w:val="0"/>
          <w:marTop w:val="0"/>
          <w:marBottom w:val="0"/>
          <w:divBdr>
            <w:top w:val="none" w:sz="0" w:space="0" w:color="auto"/>
            <w:left w:val="none" w:sz="0" w:space="0" w:color="auto"/>
            <w:bottom w:val="none" w:sz="0" w:space="0" w:color="auto"/>
            <w:right w:val="none" w:sz="0" w:space="0" w:color="auto"/>
          </w:divBdr>
        </w:div>
        <w:div w:id="914163900">
          <w:marLeft w:val="480"/>
          <w:marRight w:val="0"/>
          <w:marTop w:val="0"/>
          <w:marBottom w:val="0"/>
          <w:divBdr>
            <w:top w:val="none" w:sz="0" w:space="0" w:color="auto"/>
            <w:left w:val="none" w:sz="0" w:space="0" w:color="auto"/>
            <w:bottom w:val="none" w:sz="0" w:space="0" w:color="auto"/>
            <w:right w:val="none" w:sz="0" w:space="0" w:color="auto"/>
          </w:divBdr>
        </w:div>
        <w:div w:id="917057883">
          <w:marLeft w:val="480"/>
          <w:marRight w:val="0"/>
          <w:marTop w:val="0"/>
          <w:marBottom w:val="0"/>
          <w:divBdr>
            <w:top w:val="none" w:sz="0" w:space="0" w:color="auto"/>
            <w:left w:val="none" w:sz="0" w:space="0" w:color="auto"/>
            <w:bottom w:val="none" w:sz="0" w:space="0" w:color="auto"/>
            <w:right w:val="none" w:sz="0" w:space="0" w:color="auto"/>
          </w:divBdr>
        </w:div>
        <w:div w:id="976299663">
          <w:marLeft w:val="480"/>
          <w:marRight w:val="0"/>
          <w:marTop w:val="0"/>
          <w:marBottom w:val="0"/>
          <w:divBdr>
            <w:top w:val="none" w:sz="0" w:space="0" w:color="auto"/>
            <w:left w:val="none" w:sz="0" w:space="0" w:color="auto"/>
            <w:bottom w:val="none" w:sz="0" w:space="0" w:color="auto"/>
            <w:right w:val="none" w:sz="0" w:space="0" w:color="auto"/>
          </w:divBdr>
        </w:div>
        <w:div w:id="1061365335">
          <w:marLeft w:val="480"/>
          <w:marRight w:val="0"/>
          <w:marTop w:val="0"/>
          <w:marBottom w:val="0"/>
          <w:divBdr>
            <w:top w:val="none" w:sz="0" w:space="0" w:color="auto"/>
            <w:left w:val="none" w:sz="0" w:space="0" w:color="auto"/>
            <w:bottom w:val="none" w:sz="0" w:space="0" w:color="auto"/>
            <w:right w:val="none" w:sz="0" w:space="0" w:color="auto"/>
          </w:divBdr>
        </w:div>
        <w:div w:id="1070691692">
          <w:marLeft w:val="480"/>
          <w:marRight w:val="0"/>
          <w:marTop w:val="0"/>
          <w:marBottom w:val="0"/>
          <w:divBdr>
            <w:top w:val="none" w:sz="0" w:space="0" w:color="auto"/>
            <w:left w:val="none" w:sz="0" w:space="0" w:color="auto"/>
            <w:bottom w:val="none" w:sz="0" w:space="0" w:color="auto"/>
            <w:right w:val="none" w:sz="0" w:space="0" w:color="auto"/>
          </w:divBdr>
        </w:div>
        <w:div w:id="1087923473">
          <w:marLeft w:val="480"/>
          <w:marRight w:val="0"/>
          <w:marTop w:val="0"/>
          <w:marBottom w:val="0"/>
          <w:divBdr>
            <w:top w:val="none" w:sz="0" w:space="0" w:color="auto"/>
            <w:left w:val="none" w:sz="0" w:space="0" w:color="auto"/>
            <w:bottom w:val="none" w:sz="0" w:space="0" w:color="auto"/>
            <w:right w:val="none" w:sz="0" w:space="0" w:color="auto"/>
          </w:divBdr>
        </w:div>
        <w:div w:id="1088228985">
          <w:marLeft w:val="480"/>
          <w:marRight w:val="0"/>
          <w:marTop w:val="0"/>
          <w:marBottom w:val="0"/>
          <w:divBdr>
            <w:top w:val="none" w:sz="0" w:space="0" w:color="auto"/>
            <w:left w:val="none" w:sz="0" w:space="0" w:color="auto"/>
            <w:bottom w:val="none" w:sz="0" w:space="0" w:color="auto"/>
            <w:right w:val="none" w:sz="0" w:space="0" w:color="auto"/>
          </w:divBdr>
        </w:div>
        <w:div w:id="1093279496">
          <w:marLeft w:val="480"/>
          <w:marRight w:val="0"/>
          <w:marTop w:val="0"/>
          <w:marBottom w:val="0"/>
          <w:divBdr>
            <w:top w:val="none" w:sz="0" w:space="0" w:color="auto"/>
            <w:left w:val="none" w:sz="0" w:space="0" w:color="auto"/>
            <w:bottom w:val="none" w:sz="0" w:space="0" w:color="auto"/>
            <w:right w:val="none" w:sz="0" w:space="0" w:color="auto"/>
          </w:divBdr>
        </w:div>
        <w:div w:id="1108424675">
          <w:marLeft w:val="480"/>
          <w:marRight w:val="0"/>
          <w:marTop w:val="0"/>
          <w:marBottom w:val="0"/>
          <w:divBdr>
            <w:top w:val="none" w:sz="0" w:space="0" w:color="auto"/>
            <w:left w:val="none" w:sz="0" w:space="0" w:color="auto"/>
            <w:bottom w:val="none" w:sz="0" w:space="0" w:color="auto"/>
            <w:right w:val="none" w:sz="0" w:space="0" w:color="auto"/>
          </w:divBdr>
        </w:div>
        <w:div w:id="1126587345">
          <w:marLeft w:val="480"/>
          <w:marRight w:val="0"/>
          <w:marTop w:val="0"/>
          <w:marBottom w:val="0"/>
          <w:divBdr>
            <w:top w:val="none" w:sz="0" w:space="0" w:color="auto"/>
            <w:left w:val="none" w:sz="0" w:space="0" w:color="auto"/>
            <w:bottom w:val="none" w:sz="0" w:space="0" w:color="auto"/>
            <w:right w:val="none" w:sz="0" w:space="0" w:color="auto"/>
          </w:divBdr>
        </w:div>
        <w:div w:id="1141772719">
          <w:marLeft w:val="480"/>
          <w:marRight w:val="0"/>
          <w:marTop w:val="0"/>
          <w:marBottom w:val="0"/>
          <w:divBdr>
            <w:top w:val="none" w:sz="0" w:space="0" w:color="auto"/>
            <w:left w:val="none" w:sz="0" w:space="0" w:color="auto"/>
            <w:bottom w:val="none" w:sz="0" w:space="0" w:color="auto"/>
            <w:right w:val="none" w:sz="0" w:space="0" w:color="auto"/>
          </w:divBdr>
        </w:div>
        <w:div w:id="1159350978">
          <w:marLeft w:val="480"/>
          <w:marRight w:val="0"/>
          <w:marTop w:val="0"/>
          <w:marBottom w:val="0"/>
          <w:divBdr>
            <w:top w:val="none" w:sz="0" w:space="0" w:color="auto"/>
            <w:left w:val="none" w:sz="0" w:space="0" w:color="auto"/>
            <w:bottom w:val="none" w:sz="0" w:space="0" w:color="auto"/>
            <w:right w:val="none" w:sz="0" w:space="0" w:color="auto"/>
          </w:divBdr>
        </w:div>
        <w:div w:id="1218250179">
          <w:marLeft w:val="480"/>
          <w:marRight w:val="0"/>
          <w:marTop w:val="0"/>
          <w:marBottom w:val="0"/>
          <w:divBdr>
            <w:top w:val="none" w:sz="0" w:space="0" w:color="auto"/>
            <w:left w:val="none" w:sz="0" w:space="0" w:color="auto"/>
            <w:bottom w:val="none" w:sz="0" w:space="0" w:color="auto"/>
            <w:right w:val="none" w:sz="0" w:space="0" w:color="auto"/>
          </w:divBdr>
        </w:div>
        <w:div w:id="1407262499">
          <w:marLeft w:val="480"/>
          <w:marRight w:val="0"/>
          <w:marTop w:val="0"/>
          <w:marBottom w:val="0"/>
          <w:divBdr>
            <w:top w:val="none" w:sz="0" w:space="0" w:color="auto"/>
            <w:left w:val="none" w:sz="0" w:space="0" w:color="auto"/>
            <w:bottom w:val="none" w:sz="0" w:space="0" w:color="auto"/>
            <w:right w:val="none" w:sz="0" w:space="0" w:color="auto"/>
          </w:divBdr>
        </w:div>
        <w:div w:id="1538083813">
          <w:marLeft w:val="480"/>
          <w:marRight w:val="0"/>
          <w:marTop w:val="0"/>
          <w:marBottom w:val="0"/>
          <w:divBdr>
            <w:top w:val="none" w:sz="0" w:space="0" w:color="auto"/>
            <w:left w:val="none" w:sz="0" w:space="0" w:color="auto"/>
            <w:bottom w:val="none" w:sz="0" w:space="0" w:color="auto"/>
            <w:right w:val="none" w:sz="0" w:space="0" w:color="auto"/>
          </w:divBdr>
        </w:div>
        <w:div w:id="1545941385">
          <w:marLeft w:val="480"/>
          <w:marRight w:val="0"/>
          <w:marTop w:val="0"/>
          <w:marBottom w:val="0"/>
          <w:divBdr>
            <w:top w:val="none" w:sz="0" w:space="0" w:color="auto"/>
            <w:left w:val="none" w:sz="0" w:space="0" w:color="auto"/>
            <w:bottom w:val="none" w:sz="0" w:space="0" w:color="auto"/>
            <w:right w:val="none" w:sz="0" w:space="0" w:color="auto"/>
          </w:divBdr>
        </w:div>
        <w:div w:id="1620332664">
          <w:marLeft w:val="480"/>
          <w:marRight w:val="0"/>
          <w:marTop w:val="0"/>
          <w:marBottom w:val="0"/>
          <w:divBdr>
            <w:top w:val="none" w:sz="0" w:space="0" w:color="auto"/>
            <w:left w:val="none" w:sz="0" w:space="0" w:color="auto"/>
            <w:bottom w:val="none" w:sz="0" w:space="0" w:color="auto"/>
            <w:right w:val="none" w:sz="0" w:space="0" w:color="auto"/>
          </w:divBdr>
        </w:div>
        <w:div w:id="1624072426">
          <w:marLeft w:val="480"/>
          <w:marRight w:val="0"/>
          <w:marTop w:val="0"/>
          <w:marBottom w:val="0"/>
          <w:divBdr>
            <w:top w:val="none" w:sz="0" w:space="0" w:color="auto"/>
            <w:left w:val="none" w:sz="0" w:space="0" w:color="auto"/>
            <w:bottom w:val="none" w:sz="0" w:space="0" w:color="auto"/>
            <w:right w:val="none" w:sz="0" w:space="0" w:color="auto"/>
          </w:divBdr>
        </w:div>
        <w:div w:id="1624113541">
          <w:marLeft w:val="480"/>
          <w:marRight w:val="0"/>
          <w:marTop w:val="0"/>
          <w:marBottom w:val="0"/>
          <w:divBdr>
            <w:top w:val="none" w:sz="0" w:space="0" w:color="auto"/>
            <w:left w:val="none" w:sz="0" w:space="0" w:color="auto"/>
            <w:bottom w:val="none" w:sz="0" w:space="0" w:color="auto"/>
            <w:right w:val="none" w:sz="0" w:space="0" w:color="auto"/>
          </w:divBdr>
        </w:div>
        <w:div w:id="1685352804">
          <w:marLeft w:val="480"/>
          <w:marRight w:val="0"/>
          <w:marTop w:val="0"/>
          <w:marBottom w:val="0"/>
          <w:divBdr>
            <w:top w:val="none" w:sz="0" w:space="0" w:color="auto"/>
            <w:left w:val="none" w:sz="0" w:space="0" w:color="auto"/>
            <w:bottom w:val="none" w:sz="0" w:space="0" w:color="auto"/>
            <w:right w:val="none" w:sz="0" w:space="0" w:color="auto"/>
          </w:divBdr>
        </w:div>
        <w:div w:id="1700625150">
          <w:marLeft w:val="480"/>
          <w:marRight w:val="0"/>
          <w:marTop w:val="0"/>
          <w:marBottom w:val="0"/>
          <w:divBdr>
            <w:top w:val="none" w:sz="0" w:space="0" w:color="auto"/>
            <w:left w:val="none" w:sz="0" w:space="0" w:color="auto"/>
            <w:bottom w:val="none" w:sz="0" w:space="0" w:color="auto"/>
            <w:right w:val="none" w:sz="0" w:space="0" w:color="auto"/>
          </w:divBdr>
        </w:div>
        <w:div w:id="1747996156">
          <w:marLeft w:val="480"/>
          <w:marRight w:val="0"/>
          <w:marTop w:val="0"/>
          <w:marBottom w:val="0"/>
          <w:divBdr>
            <w:top w:val="none" w:sz="0" w:space="0" w:color="auto"/>
            <w:left w:val="none" w:sz="0" w:space="0" w:color="auto"/>
            <w:bottom w:val="none" w:sz="0" w:space="0" w:color="auto"/>
            <w:right w:val="none" w:sz="0" w:space="0" w:color="auto"/>
          </w:divBdr>
        </w:div>
        <w:div w:id="1850439950">
          <w:marLeft w:val="480"/>
          <w:marRight w:val="0"/>
          <w:marTop w:val="0"/>
          <w:marBottom w:val="0"/>
          <w:divBdr>
            <w:top w:val="none" w:sz="0" w:space="0" w:color="auto"/>
            <w:left w:val="none" w:sz="0" w:space="0" w:color="auto"/>
            <w:bottom w:val="none" w:sz="0" w:space="0" w:color="auto"/>
            <w:right w:val="none" w:sz="0" w:space="0" w:color="auto"/>
          </w:divBdr>
        </w:div>
        <w:div w:id="1904290630">
          <w:marLeft w:val="480"/>
          <w:marRight w:val="0"/>
          <w:marTop w:val="0"/>
          <w:marBottom w:val="0"/>
          <w:divBdr>
            <w:top w:val="none" w:sz="0" w:space="0" w:color="auto"/>
            <w:left w:val="none" w:sz="0" w:space="0" w:color="auto"/>
            <w:bottom w:val="none" w:sz="0" w:space="0" w:color="auto"/>
            <w:right w:val="none" w:sz="0" w:space="0" w:color="auto"/>
          </w:divBdr>
        </w:div>
        <w:div w:id="1912812239">
          <w:marLeft w:val="480"/>
          <w:marRight w:val="0"/>
          <w:marTop w:val="0"/>
          <w:marBottom w:val="0"/>
          <w:divBdr>
            <w:top w:val="none" w:sz="0" w:space="0" w:color="auto"/>
            <w:left w:val="none" w:sz="0" w:space="0" w:color="auto"/>
            <w:bottom w:val="none" w:sz="0" w:space="0" w:color="auto"/>
            <w:right w:val="none" w:sz="0" w:space="0" w:color="auto"/>
          </w:divBdr>
        </w:div>
        <w:div w:id="1922789959">
          <w:marLeft w:val="480"/>
          <w:marRight w:val="0"/>
          <w:marTop w:val="0"/>
          <w:marBottom w:val="0"/>
          <w:divBdr>
            <w:top w:val="none" w:sz="0" w:space="0" w:color="auto"/>
            <w:left w:val="none" w:sz="0" w:space="0" w:color="auto"/>
            <w:bottom w:val="none" w:sz="0" w:space="0" w:color="auto"/>
            <w:right w:val="none" w:sz="0" w:space="0" w:color="auto"/>
          </w:divBdr>
        </w:div>
        <w:div w:id="1978798919">
          <w:marLeft w:val="480"/>
          <w:marRight w:val="0"/>
          <w:marTop w:val="0"/>
          <w:marBottom w:val="0"/>
          <w:divBdr>
            <w:top w:val="none" w:sz="0" w:space="0" w:color="auto"/>
            <w:left w:val="none" w:sz="0" w:space="0" w:color="auto"/>
            <w:bottom w:val="none" w:sz="0" w:space="0" w:color="auto"/>
            <w:right w:val="none" w:sz="0" w:space="0" w:color="auto"/>
          </w:divBdr>
        </w:div>
        <w:div w:id="2040886259">
          <w:marLeft w:val="480"/>
          <w:marRight w:val="0"/>
          <w:marTop w:val="0"/>
          <w:marBottom w:val="0"/>
          <w:divBdr>
            <w:top w:val="none" w:sz="0" w:space="0" w:color="auto"/>
            <w:left w:val="none" w:sz="0" w:space="0" w:color="auto"/>
            <w:bottom w:val="none" w:sz="0" w:space="0" w:color="auto"/>
            <w:right w:val="none" w:sz="0" w:space="0" w:color="auto"/>
          </w:divBdr>
        </w:div>
        <w:div w:id="2101639555">
          <w:marLeft w:val="480"/>
          <w:marRight w:val="0"/>
          <w:marTop w:val="0"/>
          <w:marBottom w:val="0"/>
          <w:divBdr>
            <w:top w:val="none" w:sz="0" w:space="0" w:color="auto"/>
            <w:left w:val="none" w:sz="0" w:space="0" w:color="auto"/>
            <w:bottom w:val="none" w:sz="0" w:space="0" w:color="auto"/>
            <w:right w:val="none" w:sz="0" w:space="0" w:color="auto"/>
          </w:divBdr>
        </w:div>
        <w:div w:id="2116904045">
          <w:marLeft w:val="480"/>
          <w:marRight w:val="0"/>
          <w:marTop w:val="0"/>
          <w:marBottom w:val="0"/>
          <w:divBdr>
            <w:top w:val="none" w:sz="0" w:space="0" w:color="auto"/>
            <w:left w:val="none" w:sz="0" w:space="0" w:color="auto"/>
            <w:bottom w:val="none" w:sz="0" w:space="0" w:color="auto"/>
            <w:right w:val="none" w:sz="0" w:space="0" w:color="auto"/>
          </w:divBdr>
        </w:div>
      </w:divsChild>
    </w:div>
    <w:div w:id="595986490">
      <w:bodyDiv w:val="1"/>
      <w:marLeft w:val="0"/>
      <w:marRight w:val="0"/>
      <w:marTop w:val="0"/>
      <w:marBottom w:val="0"/>
      <w:divBdr>
        <w:top w:val="none" w:sz="0" w:space="0" w:color="auto"/>
        <w:left w:val="none" w:sz="0" w:space="0" w:color="auto"/>
        <w:bottom w:val="none" w:sz="0" w:space="0" w:color="auto"/>
        <w:right w:val="none" w:sz="0" w:space="0" w:color="auto"/>
      </w:divBdr>
    </w:div>
    <w:div w:id="603464323">
      <w:bodyDiv w:val="1"/>
      <w:marLeft w:val="0"/>
      <w:marRight w:val="0"/>
      <w:marTop w:val="0"/>
      <w:marBottom w:val="0"/>
      <w:divBdr>
        <w:top w:val="none" w:sz="0" w:space="0" w:color="auto"/>
        <w:left w:val="none" w:sz="0" w:space="0" w:color="auto"/>
        <w:bottom w:val="none" w:sz="0" w:space="0" w:color="auto"/>
        <w:right w:val="none" w:sz="0" w:space="0" w:color="auto"/>
      </w:divBdr>
    </w:div>
    <w:div w:id="605775303">
      <w:bodyDiv w:val="1"/>
      <w:marLeft w:val="0"/>
      <w:marRight w:val="0"/>
      <w:marTop w:val="0"/>
      <w:marBottom w:val="0"/>
      <w:divBdr>
        <w:top w:val="none" w:sz="0" w:space="0" w:color="auto"/>
        <w:left w:val="none" w:sz="0" w:space="0" w:color="auto"/>
        <w:bottom w:val="none" w:sz="0" w:space="0" w:color="auto"/>
        <w:right w:val="none" w:sz="0" w:space="0" w:color="auto"/>
      </w:divBdr>
    </w:div>
    <w:div w:id="609161496">
      <w:bodyDiv w:val="1"/>
      <w:marLeft w:val="0"/>
      <w:marRight w:val="0"/>
      <w:marTop w:val="0"/>
      <w:marBottom w:val="0"/>
      <w:divBdr>
        <w:top w:val="none" w:sz="0" w:space="0" w:color="auto"/>
        <w:left w:val="none" w:sz="0" w:space="0" w:color="auto"/>
        <w:bottom w:val="none" w:sz="0" w:space="0" w:color="auto"/>
        <w:right w:val="none" w:sz="0" w:space="0" w:color="auto"/>
      </w:divBdr>
    </w:div>
    <w:div w:id="611476458">
      <w:bodyDiv w:val="1"/>
      <w:marLeft w:val="0"/>
      <w:marRight w:val="0"/>
      <w:marTop w:val="0"/>
      <w:marBottom w:val="0"/>
      <w:divBdr>
        <w:top w:val="none" w:sz="0" w:space="0" w:color="auto"/>
        <w:left w:val="none" w:sz="0" w:space="0" w:color="auto"/>
        <w:bottom w:val="none" w:sz="0" w:space="0" w:color="auto"/>
        <w:right w:val="none" w:sz="0" w:space="0" w:color="auto"/>
      </w:divBdr>
    </w:div>
    <w:div w:id="611479305">
      <w:bodyDiv w:val="1"/>
      <w:marLeft w:val="0"/>
      <w:marRight w:val="0"/>
      <w:marTop w:val="0"/>
      <w:marBottom w:val="0"/>
      <w:divBdr>
        <w:top w:val="none" w:sz="0" w:space="0" w:color="auto"/>
        <w:left w:val="none" w:sz="0" w:space="0" w:color="auto"/>
        <w:bottom w:val="none" w:sz="0" w:space="0" w:color="auto"/>
        <w:right w:val="none" w:sz="0" w:space="0" w:color="auto"/>
      </w:divBdr>
    </w:div>
    <w:div w:id="618488932">
      <w:bodyDiv w:val="1"/>
      <w:marLeft w:val="0"/>
      <w:marRight w:val="0"/>
      <w:marTop w:val="0"/>
      <w:marBottom w:val="0"/>
      <w:divBdr>
        <w:top w:val="none" w:sz="0" w:space="0" w:color="auto"/>
        <w:left w:val="none" w:sz="0" w:space="0" w:color="auto"/>
        <w:bottom w:val="none" w:sz="0" w:space="0" w:color="auto"/>
        <w:right w:val="none" w:sz="0" w:space="0" w:color="auto"/>
      </w:divBdr>
    </w:div>
    <w:div w:id="623777917">
      <w:bodyDiv w:val="1"/>
      <w:marLeft w:val="0"/>
      <w:marRight w:val="0"/>
      <w:marTop w:val="0"/>
      <w:marBottom w:val="0"/>
      <w:divBdr>
        <w:top w:val="none" w:sz="0" w:space="0" w:color="auto"/>
        <w:left w:val="none" w:sz="0" w:space="0" w:color="auto"/>
        <w:bottom w:val="none" w:sz="0" w:space="0" w:color="auto"/>
        <w:right w:val="none" w:sz="0" w:space="0" w:color="auto"/>
      </w:divBdr>
      <w:divsChild>
        <w:div w:id="27688316">
          <w:marLeft w:val="480"/>
          <w:marRight w:val="0"/>
          <w:marTop w:val="0"/>
          <w:marBottom w:val="0"/>
          <w:divBdr>
            <w:top w:val="none" w:sz="0" w:space="0" w:color="auto"/>
            <w:left w:val="none" w:sz="0" w:space="0" w:color="auto"/>
            <w:bottom w:val="none" w:sz="0" w:space="0" w:color="auto"/>
            <w:right w:val="none" w:sz="0" w:space="0" w:color="auto"/>
          </w:divBdr>
        </w:div>
        <w:div w:id="58359531">
          <w:marLeft w:val="480"/>
          <w:marRight w:val="0"/>
          <w:marTop w:val="0"/>
          <w:marBottom w:val="0"/>
          <w:divBdr>
            <w:top w:val="none" w:sz="0" w:space="0" w:color="auto"/>
            <w:left w:val="none" w:sz="0" w:space="0" w:color="auto"/>
            <w:bottom w:val="none" w:sz="0" w:space="0" w:color="auto"/>
            <w:right w:val="none" w:sz="0" w:space="0" w:color="auto"/>
          </w:divBdr>
        </w:div>
        <w:div w:id="151875463">
          <w:marLeft w:val="480"/>
          <w:marRight w:val="0"/>
          <w:marTop w:val="0"/>
          <w:marBottom w:val="0"/>
          <w:divBdr>
            <w:top w:val="none" w:sz="0" w:space="0" w:color="auto"/>
            <w:left w:val="none" w:sz="0" w:space="0" w:color="auto"/>
            <w:bottom w:val="none" w:sz="0" w:space="0" w:color="auto"/>
            <w:right w:val="none" w:sz="0" w:space="0" w:color="auto"/>
          </w:divBdr>
        </w:div>
        <w:div w:id="151987968">
          <w:marLeft w:val="480"/>
          <w:marRight w:val="0"/>
          <w:marTop w:val="0"/>
          <w:marBottom w:val="0"/>
          <w:divBdr>
            <w:top w:val="none" w:sz="0" w:space="0" w:color="auto"/>
            <w:left w:val="none" w:sz="0" w:space="0" w:color="auto"/>
            <w:bottom w:val="none" w:sz="0" w:space="0" w:color="auto"/>
            <w:right w:val="none" w:sz="0" w:space="0" w:color="auto"/>
          </w:divBdr>
        </w:div>
        <w:div w:id="219754365">
          <w:marLeft w:val="480"/>
          <w:marRight w:val="0"/>
          <w:marTop w:val="0"/>
          <w:marBottom w:val="0"/>
          <w:divBdr>
            <w:top w:val="none" w:sz="0" w:space="0" w:color="auto"/>
            <w:left w:val="none" w:sz="0" w:space="0" w:color="auto"/>
            <w:bottom w:val="none" w:sz="0" w:space="0" w:color="auto"/>
            <w:right w:val="none" w:sz="0" w:space="0" w:color="auto"/>
          </w:divBdr>
        </w:div>
        <w:div w:id="269431031">
          <w:marLeft w:val="480"/>
          <w:marRight w:val="0"/>
          <w:marTop w:val="0"/>
          <w:marBottom w:val="0"/>
          <w:divBdr>
            <w:top w:val="none" w:sz="0" w:space="0" w:color="auto"/>
            <w:left w:val="none" w:sz="0" w:space="0" w:color="auto"/>
            <w:bottom w:val="none" w:sz="0" w:space="0" w:color="auto"/>
            <w:right w:val="none" w:sz="0" w:space="0" w:color="auto"/>
          </w:divBdr>
        </w:div>
        <w:div w:id="275019503">
          <w:marLeft w:val="480"/>
          <w:marRight w:val="0"/>
          <w:marTop w:val="0"/>
          <w:marBottom w:val="0"/>
          <w:divBdr>
            <w:top w:val="none" w:sz="0" w:space="0" w:color="auto"/>
            <w:left w:val="none" w:sz="0" w:space="0" w:color="auto"/>
            <w:bottom w:val="none" w:sz="0" w:space="0" w:color="auto"/>
            <w:right w:val="none" w:sz="0" w:space="0" w:color="auto"/>
          </w:divBdr>
        </w:div>
        <w:div w:id="355541102">
          <w:marLeft w:val="480"/>
          <w:marRight w:val="0"/>
          <w:marTop w:val="0"/>
          <w:marBottom w:val="0"/>
          <w:divBdr>
            <w:top w:val="none" w:sz="0" w:space="0" w:color="auto"/>
            <w:left w:val="none" w:sz="0" w:space="0" w:color="auto"/>
            <w:bottom w:val="none" w:sz="0" w:space="0" w:color="auto"/>
            <w:right w:val="none" w:sz="0" w:space="0" w:color="auto"/>
          </w:divBdr>
        </w:div>
        <w:div w:id="360128115">
          <w:marLeft w:val="480"/>
          <w:marRight w:val="0"/>
          <w:marTop w:val="0"/>
          <w:marBottom w:val="0"/>
          <w:divBdr>
            <w:top w:val="none" w:sz="0" w:space="0" w:color="auto"/>
            <w:left w:val="none" w:sz="0" w:space="0" w:color="auto"/>
            <w:bottom w:val="none" w:sz="0" w:space="0" w:color="auto"/>
            <w:right w:val="none" w:sz="0" w:space="0" w:color="auto"/>
          </w:divBdr>
        </w:div>
        <w:div w:id="376973017">
          <w:marLeft w:val="480"/>
          <w:marRight w:val="0"/>
          <w:marTop w:val="0"/>
          <w:marBottom w:val="0"/>
          <w:divBdr>
            <w:top w:val="none" w:sz="0" w:space="0" w:color="auto"/>
            <w:left w:val="none" w:sz="0" w:space="0" w:color="auto"/>
            <w:bottom w:val="none" w:sz="0" w:space="0" w:color="auto"/>
            <w:right w:val="none" w:sz="0" w:space="0" w:color="auto"/>
          </w:divBdr>
        </w:div>
        <w:div w:id="429860674">
          <w:marLeft w:val="480"/>
          <w:marRight w:val="0"/>
          <w:marTop w:val="0"/>
          <w:marBottom w:val="0"/>
          <w:divBdr>
            <w:top w:val="none" w:sz="0" w:space="0" w:color="auto"/>
            <w:left w:val="none" w:sz="0" w:space="0" w:color="auto"/>
            <w:bottom w:val="none" w:sz="0" w:space="0" w:color="auto"/>
            <w:right w:val="none" w:sz="0" w:space="0" w:color="auto"/>
          </w:divBdr>
        </w:div>
        <w:div w:id="461849722">
          <w:marLeft w:val="480"/>
          <w:marRight w:val="0"/>
          <w:marTop w:val="0"/>
          <w:marBottom w:val="0"/>
          <w:divBdr>
            <w:top w:val="none" w:sz="0" w:space="0" w:color="auto"/>
            <w:left w:val="none" w:sz="0" w:space="0" w:color="auto"/>
            <w:bottom w:val="none" w:sz="0" w:space="0" w:color="auto"/>
            <w:right w:val="none" w:sz="0" w:space="0" w:color="auto"/>
          </w:divBdr>
        </w:div>
        <w:div w:id="462504750">
          <w:marLeft w:val="480"/>
          <w:marRight w:val="0"/>
          <w:marTop w:val="0"/>
          <w:marBottom w:val="0"/>
          <w:divBdr>
            <w:top w:val="none" w:sz="0" w:space="0" w:color="auto"/>
            <w:left w:val="none" w:sz="0" w:space="0" w:color="auto"/>
            <w:bottom w:val="none" w:sz="0" w:space="0" w:color="auto"/>
            <w:right w:val="none" w:sz="0" w:space="0" w:color="auto"/>
          </w:divBdr>
        </w:div>
        <w:div w:id="500629515">
          <w:marLeft w:val="480"/>
          <w:marRight w:val="0"/>
          <w:marTop w:val="0"/>
          <w:marBottom w:val="0"/>
          <w:divBdr>
            <w:top w:val="none" w:sz="0" w:space="0" w:color="auto"/>
            <w:left w:val="none" w:sz="0" w:space="0" w:color="auto"/>
            <w:bottom w:val="none" w:sz="0" w:space="0" w:color="auto"/>
            <w:right w:val="none" w:sz="0" w:space="0" w:color="auto"/>
          </w:divBdr>
        </w:div>
        <w:div w:id="517890704">
          <w:marLeft w:val="480"/>
          <w:marRight w:val="0"/>
          <w:marTop w:val="0"/>
          <w:marBottom w:val="0"/>
          <w:divBdr>
            <w:top w:val="none" w:sz="0" w:space="0" w:color="auto"/>
            <w:left w:val="none" w:sz="0" w:space="0" w:color="auto"/>
            <w:bottom w:val="none" w:sz="0" w:space="0" w:color="auto"/>
            <w:right w:val="none" w:sz="0" w:space="0" w:color="auto"/>
          </w:divBdr>
        </w:div>
        <w:div w:id="530991479">
          <w:marLeft w:val="480"/>
          <w:marRight w:val="0"/>
          <w:marTop w:val="0"/>
          <w:marBottom w:val="0"/>
          <w:divBdr>
            <w:top w:val="none" w:sz="0" w:space="0" w:color="auto"/>
            <w:left w:val="none" w:sz="0" w:space="0" w:color="auto"/>
            <w:bottom w:val="none" w:sz="0" w:space="0" w:color="auto"/>
            <w:right w:val="none" w:sz="0" w:space="0" w:color="auto"/>
          </w:divBdr>
        </w:div>
        <w:div w:id="554512880">
          <w:marLeft w:val="480"/>
          <w:marRight w:val="0"/>
          <w:marTop w:val="0"/>
          <w:marBottom w:val="0"/>
          <w:divBdr>
            <w:top w:val="none" w:sz="0" w:space="0" w:color="auto"/>
            <w:left w:val="none" w:sz="0" w:space="0" w:color="auto"/>
            <w:bottom w:val="none" w:sz="0" w:space="0" w:color="auto"/>
            <w:right w:val="none" w:sz="0" w:space="0" w:color="auto"/>
          </w:divBdr>
        </w:div>
        <w:div w:id="652222984">
          <w:marLeft w:val="480"/>
          <w:marRight w:val="0"/>
          <w:marTop w:val="0"/>
          <w:marBottom w:val="0"/>
          <w:divBdr>
            <w:top w:val="none" w:sz="0" w:space="0" w:color="auto"/>
            <w:left w:val="none" w:sz="0" w:space="0" w:color="auto"/>
            <w:bottom w:val="none" w:sz="0" w:space="0" w:color="auto"/>
            <w:right w:val="none" w:sz="0" w:space="0" w:color="auto"/>
          </w:divBdr>
        </w:div>
        <w:div w:id="676807493">
          <w:marLeft w:val="480"/>
          <w:marRight w:val="0"/>
          <w:marTop w:val="0"/>
          <w:marBottom w:val="0"/>
          <w:divBdr>
            <w:top w:val="none" w:sz="0" w:space="0" w:color="auto"/>
            <w:left w:val="none" w:sz="0" w:space="0" w:color="auto"/>
            <w:bottom w:val="none" w:sz="0" w:space="0" w:color="auto"/>
            <w:right w:val="none" w:sz="0" w:space="0" w:color="auto"/>
          </w:divBdr>
        </w:div>
        <w:div w:id="696659624">
          <w:marLeft w:val="480"/>
          <w:marRight w:val="0"/>
          <w:marTop w:val="0"/>
          <w:marBottom w:val="0"/>
          <w:divBdr>
            <w:top w:val="none" w:sz="0" w:space="0" w:color="auto"/>
            <w:left w:val="none" w:sz="0" w:space="0" w:color="auto"/>
            <w:bottom w:val="none" w:sz="0" w:space="0" w:color="auto"/>
            <w:right w:val="none" w:sz="0" w:space="0" w:color="auto"/>
          </w:divBdr>
        </w:div>
        <w:div w:id="718166137">
          <w:marLeft w:val="480"/>
          <w:marRight w:val="0"/>
          <w:marTop w:val="0"/>
          <w:marBottom w:val="0"/>
          <w:divBdr>
            <w:top w:val="none" w:sz="0" w:space="0" w:color="auto"/>
            <w:left w:val="none" w:sz="0" w:space="0" w:color="auto"/>
            <w:bottom w:val="none" w:sz="0" w:space="0" w:color="auto"/>
            <w:right w:val="none" w:sz="0" w:space="0" w:color="auto"/>
          </w:divBdr>
        </w:div>
        <w:div w:id="746923919">
          <w:marLeft w:val="480"/>
          <w:marRight w:val="0"/>
          <w:marTop w:val="0"/>
          <w:marBottom w:val="0"/>
          <w:divBdr>
            <w:top w:val="none" w:sz="0" w:space="0" w:color="auto"/>
            <w:left w:val="none" w:sz="0" w:space="0" w:color="auto"/>
            <w:bottom w:val="none" w:sz="0" w:space="0" w:color="auto"/>
            <w:right w:val="none" w:sz="0" w:space="0" w:color="auto"/>
          </w:divBdr>
        </w:div>
        <w:div w:id="753166183">
          <w:marLeft w:val="480"/>
          <w:marRight w:val="0"/>
          <w:marTop w:val="0"/>
          <w:marBottom w:val="0"/>
          <w:divBdr>
            <w:top w:val="none" w:sz="0" w:space="0" w:color="auto"/>
            <w:left w:val="none" w:sz="0" w:space="0" w:color="auto"/>
            <w:bottom w:val="none" w:sz="0" w:space="0" w:color="auto"/>
            <w:right w:val="none" w:sz="0" w:space="0" w:color="auto"/>
          </w:divBdr>
        </w:div>
        <w:div w:id="759256094">
          <w:marLeft w:val="480"/>
          <w:marRight w:val="0"/>
          <w:marTop w:val="0"/>
          <w:marBottom w:val="0"/>
          <w:divBdr>
            <w:top w:val="none" w:sz="0" w:space="0" w:color="auto"/>
            <w:left w:val="none" w:sz="0" w:space="0" w:color="auto"/>
            <w:bottom w:val="none" w:sz="0" w:space="0" w:color="auto"/>
            <w:right w:val="none" w:sz="0" w:space="0" w:color="auto"/>
          </w:divBdr>
        </w:div>
        <w:div w:id="761528709">
          <w:marLeft w:val="480"/>
          <w:marRight w:val="0"/>
          <w:marTop w:val="0"/>
          <w:marBottom w:val="0"/>
          <w:divBdr>
            <w:top w:val="none" w:sz="0" w:space="0" w:color="auto"/>
            <w:left w:val="none" w:sz="0" w:space="0" w:color="auto"/>
            <w:bottom w:val="none" w:sz="0" w:space="0" w:color="auto"/>
            <w:right w:val="none" w:sz="0" w:space="0" w:color="auto"/>
          </w:divBdr>
        </w:div>
        <w:div w:id="781191572">
          <w:marLeft w:val="480"/>
          <w:marRight w:val="0"/>
          <w:marTop w:val="0"/>
          <w:marBottom w:val="0"/>
          <w:divBdr>
            <w:top w:val="none" w:sz="0" w:space="0" w:color="auto"/>
            <w:left w:val="none" w:sz="0" w:space="0" w:color="auto"/>
            <w:bottom w:val="none" w:sz="0" w:space="0" w:color="auto"/>
            <w:right w:val="none" w:sz="0" w:space="0" w:color="auto"/>
          </w:divBdr>
        </w:div>
        <w:div w:id="801922745">
          <w:marLeft w:val="480"/>
          <w:marRight w:val="0"/>
          <w:marTop w:val="0"/>
          <w:marBottom w:val="0"/>
          <w:divBdr>
            <w:top w:val="none" w:sz="0" w:space="0" w:color="auto"/>
            <w:left w:val="none" w:sz="0" w:space="0" w:color="auto"/>
            <w:bottom w:val="none" w:sz="0" w:space="0" w:color="auto"/>
            <w:right w:val="none" w:sz="0" w:space="0" w:color="auto"/>
          </w:divBdr>
        </w:div>
        <w:div w:id="815682173">
          <w:marLeft w:val="480"/>
          <w:marRight w:val="0"/>
          <w:marTop w:val="0"/>
          <w:marBottom w:val="0"/>
          <w:divBdr>
            <w:top w:val="none" w:sz="0" w:space="0" w:color="auto"/>
            <w:left w:val="none" w:sz="0" w:space="0" w:color="auto"/>
            <w:bottom w:val="none" w:sz="0" w:space="0" w:color="auto"/>
            <w:right w:val="none" w:sz="0" w:space="0" w:color="auto"/>
          </w:divBdr>
        </w:div>
        <w:div w:id="834805920">
          <w:marLeft w:val="480"/>
          <w:marRight w:val="0"/>
          <w:marTop w:val="0"/>
          <w:marBottom w:val="0"/>
          <w:divBdr>
            <w:top w:val="none" w:sz="0" w:space="0" w:color="auto"/>
            <w:left w:val="none" w:sz="0" w:space="0" w:color="auto"/>
            <w:bottom w:val="none" w:sz="0" w:space="0" w:color="auto"/>
            <w:right w:val="none" w:sz="0" w:space="0" w:color="auto"/>
          </w:divBdr>
        </w:div>
        <w:div w:id="939921330">
          <w:marLeft w:val="480"/>
          <w:marRight w:val="0"/>
          <w:marTop w:val="0"/>
          <w:marBottom w:val="0"/>
          <w:divBdr>
            <w:top w:val="none" w:sz="0" w:space="0" w:color="auto"/>
            <w:left w:val="none" w:sz="0" w:space="0" w:color="auto"/>
            <w:bottom w:val="none" w:sz="0" w:space="0" w:color="auto"/>
            <w:right w:val="none" w:sz="0" w:space="0" w:color="auto"/>
          </w:divBdr>
        </w:div>
        <w:div w:id="958141809">
          <w:marLeft w:val="480"/>
          <w:marRight w:val="0"/>
          <w:marTop w:val="0"/>
          <w:marBottom w:val="0"/>
          <w:divBdr>
            <w:top w:val="none" w:sz="0" w:space="0" w:color="auto"/>
            <w:left w:val="none" w:sz="0" w:space="0" w:color="auto"/>
            <w:bottom w:val="none" w:sz="0" w:space="0" w:color="auto"/>
            <w:right w:val="none" w:sz="0" w:space="0" w:color="auto"/>
          </w:divBdr>
        </w:div>
        <w:div w:id="1060785208">
          <w:marLeft w:val="480"/>
          <w:marRight w:val="0"/>
          <w:marTop w:val="0"/>
          <w:marBottom w:val="0"/>
          <w:divBdr>
            <w:top w:val="none" w:sz="0" w:space="0" w:color="auto"/>
            <w:left w:val="none" w:sz="0" w:space="0" w:color="auto"/>
            <w:bottom w:val="none" w:sz="0" w:space="0" w:color="auto"/>
            <w:right w:val="none" w:sz="0" w:space="0" w:color="auto"/>
          </w:divBdr>
        </w:div>
        <w:div w:id="1116602979">
          <w:marLeft w:val="480"/>
          <w:marRight w:val="0"/>
          <w:marTop w:val="0"/>
          <w:marBottom w:val="0"/>
          <w:divBdr>
            <w:top w:val="none" w:sz="0" w:space="0" w:color="auto"/>
            <w:left w:val="none" w:sz="0" w:space="0" w:color="auto"/>
            <w:bottom w:val="none" w:sz="0" w:space="0" w:color="auto"/>
            <w:right w:val="none" w:sz="0" w:space="0" w:color="auto"/>
          </w:divBdr>
        </w:div>
        <w:div w:id="1131050983">
          <w:marLeft w:val="480"/>
          <w:marRight w:val="0"/>
          <w:marTop w:val="0"/>
          <w:marBottom w:val="0"/>
          <w:divBdr>
            <w:top w:val="none" w:sz="0" w:space="0" w:color="auto"/>
            <w:left w:val="none" w:sz="0" w:space="0" w:color="auto"/>
            <w:bottom w:val="none" w:sz="0" w:space="0" w:color="auto"/>
            <w:right w:val="none" w:sz="0" w:space="0" w:color="auto"/>
          </w:divBdr>
        </w:div>
        <w:div w:id="1153839547">
          <w:marLeft w:val="480"/>
          <w:marRight w:val="0"/>
          <w:marTop w:val="0"/>
          <w:marBottom w:val="0"/>
          <w:divBdr>
            <w:top w:val="none" w:sz="0" w:space="0" w:color="auto"/>
            <w:left w:val="none" w:sz="0" w:space="0" w:color="auto"/>
            <w:bottom w:val="none" w:sz="0" w:space="0" w:color="auto"/>
            <w:right w:val="none" w:sz="0" w:space="0" w:color="auto"/>
          </w:divBdr>
        </w:div>
        <w:div w:id="1163812202">
          <w:marLeft w:val="480"/>
          <w:marRight w:val="0"/>
          <w:marTop w:val="0"/>
          <w:marBottom w:val="0"/>
          <w:divBdr>
            <w:top w:val="none" w:sz="0" w:space="0" w:color="auto"/>
            <w:left w:val="none" w:sz="0" w:space="0" w:color="auto"/>
            <w:bottom w:val="none" w:sz="0" w:space="0" w:color="auto"/>
            <w:right w:val="none" w:sz="0" w:space="0" w:color="auto"/>
          </w:divBdr>
        </w:div>
        <w:div w:id="1183204009">
          <w:marLeft w:val="480"/>
          <w:marRight w:val="0"/>
          <w:marTop w:val="0"/>
          <w:marBottom w:val="0"/>
          <w:divBdr>
            <w:top w:val="none" w:sz="0" w:space="0" w:color="auto"/>
            <w:left w:val="none" w:sz="0" w:space="0" w:color="auto"/>
            <w:bottom w:val="none" w:sz="0" w:space="0" w:color="auto"/>
            <w:right w:val="none" w:sz="0" w:space="0" w:color="auto"/>
          </w:divBdr>
        </w:div>
        <w:div w:id="1193609192">
          <w:marLeft w:val="480"/>
          <w:marRight w:val="0"/>
          <w:marTop w:val="0"/>
          <w:marBottom w:val="0"/>
          <w:divBdr>
            <w:top w:val="none" w:sz="0" w:space="0" w:color="auto"/>
            <w:left w:val="none" w:sz="0" w:space="0" w:color="auto"/>
            <w:bottom w:val="none" w:sz="0" w:space="0" w:color="auto"/>
            <w:right w:val="none" w:sz="0" w:space="0" w:color="auto"/>
          </w:divBdr>
        </w:div>
        <w:div w:id="1228347272">
          <w:marLeft w:val="480"/>
          <w:marRight w:val="0"/>
          <w:marTop w:val="0"/>
          <w:marBottom w:val="0"/>
          <w:divBdr>
            <w:top w:val="none" w:sz="0" w:space="0" w:color="auto"/>
            <w:left w:val="none" w:sz="0" w:space="0" w:color="auto"/>
            <w:bottom w:val="none" w:sz="0" w:space="0" w:color="auto"/>
            <w:right w:val="none" w:sz="0" w:space="0" w:color="auto"/>
          </w:divBdr>
        </w:div>
        <w:div w:id="1237931412">
          <w:marLeft w:val="480"/>
          <w:marRight w:val="0"/>
          <w:marTop w:val="0"/>
          <w:marBottom w:val="0"/>
          <w:divBdr>
            <w:top w:val="none" w:sz="0" w:space="0" w:color="auto"/>
            <w:left w:val="none" w:sz="0" w:space="0" w:color="auto"/>
            <w:bottom w:val="none" w:sz="0" w:space="0" w:color="auto"/>
            <w:right w:val="none" w:sz="0" w:space="0" w:color="auto"/>
          </w:divBdr>
        </w:div>
        <w:div w:id="1282304001">
          <w:marLeft w:val="480"/>
          <w:marRight w:val="0"/>
          <w:marTop w:val="0"/>
          <w:marBottom w:val="0"/>
          <w:divBdr>
            <w:top w:val="none" w:sz="0" w:space="0" w:color="auto"/>
            <w:left w:val="none" w:sz="0" w:space="0" w:color="auto"/>
            <w:bottom w:val="none" w:sz="0" w:space="0" w:color="auto"/>
            <w:right w:val="none" w:sz="0" w:space="0" w:color="auto"/>
          </w:divBdr>
        </w:div>
        <w:div w:id="1354376881">
          <w:marLeft w:val="480"/>
          <w:marRight w:val="0"/>
          <w:marTop w:val="0"/>
          <w:marBottom w:val="0"/>
          <w:divBdr>
            <w:top w:val="none" w:sz="0" w:space="0" w:color="auto"/>
            <w:left w:val="none" w:sz="0" w:space="0" w:color="auto"/>
            <w:bottom w:val="none" w:sz="0" w:space="0" w:color="auto"/>
            <w:right w:val="none" w:sz="0" w:space="0" w:color="auto"/>
          </w:divBdr>
        </w:div>
        <w:div w:id="1370301843">
          <w:marLeft w:val="480"/>
          <w:marRight w:val="0"/>
          <w:marTop w:val="0"/>
          <w:marBottom w:val="0"/>
          <w:divBdr>
            <w:top w:val="none" w:sz="0" w:space="0" w:color="auto"/>
            <w:left w:val="none" w:sz="0" w:space="0" w:color="auto"/>
            <w:bottom w:val="none" w:sz="0" w:space="0" w:color="auto"/>
            <w:right w:val="none" w:sz="0" w:space="0" w:color="auto"/>
          </w:divBdr>
        </w:div>
        <w:div w:id="1371225383">
          <w:marLeft w:val="480"/>
          <w:marRight w:val="0"/>
          <w:marTop w:val="0"/>
          <w:marBottom w:val="0"/>
          <w:divBdr>
            <w:top w:val="none" w:sz="0" w:space="0" w:color="auto"/>
            <w:left w:val="none" w:sz="0" w:space="0" w:color="auto"/>
            <w:bottom w:val="none" w:sz="0" w:space="0" w:color="auto"/>
            <w:right w:val="none" w:sz="0" w:space="0" w:color="auto"/>
          </w:divBdr>
        </w:div>
        <w:div w:id="1449204916">
          <w:marLeft w:val="480"/>
          <w:marRight w:val="0"/>
          <w:marTop w:val="0"/>
          <w:marBottom w:val="0"/>
          <w:divBdr>
            <w:top w:val="none" w:sz="0" w:space="0" w:color="auto"/>
            <w:left w:val="none" w:sz="0" w:space="0" w:color="auto"/>
            <w:bottom w:val="none" w:sz="0" w:space="0" w:color="auto"/>
            <w:right w:val="none" w:sz="0" w:space="0" w:color="auto"/>
          </w:divBdr>
        </w:div>
        <w:div w:id="1482887067">
          <w:marLeft w:val="480"/>
          <w:marRight w:val="0"/>
          <w:marTop w:val="0"/>
          <w:marBottom w:val="0"/>
          <w:divBdr>
            <w:top w:val="none" w:sz="0" w:space="0" w:color="auto"/>
            <w:left w:val="none" w:sz="0" w:space="0" w:color="auto"/>
            <w:bottom w:val="none" w:sz="0" w:space="0" w:color="auto"/>
            <w:right w:val="none" w:sz="0" w:space="0" w:color="auto"/>
          </w:divBdr>
        </w:div>
        <w:div w:id="1539388134">
          <w:marLeft w:val="480"/>
          <w:marRight w:val="0"/>
          <w:marTop w:val="0"/>
          <w:marBottom w:val="0"/>
          <w:divBdr>
            <w:top w:val="none" w:sz="0" w:space="0" w:color="auto"/>
            <w:left w:val="none" w:sz="0" w:space="0" w:color="auto"/>
            <w:bottom w:val="none" w:sz="0" w:space="0" w:color="auto"/>
            <w:right w:val="none" w:sz="0" w:space="0" w:color="auto"/>
          </w:divBdr>
        </w:div>
        <w:div w:id="1571816589">
          <w:marLeft w:val="480"/>
          <w:marRight w:val="0"/>
          <w:marTop w:val="0"/>
          <w:marBottom w:val="0"/>
          <w:divBdr>
            <w:top w:val="none" w:sz="0" w:space="0" w:color="auto"/>
            <w:left w:val="none" w:sz="0" w:space="0" w:color="auto"/>
            <w:bottom w:val="none" w:sz="0" w:space="0" w:color="auto"/>
            <w:right w:val="none" w:sz="0" w:space="0" w:color="auto"/>
          </w:divBdr>
        </w:div>
        <w:div w:id="1646423680">
          <w:marLeft w:val="480"/>
          <w:marRight w:val="0"/>
          <w:marTop w:val="0"/>
          <w:marBottom w:val="0"/>
          <w:divBdr>
            <w:top w:val="none" w:sz="0" w:space="0" w:color="auto"/>
            <w:left w:val="none" w:sz="0" w:space="0" w:color="auto"/>
            <w:bottom w:val="none" w:sz="0" w:space="0" w:color="auto"/>
            <w:right w:val="none" w:sz="0" w:space="0" w:color="auto"/>
          </w:divBdr>
        </w:div>
        <w:div w:id="1711765302">
          <w:marLeft w:val="480"/>
          <w:marRight w:val="0"/>
          <w:marTop w:val="0"/>
          <w:marBottom w:val="0"/>
          <w:divBdr>
            <w:top w:val="none" w:sz="0" w:space="0" w:color="auto"/>
            <w:left w:val="none" w:sz="0" w:space="0" w:color="auto"/>
            <w:bottom w:val="none" w:sz="0" w:space="0" w:color="auto"/>
            <w:right w:val="none" w:sz="0" w:space="0" w:color="auto"/>
          </w:divBdr>
        </w:div>
        <w:div w:id="1798530076">
          <w:marLeft w:val="480"/>
          <w:marRight w:val="0"/>
          <w:marTop w:val="0"/>
          <w:marBottom w:val="0"/>
          <w:divBdr>
            <w:top w:val="none" w:sz="0" w:space="0" w:color="auto"/>
            <w:left w:val="none" w:sz="0" w:space="0" w:color="auto"/>
            <w:bottom w:val="none" w:sz="0" w:space="0" w:color="auto"/>
            <w:right w:val="none" w:sz="0" w:space="0" w:color="auto"/>
          </w:divBdr>
        </w:div>
        <w:div w:id="1883250311">
          <w:marLeft w:val="480"/>
          <w:marRight w:val="0"/>
          <w:marTop w:val="0"/>
          <w:marBottom w:val="0"/>
          <w:divBdr>
            <w:top w:val="none" w:sz="0" w:space="0" w:color="auto"/>
            <w:left w:val="none" w:sz="0" w:space="0" w:color="auto"/>
            <w:bottom w:val="none" w:sz="0" w:space="0" w:color="auto"/>
            <w:right w:val="none" w:sz="0" w:space="0" w:color="auto"/>
          </w:divBdr>
        </w:div>
        <w:div w:id="1892038897">
          <w:marLeft w:val="480"/>
          <w:marRight w:val="0"/>
          <w:marTop w:val="0"/>
          <w:marBottom w:val="0"/>
          <w:divBdr>
            <w:top w:val="none" w:sz="0" w:space="0" w:color="auto"/>
            <w:left w:val="none" w:sz="0" w:space="0" w:color="auto"/>
            <w:bottom w:val="none" w:sz="0" w:space="0" w:color="auto"/>
            <w:right w:val="none" w:sz="0" w:space="0" w:color="auto"/>
          </w:divBdr>
        </w:div>
        <w:div w:id="1966812894">
          <w:marLeft w:val="480"/>
          <w:marRight w:val="0"/>
          <w:marTop w:val="0"/>
          <w:marBottom w:val="0"/>
          <w:divBdr>
            <w:top w:val="none" w:sz="0" w:space="0" w:color="auto"/>
            <w:left w:val="none" w:sz="0" w:space="0" w:color="auto"/>
            <w:bottom w:val="none" w:sz="0" w:space="0" w:color="auto"/>
            <w:right w:val="none" w:sz="0" w:space="0" w:color="auto"/>
          </w:divBdr>
        </w:div>
        <w:div w:id="2035033549">
          <w:marLeft w:val="480"/>
          <w:marRight w:val="0"/>
          <w:marTop w:val="0"/>
          <w:marBottom w:val="0"/>
          <w:divBdr>
            <w:top w:val="none" w:sz="0" w:space="0" w:color="auto"/>
            <w:left w:val="none" w:sz="0" w:space="0" w:color="auto"/>
            <w:bottom w:val="none" w:sz="0" w:space="0" w:color="auto"/>
            <w:right w:val="none" w:sz="0" w:space="0" w:color="auto"/>
          </w:divBdr>
        </w:div>
        <w:div w:id="2060863004">
          <w:marLeft w:val="480"/>
          <w:marRight w:val="0"/>
          <w:marTop w:val="0"/>
          <w:marBottom w:val="0"/>
          <w:divBdr>
            <w:top w:val="none" w:sz="0" w:space="0" w:color="auto"/>
            <w:left w:val="none" w:sz="0" w:space="0" w:color="auto"/>
            <w:bottom w:val="none" w:sz="0" w:space="0" w:color="auto"/>
            <w:right w:val="none" w:sz="0" w:space="0" w:color="auto"/>
          </w:divBdr>
        </w:div>
        <w:div w:id="2081361342">
          <w:marLeft w:val="480"/>
          <w:marRight w:val="0"/>
          <w:marTop w:val="0"/>
          <w:marBottom w:val="0"/>
          <w:divBdr>
            <w:top w:val="none" w:sz="0" w:space="0" w:color="auto"/>
            <w:left w:val="none" w:sz="0" w:space="0" w:color="auto"/>
            <w:bottom w:val="none" w:sz="0" w:space="0" w:color="auto"/>
            <w:right w:val="none" w:sz="0" w:space="0" w:color="auto"/>
          </w:divBdr>
        </w:div>
        <w:div w:id="2134711653">
          <w:marLeft w:val="480"/>
          <w:marRight w:val="0"/>
          <w:marTop w:val="0"/>
          <w:marBottom w:val="0"/>
          <w:divBdr>
            <w:top w:val="none" w:sz="0" w:space="0" w:color="auto"/>
            <w:left w:val="none" w:sz="0" w:space="0" w:color="auto"/>
            <w:bottom w:val="none" w:sz="0" w:space="0" w:color="auto"/>
            <w:right w:val="none" w:sz="0" w:space="0" w:color="auto"/>
          </w:divBdr>
        </w:div>
      </w:divsChild>
    </w:div>
    <w:div w:id="626619157">
      <w:bodyDiv w:val="1"/>
      <w:marLeft w:val="0"/>
      <w:marRight w:val="0"/>
      <w:marTop w:val="0"/>
      <w:marBottom w:val="0"/>
      <w:divBdr>
        <w:top w:val="none" w:sz="0" w:space="0" w:color="auto"/>
        <w:left w:val="none" w:sz="0" w:space="0" w:color="auto"/>
        <w:bottom w:val="none" w:sz="0" w:space="0" w:color="auto"/>
        <w:right w:val="none" w:sz="0" w:space="0" w:color="auto"/>
      </w:divBdr>
    </w:div>
    <w:div w:id="628124020">
      <w:bodyDiv w:val="1"/>
      <w:marLeft w:val="0"/>
      <w:marRight w:val="0"/>
      <w:marTop w:val="0"/>
      <w:marBottom w:val="0"/>
      <w:divBdr>
        <w:top w:val="none" w:sz="0" w:space="0" w:color="auto"/>
        <w:left w:val="none" w:sz="0" w:space="0" w:color="auto"/>
        <w:bottom w:val="none" w:sz="0" w:space="0" w:color="auto"/>
        <w:right w:val="none" w:sz="0" w:space="0" w:color="auto"/>
      </w:divBdr>
    </w:div>
    <w:div w:id="632831397">
      <w:bodyDiv w:val="1"/>
      <w:marLeft w:val="0"/>
      <w:marRight w:val="0"/>
      <w:marTop w:val="0"/>
      <w:marBottom w:val="0"/>
      <w:divBdr>
        <w:top w:val="none" w:sz="0" w:space="0" w:color="auto"/>
        <w:left w:val="none" w:sz="0" w:space="0" w:color="auto"/>
        <w:bottom w:val="none" w:sz="0" w:space="0" w:color="auto"/>
        <w:right w:val="none" w:sz="0" w:space="0" w:color="auto"/>
      </w:divBdr>
    </w:div>
    <w:div w:id="637414527">
      <w:bodyDiv w:val="1"/>
      <w:marLeft w:val="0"/>
      <w:marRight w:val="0"/>
      <w:marTop w:val="0"/>
      <w:marBottom w:val="0"/>
      <w:divBdr>
        <w:top w:val="none" w:sz="0" w:space="0" w:color="auto"/>
        <w:left w:val="none" w:sz="0" w:space="0" w:color="auto"/>
        <w:bottom w:val="none" w:sz="0" w:space="0" w:color="auto"/>
        <w:right w:val="none" w:sz="0" w:space="0" w:color="auto"/>
      </w:divBdr>
    </w:div>
    <w:div w:id="638153082">
      <w:bodyDiv w:val="1"/>
      <w:marLeft w:val="0"/>
      <w:marRight w:val="0"/>
      <w:marTop w:val="0"/>
      <w:marBottom w:val="0"/>
      <w:divBdr>
        <w:top w:val="none" w:sz="0" w:space="0" w:color="auto"/>
        <w:left w:val="none" w:sz="0" w:space="0" w:color="auto"/>
        <w:bottom w:val="none" w:sz="0" w:space="0" w:color="auto"/>
        <w:right w:val="none" w:sz="0" w:space="0" w:color="auto"/>
      </w:divBdr>
      <w:divsChild>
        <w:div w:id="11494424">
          <w:marLeft w:val="480"/>
          <w:marRight w:val="0"/>
          <w:marTop w:val="0"/>
          <w:marBottom w:val="0"/>
          <w:divBdr>
            <w:top w:val="none" w:sz="0" w:space="0" w:color="auto"/>
            <w:left w:val="none" w:sz="0" w:space="0" w:color="auto"/>
            <w:bottom w:val="none" w:sz="0" w:space="0" w:color="auto"/>
            <w:right w:val="none" w:sz="0" w:space="0" w:color="auto"/>
          </w:divBdr>
        </w:div>
        <w:div w:id="49110570">
          <w:marLeft w:val="480"/>
          <w:marRight w:val="0"/>
          <w:marTop w:val="0"/>
          <w:marBottom w:val="0"/>
          <w:divBdr>
            <w:top w:val="none" w:sz="0" w:space="0" w:color="auto"/>
            <w:left w:val="none" w:sz="0" w:space="0" w:color="auto"/>
            <w:bottom w:val="none" w:sz="0" w:space="0" w:color="auto"/>
            <w:right w:val="none" w:sz="0" w:space="0" w:color="auto"/>
          </w:divBdr>
        </w:div>
        <w:div w:id="55014069">
          <w:marLeft w:val="480"/>
          <w:marRight w:val="0"/>
          <w:marTop w:val="0"/>
          <w:marBottom w:val="0"/>
          <w:divBdr>
            <w:top w:val="none" w:sz="0" w:space="0" w:color="auto"/>
            <w:left w:val="none" w:sz="0" w:space="0" w:color="auto"/>
            <w:bottom w:val="none" w:sz="0" w:space="0" w:color="auto"/>
            <w:right w:val="none" w:sz="0" w:space="0" w:color="auto"/>
          </w:divBdr>
        </w:div>
        <w:div w:id="102773191">
          <w:marLeft w:val="480"/>
          <w:marRight w:val="0"/>
          <w:marTop w:val="0"/>
          <w:marBottom w:val="0"/>
          <w:divBdr>
            <w:top w:val="none" w:sz="0" w:space="0" w:color="auto"/>
            <w:left w:val="none" w:sz="0" w:space="0" w:color="auto"/>
            <w:bottom w:val="none" w:sz="0" w:space="0" w:color="auto"/>
            <w:right w:val="none" w:sz="0" w:space="0" w:color="auto"/>
          </w:divBdr>
        </w:div>
        <w:div w:id="130829626">
          <w:marLeft w:val="480"/>
          <w:marRight w:val="0"/>
          <w:marTop w:val="0"/>
          <w:marBottom w:val="0"/>
          <w:divBdr>
            <w:top w:val="none" w:sz="0" w:space="0" w:color="auto"/>
            <w:left w:val="none" w:sz="0" w:space="0" w:color="auto"/>
            <w:bottom w:val="none" w:sz="0" w:space="0" w:color="auto"/>
            <w:right w:val="none" w:sz="0" w:space="0" w:color="auto"/>
          </w:divBdr>
        </w:div>
        <w:div w:id="156192217">
          <w:marLeft w:val="480"/>
          <w:marRight w:val="0"/>
          <w:marTop w:val="0"/>
          <w:marBottom w:val="0"/>
          <w:divBdr>
            <w:top w:val="none" w:sz="0" w:space="0" w:color="auto"/>
            <w:left w:val="none" w:sz="0" w:space="0" w:color="auto"/>
            <w:bottom w:val="none" w:sz="0" w:space="0" w:color="auto"/>
            <w:right w:val="none" w:sz="0" w:space="0" w:color="auto"/>
          </w:divBdr>
        </w:div>
        <w:div w:id="175509323">
          <w:marLeft w:val="480"/>
          <w:marRight w:val="0"/>
          <w:marTop w:val="0"/>
          <w:marBottom w:val="0"/>
          <w:divBdr>
            <w:top w:val="none" w:sz="0" w:space="0" w:color="auto"/>
            <w:left w:val="none" w:sz="0" w:space="0" w:color="auto"/>
            <w:bottom w:val="none" w:sz="0" w:space="0" w:color="auto"/>
            <w:right w:val="none" w:sz="0" w:space="0" w:color="auto"/>
          </w:divBdr>
        </w:div>
        <w:div w:id="195121873">
          <w:marLeft w:val="480"/>
          <w:marRight w:val="0"/>
          <w:marTop w:val="0"/>
          <w:marBottom w:val="0"/>
          <w:divBdr>
            <w:top w:val="none" w:sz="0" w:space="0" w:color="auto"/>
            <w:left w:val="none" w:sz="0" w:space="0" w:color="auto"/>
            <w:bottom w:val="none" w:sz="0" w:space="0" w:color="auto"/>
            <w:right w:val="none" w:sz="0" w:space="0" w:color="auto"/>
          </w:divBdr>
        </w:div>
        <w:div w:id="228224393">
          <w:marLeft w:val="480"/>
          <w:marRight w:val="0"/>
          <w:marTop w:val="0"/>
          <w:marBottom w:val="0"/>
          <w:divBdr>
            <w:top w:val="none" w:sz="0" w:space="0" w:color="auto"/>
            <w:left w:val="none" w:sz="0" w:space="0" w:color="auto"/>
            <w:bottom w:val="none" w:sz="0" w:space="0" w:color="auto"/>
            <w:right w:val="none" w:sz="0" w:space="0" w:color="auto"/>
          </w:divBdr>
        </w:div>
        <w:div w:id="282611359">
          <w:marLeft w:val="480"/>
          <w:marRight w:val="0"/>
          <w:marTop w:val="0"/>
          <w:marBottom w:val="0"/>
          <w:divBdr>
            <w:top w:val="none" w:sz="0" w:space="0" w:color="auto"/>
            <w:left w:val="none" w:sz="0" w:space="0" w:color="auto"/>
            <w:bottom w:val="none" w:sz="0" w:space="0" w:color="auto"/>
            <w:right w:val="none" w:sz="0" w:space="0" w:color="auto"/>
          </w:divBdr>
        </w:div>
        <w:div w:id="285815044">
          <w:marLeft w:val="480"/>
          <w:marRight w:val="0"/>
          <w:marTop w:val="0"/>
          <w:marBottom w:val="0"/>
          <w:divBdr>
            <w:top w:val="none" w:sz="0" w:space="0" w:color="auto"/>
            <w:left w:val="none" w:sz="0" w:space="0" w:color="auto"/>
            <w:bottom w:val="none" w:sz="0" w:space="0" w:color="auto"/>
            <w:right w:val="none" w:sz="0" w:space="0" w:color="auto"/>
          </w:divBdr>
        </w:div>
        <w:div w:id="354503748">
          <w:marLeft w:val="480"/>
          <w:marRight w:val="0"/>
          <w:marTop w:val="0"/>
          <w:marBottom w:val="0"/>
          <w:divBdr>
            <w:top w:val="none" w:sz="0" w:space="0" w:color="auto"/>
            <w:left w:val="none" w:sz="0" w:space="0" w:color="auto"/>
            <w:bottom w:val="none" w:sz="0" w:space="0" w:color="auto"/>
            <w:right w:val="none" w:sz="0" w:space="0" w:color="auto"/>
          </w:divBdr>
        </w:div>
        <w:div w:id="392974013">
          <w:marLeft w:val="480"/>
          <w:marRight w:val="0"/>
          <w:marTop w:val="0"/>
          <w:marBottom w:val="0"/>
          <w:divBdr>
            <w:top w:val="none" w:sz="0" w:space="0" w:color="auto"/>
            <w:left w:val="none" w:sz="0" w:space="0" w:color="auto"/>
            <w:bottom w:val="none" w:sz="0" w:space="0" w:color="auto"/>
            <w:right w:val="none" w:sz="0" w:space="0" w:color="auto"/>
          </w:divBdr>
        </w:div>
        <w:div w:id="475345600">
          <w:marLeft w:val="480"/>
          <w:marRight w:val="0"/>
          <w:marTop w:val="0"/>
          <w:marBottom w:val="0"/>
          <w:divBdr>
            <w:top w:val="none" w:sz="0" w:space="0" w:color="auto"/>
            <w:left w:val="none" w:sz="0" w:space="0" w:color="auto"/>
            <w:bottom w:val="none" w:sz="0" w:space="0" w:color="auto"/>
            <w:right w:val="none" w:sz="0" w:space="0" w:color="auto"/>
          </w:divBdr>
        </w:div>
        <w:div w:id="500437978">
          <w:marLeft w:val="480"/>
          <w:marRight w:val="0"/>
          <w:marTop w:val="0"/>
          <w:marBottom w:val="0"/>
          <w:divBdr>
            <w:top w:val="none" w:sz="0" w:space="0" w:color="auto"/>
            <w:left w:val="none" w:sz="0" w:space="0" w:color="auto"/>
            <w:bottom w:val="none" w:sz="0" w:space="0" w:color="auto"/>
            <w:right w:val="none" w:sz="0" w:space="0" w:color="auto"/>
          </w:divBdr>
        </w:div>
        <w:div w:id="532035641">
          <w:marLeft w:val="480"/>
          <w:marRight w:val="0"/>
          <w:marTop w:val="0"/>
          <w:marBottom w:val="0"/>
          <w:divBdr>
            <w:top w:val="none" w:sz="0" w:space="0" w:color="auto"/>
            <w:left w:val="none" w:sz="0" w:space="0" w:color="auto"/>
            <w:bottom w:val="none" w:sz="0" w:space="0" w:color="auto"/>
            <w:right w:val="none" w:sz="0" w:space="0" w:color="auto"/>
          </w:divBdr>
        </w:div>
        <w:div w:id="546994286">
          <w:marLeft w:val="480"/>
          <w:marRight w:val="0"/>
          <w:marTop w:val="0"/>
          <w:marBottom w:val="0"/>
          <w:divBdr>
            <w:top w:val="none" w:sz="0" w:space="0" w:color="auto"/>
            <w:left w:val="none" w:sz="0" w:space="0" w:color="auto"/>
            <w:bottom w:val="none" w:sz="0" w:space="0" w:color="auto"/>
            <w:right w:val="none" w:sz="0" w:space="0" w:color="auto"/>
          </w:divBdr>
        </w:div>
        <w:div w:id="566916848">
          <w:marLeft w:val="480"/>
          <w:marRight w:val="0"/>
          <w:marTop w:val="0"/>
          <w:marBottom w:val="0"/>
          <w:divBdr>
            <w:top w:val="none" w:sz="0" w:space="0" w:color="auto"/>
            <w:left w:val="none" w:sz="0" w:space="0" w:color="auto"/>
            <w:bottom w:val="none" w:sz="0" w:space="0" w:color="auto"/>
            <w:right w:val="none" w:sz="0" w:space="0" w:color="auto"/>
          </w:divBdr>
        </w:div>
        <w:div w:id="592512838">
          <w:marLeft w:val="480"/>
          <w:marRight w:val="0"/>
          <w:marTop w:val="0"/>
          <w:marBottom w:val="0"/>
          <w:divBdr>
            <w:top w:val="none" w:sz="0" w:space="0" w:color="auto"/>
            <w:left w:val="none" w:sz="0" w:space="0" w:color="auto"/>
            <w:bottom w:val="none" w:sz="0" w:space="0" w:color="auto"/>
            <w:right w:val="none" w:sz="0" w:space="0" w:color="auto"/>
          </w:divBdr>
        </w:div>
        <w:div w:id="676343637">
          <w:marLeft w:val="480"/>
          <w:marRight w:val="0"/>
          <w:marTop w:val="0"/>
          <w:marBottom w:val="0"/>
          <w:divBdr>
            <w:top w:val="none" w:sz="0" w:space="0" w:color="auto"/>
            <w:left w:val="none" w:sz="0" w:space="0" w:color="auto"/>
            <w:bottom w:val="none" w:sz="0" w:space="0" w:color="auto"/>
            <w:right w:val="none" w:sz="0" w:space="0" w:color="auto"/>
          </w:divBdr>
        </w:div>
        <w:div w:id="678120046">
          <w:marLeft w:val="480"/>
          <w:marRight w:val="0"/>
          <w:marTop w:val="0"/>
          <w:marBottom w:val="0"/>
          <w:divBdr>
            <w:top w:val="none" w:sz="0" w:space="0" w:color="auto"/>
            <w:left w:val="none" w:sz="0" w:space="0" w:color="auto"/>
            <w:bottom w:val="none" w:sz="0" w:space="0" w:color="auto"/>
            <w:right w:val="none" w:sz="0" w:space="0" w:color="auto"/>
          </w:divBdr>
        </w:div>
        <w:div w:id="720861512">
          <w:marLeft w:val="480"/>
          <w:marRight w:val="0"/>
          <w:marTop w:val="0"/>
          <w:marBottom w:val="0"/>
          <w:divBdr>
            <w:top w:val="none" w:sz="0" w:space="0" w:color="auto"/>
            <w:left w:val="none" w:sz="0" w:space="0" w:color="auto"/>
            <w:bottom w:val="none" w:sz="0" w:space="0" w:color="auto"/>
            <w:right w:val="none" w:sz="0" w:space="0" w:color="auto"/>
          </w:divBdr>
        </w:div>
        <w:div w:id="733744756">
          <w:marLeft w:val="480"/>
          <w:marRight w:val="0"/>
          <w:marTop w:val="0"/>
          <w:marBottom w:val="0"/>
          <w:divBdr>
            <w:top w:val="none" w:sz="0" w:space="0" w:color="auto"/>
            <w:left w:val="none" w:sz="0" w:space="0" w:color="auto"/>
            <w:bottom w:val="none" w:sz="0" w:space="0" w:color="auto"/>
            <w:right w:val="none" w:sz="0" w:space="0" w:color="auto"/>
          </w:divBdr>
        </w:div>
        <w:div w:id="742794743">
          <w:marLeft w:val="480"/>
          <w:marRight w:val="0"/>
          <w:marTop w:val="0"/>
          <w:marBottom w:val="0"/>
          <w:divBdr>
            <w:top w:val="none" w:sz="0" w:space="0" w:color="auto"/>
            <w:left w:val="none" w:sz="0" w:space="0" w:color="auto"/>
            <w:bottom w:val="none" w:sz="0" w:space="0" w:color="auto"/>
            <w:right w:val="none" w:sz="0" w:space="0" w:color="auto"/>
          </w:divBdr>
        </w:div>
        <w:div w:id="768240636">
          <w:marLeft w:val="480"/>
          <w:marRight w:val="0"/>
          <w:marTop w:val="0"/>
          <w:marBottom w:val="0"/>
          <w:divBdr>
            <w:top w:val="none" w:sz="0" w:space="0" w:color="auto"/>
            <w:left w:val="none" w:sz="0" w:space="0" w:color="auto"/>
            <w:bottom w:val="none" w:sz="0" w:space="0" w:color="auto"/>
            <w:right w:val="none" w:sz="0" w:space="0" w:color="auto"/>
          </w:divBdr>
        </w:div>
        <w:div w:id="831724080">
          <w:marLeft w:val="480"/>
          <w:marRight w:val="0"/>
          <w:marTop w:val="0"/>
          <w:marBottom w:val="0"/>
          <w:divBdr>
            <w:top w:val="none" w:sz="0" w:space="0" w:color="auto"/>
            <w:left w:val="none" w:sz="0" w:space="0" w:color="auto"/>
            <w:bottom w:val="none" w:sz="0" w:space="0" w:color="auto"/>
            <w:right w:val="none" w:sz="0" w:space="0" w:color="auto"/>
          </w:divBdr>
        </w:div>
        <w:div w:id="910584172">
          <w:marLeft w:val="480"/>
          <w:marRight w:val="0"/>
          <w:marTop w:val="0"/>
          <w:marBottom w:val="0"/>
          <w:divBdr>
            <w:top w:val="none" w:sz="0" w:space="0" w:color="auto"/>
            <w:left w:val="none" w:sz="0" w:space="0" w:color="auto"/>
            <w:bottom w:val="none" w:sz="0" w:space="0" w:color="auto"/>
            <w:right w:val="none" w:sz="0" w:space="0" w:color="auto"/>
          </w:divBdr>
        </w:div>
        <w:div w:id="918321488">
          <w:marLeft w:val="480"/>
          <w:marRight w:val="0"/>
          <w:marTop w:val="0"/>
          <w:marBottom w:val="0"/>
          <w:divBdr>
            <w:top w:val="none" w:sz="0" w:space="0" w:color="auto"/>
            <w:left w:val="none" w:sz="0" w:space="0" w:color="auto"/>
            <w:bottom w:val="none" w:sz="0" w:space="0" w:color="auto"/>
            <w:right w:val="none" w:sz="0" w:space="0" w:color="auto"/>
          </w:divBdr>
        </w:div>
        <w:div w:id="937907862">
          <w:marLeft w:val="480"/>
          <w:marRight w:val="0"/>
          <w:marTop w:val="0"/>
          <w:marBottom w:val="0"/>
          <w:divBdr>
            <w:top w:val="none" w:sz="0" w:space="0" w:color="auto"/>
            <w:left w:val="none" w:sz="0" w:space="0" w:color="auto"/>
            <w:bottom w:val="none" w:sz="0" w:space="0" w:color="auto"/>
            <w:right w:val="none" w:sz="0" w:space="0" w:color="auto"/>
          </w:divBdr>
        </w:div>
        <w:div w:id="941062203">
          <w:marLeft w:val="480"/>
          <w:marRight w:val="0"/>
          <w:marTop w:val="0"/>
          <w:marBottom w:val="0"/>
          <w:divBdr>
            <w:top w:val="none" w:sz="0" w:space="0" w:color="auto"/>
            <w:left w:val="none" w:sz="0" w:space="0" w:color="auto"/>
            <w:bottom w:val="none" w:sz="0" w:space="0" w:color="auto"/>
            <w:right w:val="none" w:sz="0" w:space="0" w:color="auto"/>
          </w:divBdr>
        </w:div>
        <w:div w:id="973364125">
          <w:marLeft w:val="480"/>
          <w:marRight w:val="0"/>
          <w:marTop w:val="0"/>
          <w:marBottom w:val="0"/>
          <w:divBdr>
            <w:top w:val="none" w:sz="0" w:space="0" w:color="auto"/>
            <w:left w:val="none" w:sz="0" w:space="0" w:color="auto"/>
            <w:bottom w:val="none" w:sz="0" w:space="0" w:color="auto"/>
            <w:right w:val="none" w:sz="0" w:space="0" w:color="auto"/>
          </w:divBdr>
        </w:div>
        <w:div w:id="990986392">
          <w:marLeft w:val="480"/>
          <w:marRight w:val="0"/>
          <w:marTop w:val="0"/>
          <w:marBottom w:val="0"/>
          <w:divBdr>
            <w:top w:val="none" w:sz="0" w:space="0" w:color="auto"/>
            <w:left w:val="none" w:sz="0" w:space="0" w:color="auto"/>
            <w:bottom w:val="none" w:sz="0" w:space="0" w:color="auto"/>
            <w:right w:val="none" w:sz="0" w:space="0" w:color="auto"/>
          </w:divBdr>
        </w:div>
        <w:div w:id="1062368504">
          <w:marLeft w:val="480"/>
          <w:marRight w:val="0"/>
          <w:marTop w:val="0"/>
          <w:marBottom w:val="0"/>
          <w:divBdr>
            <w:top w:val="none" w:sz="0" w:space="0" w:color="auto"/>
            <w:left w:val="none" w:sz="0" w:space="0" w:color="auto"/>
            <w:bottom w:val="none" w:sz="0" w:space="0" w:color="auto"/>
            <w:right w:val="none" w:sz="0" w:space="0" w:color="auto"/>
          </w:divBdr>
        </w:div>
        <w:div w:id="1074933244">
          <w:marLeft w:val="480"/>
          <w:marRight w:val="0"/>
          <w:marTop w:val="0"/>
          <w:marBottom w:val="0"/>
          <w:divBdr>
            <w:top w:val="none" w:sz="0" w:space="0" w:color="auto"/>
            <w:left w:val="none" w:sz="0" w:space="0" w:color="auto"/>
            <w:bottom w:val="none" w:sz="0" w:space="0" w:color="auto"/>
            <w:right w:val="none" w:sz="0" w:space="0" w:color="auto"/>
          </w:divBdr>
        </w:div>
        <w:div w:id="1099646511">
          <w:marLeft w:val="480"/>
          <w:marRight w:val="0"/>
          <w:marTop w:val="0"/>
          <w:marBottom w:val="0"/>
          <w:divBdr>
            <w:top w:val="none" w:sz="0" w:space="0" w:color="auto"/>
            <w:left w:val="none" w:sz="0" w:space="0" w:color="auto"/>
            <w:bottom w:val="none" w:sz="0" w:space="0" w:color="auto"/>
            <w:right w:val="none" w:sz="0" w:space="0" w:color="auto"/>
          </w:divBdr>
        </w:div>
        <w:div w:id="1111238927">
          <w:marLeft w:val="480"/>
          <w:marRight w:val="0"/>
          <w:marTop w:val="0"/>
          <w:marBottom w:val="0"/>
          <w:divBdr>
            <w:top w:val="none" w:sz="0" w:space="0" w:color="auto"/>
            <w:left w:val="none" w:sz="0" w:space="0" w:color="auto"/>
            <w:bottom w:val="none" w:sz="0" w:space="0" w:color="auto"/>
            <w:right w:val="none" w:sz="0" w:space="0" w:color="auto"/>
          </w:divBdr>
        </w:div>
        <w:div w:id="1136290650">
          <w:marLeft w:val="480"/>
          <w:marRight w:val="0"/>
          <w:marTop w:val="0"/>
          <w:marBottom w:val="0"/>
          <w:divBdr>
            <w:top w:val="none" w:sz="0" w:space="0" w:color="auto"/>
            <w:left w:val="none" w:sz="0" w:space="0" w:color="auto"/>
            <w:bottom w:val="none" w:sz="0" w:space="0" w:color="auto"/>
            <w:right w:val="none" w:sz="0" w:space="0" w:color="auto"/>
          </w:divBdr>
        </w:div>
        <w:div w:id="1191841524">
          <w:marLeft w:val="480"/>
          <w:marRight w:val="0"/>
          <w:marTop w:val="0"/>
          <w:marBottom w:val="0"/>
          <w:divBdr>
            <w:top w:val="none" w:sz="0" w:space="0" w:color="auto"/>
            <w:left w:val="none" w:sz="0" w:space="0" w:color="auto"/>
            <w:bottom w:val="none" w:sz="0" w:space="0" w:color="auto"/>
            <w:right w:val="none" w:sz="0" w:space="0" w:color="auto"/>
          </w:divBdr>
        </w:div>
        <w:div w:id="1216116879">
          <w:marLeft w:val="480"/>
          <w:marRight w:val="0"/>
          <w:marTop w:val="0"/>
          <w:marBottom w:val="0"/>
          <w:divBdr>
            <w:top w:val="none" w:sz="0" w:space="0" w:color="auto"/>
            <w:left w:val="none" w:sz="0" w:space="0" w:color="auto"/>
            <w:bottom w:val="none" w:sz="0" w:space="0" w:color="auto"/>
            <w:right w:val="none" w:sz="0" w:space="0" w:color="auto"/>
          </w:divBdr>
        </w:div>
        <w:div w:id="1265115705">
          <w:marLeft w:val="480"/>
          <w:marRight w:val="0"/>
          <w:marTop w:val="0"/>
          <w:marBottom w:val="0"/>
          <w:divBdr>
            <w:top w:val="none" w:sz="0" w:space="0" w:color="auto"/>
            <w:left w:val="none" w:sz="0" w:space="0" w:color="auto"/>
            <w:bottom w:val="none" w:sz="0" w:space="0" w:color="auto"/>
            <w:right w:val="none" w:sz="0" w:space="0" w:color="auto"/>
          </w:divBdr>
        </w:div>
        <w:div w:id="1388450866">
          <w:marLeft w:val="480"/>
          <w:marRight w:val="0"/>
          <w:marTop w:val="0"/>
          <w:marBottom w:val="0"/>
          <w:divBdr>
            <w:top w:val="none" w:sz="0" w:space="0" w:color="auto"/>
            <w:left w:val="none" w:sz="0" w:space="0" w:color="auto"/>
            <w:bottom w:val="none" w:sz="0" w:space="0" w:color="auto"/>
            <w:right w:val="none" w:sz="0" w:space="0" w:color="auto"/>
          </w:divBdr>
        </w:div>
        <w:div w:id="1396854344">
          <w:marLeft w:val="480"/>
          <w:marRight w:val="0"/>
          <w:marTop w:val="0"/>
          <w:marBottom w:val="0"/>
          <w:divBdr>
            <w:top w:val="none" w:sz="0" w:space="0" w:color="auto"/>
            <w:left w:val="none" w:sz="0" w:space="0" w:color="auto"/>
            <w:bottom w:val="none" w:sz="0" w:space="0" w:color="auto"/>
            <w:right w:val="none" w:sz="0" w:space="0" w:color="auto"/>
          </w:divBdr>
        </w:div>
        <w:div w:id="1407994638">
          <w:marLeft w:val="480"/>
          <w:marRight w:val="0"/>
          <w:marTop w:val="0"/>
          <w:marBottom w:val="0"/>
          <w:divBdr>
            <w:top w:val="none" w:sz="0" w:space="0" w:color="auto"/>
            <w:left w:val="none" w:sz="0" w:space="0" w:color="auto"/>
            <w:bottom w:val="none" w:sz="0" w:space="0" w:color="auto"/>
            <w:right w:val="none" w:sz="0" w:space="0" w:color="auto"/>
          </w:divBdr>
        </w:div>
        <w:div w:id="1417433816">
          <w:marLeft w:val="480"/>
          <w:marRight w:val="0"/>
          <w:marTop w:val="0"/>
          <w:marBottom w:val="0"/>
          <w:divBdr>
            <w:top w:val="none" w:sz="0" w:space="0" w:color="auto"/>
            <w:left w:val="none" w:sz="0" w:space="0" w:color="auto"/>
            <w:bottom w:val="none" w:sz="0" w:space="0" w:color="auto"/>
            <w:right w:val="none" w:sz="0" w:space="0" w:color="auto"/>
          </w:divBdr>
        </w:div>
        <w:div w:id="1432508673">
          <w:marLeft w:val="480"/>
          <w:marRight w:val="0"/>
          <w:marTop w:val="0"/>
          <w:marBottom w:val="0"/>
          <w:divBdr>
            <w:top w:val="none" w:sz="0" w:space="0" w:color="auto"/>
            <w:left w:val="none" w:sz="0" w:space="0" w:color="auto"/>
            <w:bottom w:val="none" w:sz="0" w:space="0" w:color="auto"/>
            <w:right w:val="none" w:sz="0" w:space="0" w:color="auto"/>
          </w:divBdr>
        </w:div>
        <w:div w:id="1471481482">
          <w:marLeft w:val="480"/>
          <w:marRight w:val="0"/>
          <w:marTop w:val="0"/>
          <w:marBottom w:val="0"/>
          <w:divBdr>
            <w:top w:val="none" w:sz="0" w:space="0" w:color="auto"/>
            <w:left w:val="none" w:sz="0" w:space="0" w:color="auto"/>
            <w:bottom w:val="none" w:sz="0" w:space="0" w:color="auto"/>
            <w:right w:val="none" w:sz="0" w:space="0" w:color="auto"/>
          </w:divBdr>
        </w:div>
        <w:div w:id="1496065652">
          <w:marLeft w:val="480"/>
          <w:marRight w:val="0"/>
          <w:marTop w:val="0"/>
          <w:marBottom w:val="0"/>
          <w:divBdr>
            <w:top w:val="none" w:sz="0" w:space="0" w:color="auto"/>
            <w:left w:val="none" w:sz="0" w:space="0" w:color="auto"/>
            <w:bottom w:val="none" w:sz="0" w:space="0" w:color="auto"/>
            <w:right w:val="none" w:sz="0" w:space="0" w:color="auto"/>
          </w:divBdr>
        </w:div>
        <w:div w:id="1526168642">
          <w:marLeft w:val="480"/>
          <w:marRight w:val="0"/>
          <w:marTop w:val="0"/>
          <w:marBottom w:val="0"/>
          <w:divBdr>
            <w:top w:val="none" w:sz="0" w:space="0" w:color="auto"/>
            <w:left w:val="none" w:sz="0" w:space="0" w:color="auto"/>
            <w:bottom w:val="none" w:sz="0" w:space="0" w:color="auto"/>
            <w:right w:val="none" w:sz="0" w:space="0" w:color="auto"/>
          </w:divBdr>
        </w:div>
        <w:div w:id="1590773170">
          <w:marLeft w:val="480"/>
          <w:marRight w:val="0"/>
          <w:marTop w:val="0"/>
          <w:marBottom w:val="0"/>
          <w:divBdr>
            <w:top w:val="none" w:sz="0" w:space="0" w:color="auto"/>
            <w:left w:val="none" w:sz="0" w:space="0" w:color="auto"/>
            <w:bottom w:val="none" w:sz="0" w:space="0" w:color="auto"/>
            <w:right w:val="none" w:sz="0" w:space="0" w:color="auto"/>
          </w:divBdr>
        </w:div>
        <w:div w:id="1628974017">
          <w:marLeft w:val="480"/>
          <w:marRight w:val="0"/>
          <w:marTop w:val="0"/>
          <w:marBottom w:val="0"/>
          <w:divBdr>
            <w:top w:val="none" w:sz="0" w:space="0" w:color="auto"/>
            <w:left w:val="none" w:sz="0" w:space="0" w:color="auto"/>
            <w:bottom w:val="none" w:sz="0" w:space="0" w:color="auto"/>
            <w:right w:val="none" w:sz="0" w:space="0" w:color="auto"/>
          </w:divBdr>
        </w:div>
        <w:div w:id="1662586733">
          <w:marLeft w:val="480"/>
          <w:marRight w:val="0"/>
          <w:marTop w:val="0"/>
          <w:marBottom w:val="0"/>
          <w:divBdr>
            <w:top w:val="none" w:sz="0" w:space="0" w:color="auto"/>
            <w:left w:val="none" w:sz="0" w:space="0" w:color="auto"/>
            <w:bottom w:val="none" w:sz="0" w:space="0" w:color="auto"/>
            <w:right w:val="none" w:sz="0" w:space="0" w:color="auto"/>
          </w:divBdr>
        </w:div>
        <w:div w:id="1672559924">
          <w:marLeft w:val="480"/>
          <w:marRight w:val="0"/>
          <w:marTop w:val="0"/>
          <w:marBottom w:val="0"/>
          <w:divBdr>
            <w:top w:val="none" w:sz="0" w:space="0" w:color="auto"/>
            <w:left w:val="none" w:sz="0" w:space="0" w:color="auto"/>
            <w:bottom w:val="none" w:sz="0" w:space="0" w:color="auto"/>
            <w:right w:val="none" w:sz="0" w:space="0" w:color="auto"/>
          </w:divBdr>
        </w:div>
        <w:div w:id="1733699940">
          <w:marLeft w:val="480"/>
          <w:marRight w:val="0"/>
          <w:marTop w:val="0"/>
          <w:marBottom w:val="0"/>
          <w:divBdr>
            <w:top w:val="none" w:sz="0" w:space="0" w:color="auto"/>
            <w:left w:val="none" w:sz="0" w:space="0" w:color="auto"/>
            <w:bottom w:val="none" w:sz="0" w:space="0" w:color="auto"/>
            <w:right w:val="none" w:sz="0" w:space="0" w:color="auto"/>
          </w:divBdr>
        </w:div>
        <w:div w:id="1849127723">
          <w:marLeft w:val="480"/>
          <w:marRight w:val="0"/>
          <w:marTop w:val="0"/>
          <w:marBottom w:val="0"/>
          <w:divBdr>
            <w:top w:val="none" w:sz="0" w:space="0" w:color="auto"/>
            <w:left w:val="none" w:sz="0" w:space="0" w:color="auto"/>
            <w:bottom w:val="none" w:sz="0" w:space="0" w:color="auto"/>
            <w:right w:val="none" w:sz="0" w:space="0" w:color="auto"/>
          </w:divBdr>
        </w:div>
        <w:div w:id="1929532361">
          <w:marLeft w:val="480"/>
          <w:marRight w:val="0"/>
          <w:marTop w:val="0"/>
          <w:marBottom w:val="0"/>
          <w:divBdr>
            <w:top w:val="none" w:sz="0" w:space="0" w:color="auto"/>
            <w:left w:val="none" w:sz="0" w:space="0" w:color="auto"/>
            <w:bottom w:val="none" w:sz="0" w:space="0" w:color="auto"/>
            <w:right w:val="none" w:sz="0" w:space="0" w:color="auto"/>
          </w:divBdr>
        </w:div>
        <w:div w:id="1978535094">
          <w:marLeft w:val="480"/>
          <w:marRight w:val="0"/>
          <w:marTop w:val="0"/>
          <w:marBottom w:val="0"/>
          <w:divBdr>
            <w:top w:val="none" w:sz="0" w:space="0" w:color="auto"/>
            <w:left w:val="none" w:sz="0" w:space="0" w:color="auto"/>
            <w:bottom w:val="none" w:sz="0" w:space="0" w:color="auto"/>
            <w:right w:val="none" w:sz="0" w:space="0" w:color="auto"/>
          </w:divBdr>
        </w:div>
        <w:div w:id="1994480308">
          <w:marLeft w:val="480"/>
          <w:marRight w:val="0"/>
          <w:marTop w:val="0"/>
          <w:marBottom w:val="0"/>
          <w:divBdr>
            <w:top w:val="none" w:sz="0" w:space="0" w:color="auto"/>
            <w:left w:val="none" w:sz="0" w:space="0" w:color="auto"/>
            <w:bottom w:val="none" w:sz="0" w:space="0" w:color="auto"/>
            <w:right w:val="none" w:sz="0" w:space="0" w:color="auto"/>
          </w:divBdr>
        </w:div>
        <w:div w:id="2011174858">
          <w:marLeft w:val="480"/>
          <w:marRight w:val="0"/>
          <w:marTop w:val="0"/>
          <w:marBottom w:val="0"/>
          <w:divBdr>
            <w:top w:val="none" w:sz="0" w:space="0" w:color="auto"/>
            <w:left w:val="none" w:sz="0" w:space="0" w:color="auto"/>
            <w:bottom w:val="none" w:sz="0" w:space="0" w:color="auto"/>
            <w:right w:val="none" w:sz="0" w:space="0" w:color="auto"/>
          </w:divBdr>
        </w:div>
        <w:div w:id="2018539884">
          <w:marLeft w:val="480"/>
          <w:marRight w:val="0"/>
          <w:marTop w:val="0"/>
          <w:marBottom w:val="0"/>
          <w:divBdr>
            <w:top w:val="none" w:sz="0" w:space="0" w:color="auto"/>
            <w:left w:val="none" w:sz="0" w:space="0" w:color="auto"/>
            <w:bottom w:val="none" w:sz="0" w:space="0" w:color="auto"/>
            <w:right w:val="none" w:sz="0" w:space="0" w:color="auto"/>
          </w:divBdr>
        </w:div>
        <w:div w:id="2029864708">
          <w:marLeft w:val="480"/>
          <w:marRight w:val="0"/>
          <w:marTop w:val="0"/>
          <w:marBottom w:val="0"/>
          <w:divBdr>
            <w:top w:val="none" w:sz="0" w:space="0" w:color="auto"/>
            <w:left w:val="none" w:sz="0" w:space="0" w:color="auto"/>
            <w:bottom w:val="none" w:sz="0" w:space="0" w:color="auto"/>
            <w:right w:val="none" w:sz="0" w:space="0" w:color="auto"/>
          </w:divBdr>
        </w:div>
        <w:div w:id="2071222590">
          <w:marLeft w:val="480"/>
          <w:marRight w:val="0"/>
          <w:marTop w:val="0"/>
          <w:marBottom w:val="0"/>
          <w:divBdr>
            <w:top w:val="none" w:sz="0" w:space="0" w:color="auto"/>
            <w:left w:val="none" w:sz="0" w:space="0" w:color="auto"/>
            <w:bottom w:val="none" w:sz="0" w:space="0" w:color="auto"/>
            <w:right w:val="none" w:sz="0" w:space="0" w:color="auto"/>
          </w:divBdr>
        </w:div>
        <w:div w:id="2073843003">
          <w:marLeft w:val="480"/>
          <w:marRight w:val="0"/>
          <w:marTop w:val="0"/>
          <w:marBottom w:val="0"/>
          <w:divBdr>
            <w:top w:val="none" w:sz="0" w:space="0" w:color="auto"/>
            <w:left w:val="none" w:sz="0" w:space="0" w:color="auto"/>
            <w:bottom w:val="none" w:sz="0" w:space="0" w:color="auto"/>
            <w:right w:val="none" w:sz="0" w:space="0" w:color="auto"/>
          </w:divBdr>
        </w:div>
        <w:div w:id="2115900874">
          <w:marLeft w:val="480"/>
          <w:marRight w:val="0"/>
          <w:marTop w:val="0"/>
          <w:marBottom w:val="0"/>
          <w:divBdr>
            <w:top w:val="none" w:sz="0" w:space="0" w:color="auto"/>
            <w:left w:val="none" w:sz="0" w:space="0" w:color="auto"/>
            <w:bottom w:val="none" w:sz="0" w:space="0" w:color="auto"/>
            <w:right w:val="none" w:sz="0" w:space="0" w:color="auto"/>
          </w:divBdr>
        </w:div>
        <w:div w:id="2131044730">
          <w:marLeft w:val="480"/>
          <w:marRight w:val="0"/>
          <w:marTop w:val="0"/>
          <w:marBottom w:val="0"/>
          <w:divBdr>
            <w:top w:val="none" w:sz="0" w:space="0" w:color="auto"/>
            <w:left w:val="none" w:sz="0" w:space="0" w:color="auto"/>
            <w:bottom w:val="none" w:sz="0" w:space="0" w:color="auto"/>
            <w:right w:val="none" w:sz="0" w:space="0" w:color="auto"/>
          </w:divBdr>
        </w:div>
      </w:divsChild>
    </w:div>
    <w:div w:id="641233441">
      <w:bodyDiv w:val="1"/>
      <w:marLeft w:val="0"/>
      <w:marRight w:val="0"/>
      <w:marTop w:val="0"/>
      <w:marBottom w:val="0"/>
      <w:divBdr>
        <w:top w:val="none" w:sz="0" w:space="0" w:color="auto"/>
        <w:left w:val="none" w:sz="0" w:space="0" w:color="auto"/>
        <w:bottom w:val="none" w:sz="0" w:space="0" w:color="auto"/>
        <w:right w:val="none" w:sz="0" w:space="0" w:color="auto"/>
      </w:divBdr>
    </w:div>
    <w:div w:id="643631409">
      <w:bodyDiv w:val="1"/>
      <w:marLeft w:val="0"/>
      <w:marRight w:val="0"/>
      <w:marTop w:val="0"/>
      <w:marBottom w:val="0"/>
      <w:divBdr>
        <w:top w:val="none" w:sz="0" w:space="0" w:color="auto"/>
        <w:left w:val="none" w:sz="0" w:space="0" w:color="auto"/>
        <w:bottom w:val="none" w:sz="0" w:space="0" w:color="auto"/>
        <w:right w:val="none" w:sz="0" w:space="0" w:color="auto"/>
      </w:divBdr>
    </w:div>
    <w:div w:id="644579218">
      <w:bodyDiv w:val="1"/>
      <w:marLeft w:val="0"/>
      <w:marRight w:val="0"/>
      <w:marTop w:val="0"/>
      <w:marBottom w:val="0"/>
      <w:divBdr>
        <w:top w:val="none" w:sz="0" w:space="0" w:color="auto"/>
        <w:left w:val="none" w:sz="0" w:space="0" w:color="auto"/>
        <w:bottom w:val="none" w:sz="0" w:space="0" w:color="auto"/>
        <w:right w:val="none" w:sz="0" w:space="0" w:color="auto"/>
      </w:divBdr>
    </w:div>
    <w:div w:id="652950690">
      <w:bodyDiv w:val="1"/>
      <w:marLeft w:val="0"/>
      <w:marRight w:val="0"/>
      <w:marTop w:val="0"/>
      <w:marBottom w:val="0"/>
      <w:divBdr>
        <w:top w:val="none" w:sz="0" w:space="0" w:color="auto"/>
        <w:left w:val="none" w:sz="0" w:space="0" w:color="auto"/>
        <w:bottom w:val="none" w:sz="0" w:space="0" w:color="auto"/>
        <w:right w:val="none" w:sz="0" w:space="0" w:color="auto"/>
      </w:divBdr>
    </w:div>
    <w:div w:id="657920551">
      <w:bodyDiv w:val="1"/>
      <w:marLeft w:val="0"/>
      <w:marRight w:val="0"/>
      <w:marTop w:val="0"/>
      <w:marBottom w:val="0"/>
      <w:divBdr>
        <w:top w:val="none" w:sz="0" w:space="0" w:color="auto"/>
        <w:left w:val="none" w:sz="0" w:space="0" w:color="auto"/>
        <w:bottom w:val="none" w:sz="0" w:space="0" w:color="auto"/>
        <w:right w:val="none" w:sz="0" w:space="0" w:color="auto"/>
      </w:divBdr>
    </w:div>
    <w:div w:id="658268947">
      <w:bodyDiv w:val="1"/>
      <w:marLeft w:val="0"/>
      <w:marRight w:val="0"/>
      <w:marTop w:val="0"/>
      <w:marBottom w:val="0"/>
      <w:divBdr>
        <w:top w:val="none" w:sz="0" w:space="0" w:color="auto"/>
        <w:left w:val="none" w:sz="0" w:space="0" w:color="auto"/>
        <w:bottom w:val="none" w:sz="0" w:space="0" w:color="auto"/>
        <w:right w:val="none" w:sz="0" w:space="0" w:color="auto"/>
      </w:divBdr>
    </w:div>
    <w:div w:id="664942478">
      <w:bodyDiv w:val="1"/>
      <w:marLeft w:val="0"/>
      <w:marRight w:val="0"/>
      <w:marTop w:val="0"/>
      <w:marBottom w:val="0"/>
      <w:divBdr>
        <w:top w:val="none" w:sz="0" w:space="0" w:color="auto"/>
        <w:left w:val="none" w:sz="0" w:space="0" w:color="auto"/>
        <w:bottom w:val="none" w:sz="0" w:space="0" w:color="auto"/>
        <w:right w:val="none" w:sz="0" w:space="0" w:color="auto"/>
      </w:divBdr>
    </w:div>
    <w:div w:id="666976286">
      <w:bodyDiv w:val="1"/>
      <w:marLeft w:val="0"/>
      <w:marRight w:val="0"/>
      <w:marTop w:val="0"/>
      <w:marBottom w:val="0"/>
      <w:divBdr>
        <w:top w:val="none" w:sz="0" w:space="0" w:color="auto"/>
        <w:left w:val="none" w:sz="0" w:space="0" w:color="auto"/>
        <w:bottom w:val="none" w:sz="0" w:space="0" w:color="auto"/>
        <w:right w:val="none" w:sz="0" w:space="0" w:color="auto"/>
      </w:divBdr>
    </w:div>
    <w:div w:id="667707529">
      <w:bodyDiv w:val="1"/>
      <w:marLeft w:val="0"/>
      <w:marRight w:val="0"/>
      <w:marTop w:val="0"/>
      <w:marBottom w:val="0"/>
      <w:divBdr>
        <w:top w:val="none" w:sz="0" w:space="0" w:color="auto"/>
        <w:left w:val="none" w:sz="0" w:space="0" w:color="auto"/>
        <w:bottom w:val="none" w:sz="0" w:space="0" w:color="auto"/>
        <w:right w:val="none" w:sz="0" w:space="0" w:color="auto"/>
      </w:divBdr>
    </w:div>
    <w:div w:id="673804587">
      <w:bodyDiv w:val="1"/>
      <w:marLeft w:val="0"/>
      <w:marRight w:val="0"/>
      <w:marTop w:val="0"/>
      <w:marBottom w:val="0"/>
      <w:divBdr>
        <w:top w:val="none" w:sz="0" w:space="0" w:color="auto"/>
        <w:left w:val="none" w:sz="0" w:space="0" w:color="auto"/>
        <w:bottom w:val="none" w:sz="0" w:space="0" w:color="auto"/>
        <w:right w:val="none" w:sz="0" w:space="0" w:color="auto"/>
      </w:divBdr>
    </w:div>
    <w:div w:id="681249788">
      <w:bodyDiv w:val="1"/>
      <w:marLeft w:val="0"/>
      <w:marRight w:val="0"/>
      <w:marTop w:val="0"/>
      <w:marBottom w:val="0"/>
      <w:divBdr>
        <w:top w:val="none" w:sz="0" w:space="0" w:color="auto"/>
        <w:left w:val="none" w:sz="0" w:space="0" w:color="auto"/>
        <w:bottom w:val="none" w:sz="0" w:space="0" w:color="auto"/>
        <w:right w:val="none" w:sz="0" w:space="0" w:color="auto"/>
      </w:divBdr>
    </w:div>
    <w:div w:id="683214332">
      <w:bodyDiv w:val="1"/>
      <w:marLeft w:val="0"/>
      <w:marRight w:val="0"/>
      <w:marTop w:val="0"/>
      <w:marBottom w:val="0"/>
      <w:divBdr>
        <w:top w:val="none" w:sz="0" w:space="0" w:color="auto"/>
        <w:left w:val="none" w:sz="0" w:space="0" w:color="auto"/>
        <w:bottom w:val="none" w:sz="0" w:space="0" w:color="auto"/>
        <w:right w:val="none" w:sz="0" w:space="0" w:color="auto"/>
      </w:divBdr>
    </w:div>
    <w:div w:id="687099080">
      <w:bodyDiv w:val="1"/>
      <w:marLeft w:val="0"/>
      <w:marRight w:val="0"/>
      <w:marTop w:val="0"/>
      <w:marBottom w:val="0"/>
      <w:divBdr>
        <w:top w:val="none" w:sz="0" w:space="0" w:color="auto"/>
        <w:left w:val="none" w:sz="0" w:space="0" w:color="auto"/>
        <w:bottom w:val="none" w:sz="0" w:space="0" w:color="auto"/>
        <w:right w:val="none" w:sz="0" w:space="0" w:color="auto"/>
      </w:divBdr>
    </w:div>
    <w:div w:id="701981500">
      <w:bodyDiv w:val="1"/>
      <w:marLeft w:val="0"/>
      <w:marRight w:val="0"/>
      <w:marTop w:val="0"/>
      <w:marBottom w:val="0"/>
      <w:divBdr>
        <w:top w:val="none" w:sz="0" w:space="0" w:color="auto"/>
        <w:left w:val="none" w:sz="0" w:space="0" w:color="auto"/>
        <w:bottom w:val="none" w:sz="0" w:space="0" w:color="auto"/>
        <w:right w:val="none" w:sz="0" w:space="0" w:color="auto"/>
      </w:divBdr>
    </w:div>
    <w:div w:id="703292372">
      <w:bodyDiv w:val="1"/>
      <w:marLeft w:val="0"/>
      <w:marRight w:val="0"/>
      <w:marTop w:val="0"/>
      <w:marBottom w:val="0"/>
      <w:divBdr>
        <w:top w:val="none" w:sz="0" w:space="0" w:color="auto"/>
        <w:left w:val="none" w:sz="0" w:space="0" w:color="auto"/>
        <w:bottom w:val="none" w:sz="0" w:space="0" w:color="auto"/>
        <w:right w:val="none" w:sz="0" w:space="0" w:color="auto"/>
      </w:divBdr>
    </w:div>
    <w:div w:id="708913190">
      <w:bodyDiv w:val="1"/>
      <w:marLeft w:val="0"/>
      <w:marRight w:val="0"/>
      <w:marTop w:val="0"/>
      <w:marBottom w:val="0"/>
      <w:divBdr>
        <w:top w:val="none" w:sz="0" w:space="0" w:color="auto"/>
        <w:left w:val="none" w:sz="0" w:space="0" w:color="auto"/>
        <w:bottom w:val="none" w:sz="0" w:space="0" w:color="auto"/>
        <w:right w:val="none" w:sz="0" w:space="0" w:color="auto"/>
      </w:divBdr>
    </w:div>
    <w:div w:id="716320772">
      <w:bodyDiv w:val="1"/>
      <w:marLeft w:val="0"/>
      <w:marRight w:val="0"/>
      <w:marTop w:val="0"/>
      <w:marBottom w:val="0"/>
      <w:divBdr>
        <w:top w:val="none" w:sz="0" w:space="0" w:color="auto"/>
        <w:left w:val="none" w:sz="0" w:space="0" w:color="auto"/>
        <w:bottom w:val="none" w:sz="0" w:space="0" w:color="auto"/>
        <w:right w:val="none" w:sz="0" w:space="0" w:color="auto"/>
      </w:divBdr>
    </w:div>
    <w:div w:id="719328311">
      <w:bodyDiv w:val="1"/>
      <w:marLeft w:val="0"/>
      <w:marRight w:val="0"/>
      <w:marTop w:val="0"/>
      <w:marBottom w:val="0"/>
      <w:divBdr>
        <w:top w:val="none" w:sz="0" w:space="0" w:color="auto"/>
        <w:left w:val="none" w:sz="0" w:space="0" w:color="auto"/>
        <w:bottom w:val="none" w:sz="0" w:space="0" w:color="auto"/>
        <w:right w:val="none" w:sz="0" w:space="0" w:color="auto"/>
      </w:divBdr>
    </w:div>
    <w:div w:id="723219384">
      <w:bodyDiv w:val="1"/>
      <w:marLeft w:val="0"/>
      <w:marRight w:val="0"/>
      <w:marTop w:val="0"/>
      <w:marBottom w:val="0"/>
      <w:divBdr>
        <w:top w:val="none" w:sz="0" w:space="0" w:color="auto"/>
        <w:left w:val="none" w:sz="0" w:space="0" w:color="auto"/>
        <w:bottom w:val="none" w:sz="0" w:space="0" w:color="auto"/>
        <w:right w:val="none" w:sz="0" w:space="0" w:color="auto"/>
      </w:divBdr>
    </w:div>
    <w:div w:id="723526905">
      <w:bodyDiv w:val="1"/>
      <w:marLeft w:val="0"/>
      <w:marRight w:val="0"/>
      <w:marTop w:val="0"/>
      <w:marBottom w:val="0"/>
      <w:divBdr>
        <w:top w:val="none" w:sz="0" w:space="0" w:color="auto"/>
        <w:left w:val="none" w:sz="0" w:space="0" w:color="auto"/>
        <w:bottom w:val="none" w:sz="0" w:space="0" w:color="auto"/>
        <w:right w:val="none" w:sz="0" w:space="0" w:color="auto"/>
      </w:divBdr>
    </w:div>
    <w:div w:id="729426587">
      <w:bodyDiv w:val="1"/>
      <w:marLeft w:val="0"/>
      <w:marRight w:val="0"/>
      <w:marTop w:val="0"/>
      <w:marBottom w:val="0"/>
      <w:divBdr>
        <w:top w:val="none" w:sz="0" w:space="0" w:color="auto"/>
        <w:left w:val="none" w:sz="0" w:space="0" w:color="auto"/>
        <w:bottom w:val="none" w:sz="0" w:space="0" w:color="auto"/>
        <w:right w:val="none" w:sz="0" w:space="0" w:color="auto"/>
      </w:divBdr>
    </w:div>
    <w:div w:id="759453594">
      <w:bodyDiv w:val="1"/>
      <w:marLeft w:val="0"/>
      <w:marRight w:val="0"/>
      <w:marTop w:val="0"/>
      <w:marBottom w:val="0"/>
      <w:divBdr>
        <w:top w:val="none" w:sz="0" w:space="0" w:color="auto"/>
        <w:left w:val="none" w:sz="0" w:space="0" w:color="auto"/>
        <w:bottom w:val="none" w:sz="0" w:space="0" w:color="auto"/>
        <w:right w:val="none" w:sz="0" w:space="0" w:color="auto"/>
      </w:divBdr>
    </w:div>
    <w:div w:id="767820044">
      <w:bodyDiv w:val="1"/>
      <w:marLeft w:val="0"/>
      <w:marRight w:val="0"/>
      <w:marTop w:val="0"/>
      <w:marBottom w:val="0"/>
      <w:divBdr>
        <w:top w:val="none" w:sz="0" w:space="0" w:color="auto"/>
        <w:left w:val="none" w:sz="0" w:space="0" w:color="auto"/>
        <w:bottom w:val="none" w:sz="0" w:space="0" w:color="auto"/>
        <w:right w:val="none" w:sz="0" w:space="0" w:color="auto"/>
      </w:divBdr>
    </w:div>
    <w:div w:id="779838750">
      <w:bodyDiv w:val="1"/>
      <w:marLeft w:val="0"/>
      <w:marRight w:val="0"/>
      <w:marTop w:val="0"/>
      <w:marBottom w:val="0"/>
      <w:divBdr>
        <w:top w:val="none" w:sz="0" w:space="0" w:color="auto"/>
        <w:left w:val="none" w:sz="0" w:space="0" w:color="auto"/>
        <w:bottom w:val="none" w:sz="0" w:space="0" w:color="auto"/>
        <w:right w:val="none" w:sz="0" w:space="0" w:color="auto"/>
      </w:divBdr>
    </w:div>
    <w:div w:id="781462518">
      <w:bodyDiv w:val="1"/>
      <w:marLeft w:val="0"/>
      <w:marRight w:val="0"/>
      <w:marTop w:val="0"/>
      <w:marBottom w:val="0"/>
      <w:divBdr>
        <w:top w:val="none" w:sz="0" w:space="0" w:color="auto"/>
        <w:left w:val="none" w:sz="0" w:space="0" w:color="auto"/>
        <w:bottom w:val="none" w:sz="0" w:space="0" w:color="auto"/>
        <w:right w:val="none" w:sz="0" w:space="0" w:color="auto"/>
      </w:divBdr>
    </w:div>
    <w:div w:id="786974195">
      <w:bodyDiv w:val="1"/>
      <w:marLeft w:val="0"/>
      <w:marRight w:val="0"/>
      <w:marTop w:val="0"/>
      <w:marBottom w:val="0"/>
      <w:divBdr>
        <w:top w:val="none" w:sz="0" w:space="0" w:color="auto"/>
        <w:left w:val="none" w:sz="0" w:space="0" w:color="auto"/>
        <w:bottom w:val="none" w:sz="0" w:space="0" w:color="auto"/>
        <w:right w:val="none" w:sz="0" w:space="0" w:color="auto"/>
      </w:divBdr>
    </w:div>
    <w:div w:id="790317650">
      <w:bodyDiv w:val="1"/>
      <w:marLeft w:val="0"/>
      <w:marRight w:val="0"/>
      <w:marTop w:val="0"/>
      <w:marBottom w:val="0"/>
      <w:divBdr>
        <w:top w:val="none" w:sz="0" w:space="0" w:color="auto"/>
        <w:left w:val="none" w:sz="0" w:space="0" w:color="auto"/>
        <w:bottom w:val="none" w:sz="0" w:space="0" w:color="auto"/>
        <w:right w:val="none" w:sz="0" w:space="0" w:color="auto"/>
      </w:divBdr>
    </w:div>
    <w:div w:id="799878850">
      <w:bodyDiv w:val="1"/>
      <w:marLeft w:val="0"/>
      <w:marRight w:val="0"/>
      <w:marTop w:val="0"/>
      <w:marBottom w:val="0"/>
      <w:divBdr>
        <w:top w:val="none" w:sz="0" w:space="0" w:color="auto"/>
        <w:left w:val="none" w:sz="0" w:space="0" w:color="auto"/>
        <w:bottom w:val="none" w:sz="0" w:space="0" w:color="auto"/>
        <w:right w:val="none" w:sz="0" w:space="0" w:color="auto"/>
      </w:divBdr>
    </w:div>
    <w:div w:id="807668638">
      <w:bodyDiv w:val="1"/>
      <w:marLeft w:val="0"/>
      <w:marRight w:val="0"/>
      <w:marTop w:val="0"/>
      <w:marBottom w:val="0"/>
      <w:divBdr>
        <w:top w:val="none" w:sz="0" w:space="0" w:color="auto"/>
        <w:left w:val="none" w:sz="0" w:space="0" w:color="auto"/>
        <w:bottom w:val="none" w:sz="0" w:space="0" w:color="auto"/>
        <w:right w:val="none" w:sz="0" w:space="0" w:color="auto"/>
      </w:divBdr>
    </w:div>
    <w:div w:id="808278974">
      <w:bodyDiv w:val="1"/>
      <w:marLeft w:val="0"/>
      <w:marRight w:val="0"/>
      <w:marTop w:val="0"/>
      <w:marBottom w:val="0"/>
      <w:divBdr>
        <w:top w:val="none" w:sz="0" w:space="0" w:color="auto"/>
        <w:left w:val="none" w:sz="0" w:space="0" w:color="auto"/>
        <w:bottom w:val="none" w:sz="0" w:space="0" w:color="auto"/>
        <w:right w:val="none" w:sz="0" w:space="0" w:color="auto"/>
      </w:divBdr>
    </w:div>
    <w:div w:id="810944570">
      <w:bodyDiv w:val="1"/>
      <w:marLeft w:val="0"/>
      <w:marRight w:val="0"/>
      <w:marTop w:val="0"/>
      <w:marBottom w:val="0"/>
      <w:divBdr>
        <w:top w:val="none" w:sz="0" w:space="0" w:color="auto"/>
        <w:left w:val="none" w:sz="0" w:space="0" w:color="auto"/>
        <w:bottom w:val="none" w:sz="0" w:space="0" w:color="auto"/>
        <w:right w:val="none" w:sz="0" w:space="0" w:color="auto"/>
      </w:divBdr>
    </w:div>
    <w:div w:id="814299277">
      <w:bodyDiv w:val="1"/>
      <w:marLeft w:val="0"/>
      <w:marRight w:val="0"/>
      <w:marTop w:val="0"/>
      <w:marBottom w:val="0"/>
      <w:divBdr>
        <w:top w:val="none" w:sz="0" w:space="0" w:color="auto"/>
        <w:left w:val="none" w:sz="0" w:space="0" w:color="auto"/>
        <w:bottom w:val="none" w:sz="0" w:space="0" w:color="auto"/>
        <w:right w:val="none" w:sz="0" w:space="0" w:color="auto"/>
      </w:divBdr>
    </w:div>
    <w:div w:id="816726745">
      <w:bodyDiv w:val="1"/>
      <w:marLeft w:val="0"/>
      <w:marRight w:val="0"/>
      <w:marTop w:val="0"/>
      <w:marBottom w:val="0"/>
      <w:divBdr>
        <w:top w:val="none" w:sz="0" w:space="0" w:color="auto"/>
        <w:left w:val="none" w:sz="0" w:space="0" w:color="auto"/>
        <w:bottom w:val="none" w:sz="0" w:space="0" w:color="auto"/>
        <w:right w:val="none" w:sz="0" w:space="0" w:color="auto"/>
      </w:divBdr>
    </w:div>
    <w:div w:id="816920430">
      <w:bodyDiv w:val="1"/>
      <w:marLeft w:val="0"/>
      <w:marRight w:val="0"/>
      <w:marTop w:val="0"/>
      <w:marBottom w:val="0"/>
      <w:divBdr>
        <w:top w:val="none" w:sz="0" w:space="0" w:color="auto"/>
        <w:left w:val="none" w:sz="0" w:space="0" w:color="auto"/>
        <w:bottom w:val="none" w:sz="0" w:space="0" w:color="auto"/>
        <w:right w:val="none" w:sz="0" w:space="0" w:color="auto"/>
      </w:divBdr>
    </w:div>
    <w:div w:id="817186289">
      <w:bodyDiv w:val="1"/>
      <w:marLeft w:val="0"/>
      <w:marRight w:val="0"/>
      <w:marTop w:val="0"/>
      <w:marBottom w:val="0"/>
      <w:divBdr>
        <w:top w:val="none" w:sz="0" w:space="0" w:color="auto"/>
        <w:left w:val="none" w:sz="0" w:space="0" w:color="auto"/>
        <w:bottom w:val="none" w:sz="0" w:space="0" w:color="auto"/>
        <w:right w:val="none" w:sz="0" w:space="0" w:color="auto"/>
      </w:divBdr>
    </w:div>
    <w:div w:id="827599383">
      <w:bodyDiv w:val="1"/>
      <w:marLeft w:val="0"/>
      <w:marRight w:val="0"/>
      <w:marTop w:val="0"/>
      <w:marBottom w:val="0"/>
      <w:divBdr>
        <w:top w:val="none" w:sz="0" w:space="0" w:color="auto"/>
        <w:left w:val="none" w:sz="0" w:space="0" w:color="auto"/>
        <w:bottom w:val="none" w:sz="0" w:space="0" w:color="auto"/>
        <w:right w:val="none" w:sz="0" w:space="0" w:color="auto"/>
      </w:divBdr>
    </w:div>
    <w:div w:id="830171326">
      <w:bodyDiv w:val="1"/>
      <w:marLeft w:val="0"/>
      <w:marRight w:val="0"/>
      <w:marTop w:val="0"/>
      <w:marBottom w:val="0"/>
      <w:divBdr>
        <w:top w:val="none" w:sz="0" w:space="0" w:color="auto"/>
        <w:left w:val="none" w:sz="0" w:space="0" w:color="auto"/>
        <w:bottom w:val="none" w:sz="0" w:space="0" w:color="auto"/>
        <w:right w:val="none" w:sz="0" w:space="0" w:color="auto"/>
      </w:divBdr>
      <w:divsChild>
        <w:div w:id="8528847">
          <w:marLeft w:val="480"/>
          <w:marRight w:val="0"/>
          <w:marTop w:val="0"/>
          <w:marBottom w:val="0"/>
          <w:divBdr>
            <w:top w:val="none" w:sz="0" w:space="0" w:color="auto"/>
            <w:left w:val="none" w:sz="0" w:space="0" w:color="auto"/>
            <w:bottom w:val="none" w:sz="0" w:space="0" w:color="auto"/>
            <w:right w:val="none" w:sz="0" w:space="0" w:color="auto"/>
          </w:divBdr>
        </w:div>
        <w:div w:id="17895201">
          <w:marLeft w:val="480"/>
          <w:marRight w:val="0"/>
          <w:marTop w:val="0"/>
          <w:marBottom w:val="0"/>
          <w:divBdr>
            <w:top w:val="none" w:sz="0" w:space="0" w:color="auto"/>
            <w:left w:val="none" w:sz="0" w:space="0" w:color="auto"/>
            <w:bottom w:val="none" w:sz="0" w:space="0" w:color="auto"/>
            <w:right w:val="none" w:sz="0" w:space="0" w:color="auto"/>
          </w:divBdr>
        </w:div>
        <w:div w:id="67313046">
          <w:marLeft w:val="480"/>
          <w:marRight w:val="0"/>
          <w:marTop w:val="0"/>
          <w:marBottom w:val="0"/>
          <w:divBdr>
            <w:top w:val="none" w:sz="0" w:space="0" w:color="auto"/>
            <w:left w:val="none" w:sz="0" w:space="0" w:color="auto"/>
            <w:bottom w:val="none" w:sz="0" w:space="0" w:color="auto"/>
            <w:right w:val="none" w:sz="0" w:space="0" w:color="auto"/>
          </w:divBdr>
        </w:div>
        <w:div w:id="114521512">
          <w:marLeft w:val="480"/>
          <w:marRight w:val="0"/>
          <w:marTop w:val="0"/>
          <w:marBottom w:val="0"/>
          <w:divBdr>
            <w:top w:val="none" w:sz="0" w:space="0" w:color="auto"/>
            <w:left w:val="none" w:sz="0" w:space="0" w:color="auto"/>
            <w:bottom w:val="none" w:sz="0" w:space="0" w:color="auto"/>
            <w:right w:val="none" w:sz="0" w:space="0" w:color="auto"/>
          </w:divBdr>
        </w:div>
        <w:div w:id="118032215">
          <w:marLeft w:val="480"/>
          <w:marRight w:val="0"/>
          <w:marTop w:val="0"/>
          <w:marBottom w:val="0"/>
          <w:divBdr>
            <w:top w:val="none" w:sz="0" w:space="0" w:color="auto"/>
            <w:left w:val="none" w:sz="0" w:space="0" w:color="auto"/>
            <w:bottom w:val="none" w:sz="0" w:space="0" w:color="auto"/>
            <w:right w:val="none" w:sz="0" w:space="0" w:color="auto"/>
          </w:divBdr>
        </w:div>
        <w:div w:id="156385844">
          <w:marLeft w:val="480"/>
          <w:marRight w:val="0"/>
          <w:marTop w:val="0"/>
          <w:marBottom w:val="0"/>
          <w:divBdr>
            <w:top w:val="none" w:sz="0" w:space="0" w:color="auto"/>
            <w:left w:val="none" w:sz="0" w:space="0" w:color="auto"/>
            <w:bottom w:val="none" w:sz="0" w:space="0" w:color="auto"/>
            <w:right w:val="none" w:sz="0" w:space="0" w:color="auto"/>
          </w:divBdr>
        </w:div>
        <w:div w:id="174392568">
          <w:marLeft w:val="480"/>
          <w:marRight w:val="0"/>
          <w:marTop w:val="0"/>
          <w:marBottom w:val="0"/>
          <w:divBdr>
            <w:top w:val="none" w:sz="0" w:space="0" w:color="auto"/>
            <w:left w:val="none" w:sz="0" w:space="0" w:color="auto"/>
            <w:bottom w:val="none" w:sz="0" w:space="0" w:color="auto"/>
            <w:right w:val="none" w:sz="0" w:space="0" w:color="auto"/>
          </w:divBdr>
        </w:div>
        <w:div w:id="188644410">
          <w:marLeft w:val="480"/>
          <w:marRight w:val="0"/>
          <w:marTop w:val="0"/>
          <w:marBottom w:val="0"/>
          <w:divBdr>
            <w:top w:val="none" w:sz="0" w:space="0" w:color="auto"/>
            <w:left w:val="none" w:sz="0" w:space="0" w:color="auto"/>
            <w:bottom w:val="none" w:sz="0" w:space="0" w:color="auto"/>
            <w:right w:val="none" w:sz="0" w:space="0" w:color="auto"/>
          </w:divBdr>
        </w:div>
        <w:div w:id="212817746">
          <w:marLeft w:val="480"/>
          <w:marRight w:val="0"/>
          <w:marTop w:val="0"/>
          <w:marBottom w:val="0"/>
          <w:divBdr>
            <w:top w:val="none" w:sz="0" w:space="0" w:color="auto"/>
            <w:left w:val="none" w:sz="0" w:space="0" w:color="auto"/>
            <w:bottom w:val="none" w:sz="0" w:space="0" w:color="auto"/>
            <w:right w:val="none" w:sz="0" w:space="0" w:color="auto"/>
          </w:divBdr>
        </w:div>
        <w:div w:id="236869690">
          <w:marLeft w:val="480"/>
          <w:marRight w:val="0"/>
          <w:marTop w:val="0"/>
          <w:marBottom w:val="0"/>
          <w:divBdr>
            <w:top w:val="none" w:sz="0" w:space="0" w:color="auto"/>
            <w:left w:val="none" w:sz="0" w:space="0" w:color="auto"/>
            <w:bottom w:val="none" w:sz="0" w:space="0" w:color="auto"/>
            <w:right w:val="none" w:sz="0" w:space="0" w:color="auto"/>
          </w:divBdr>
        </w:div>
        <w:div w:id="237789525">
          <w:marLeft w:val="480"/>
          <w:marRight w:val="0"/>
          <w:marTop w:val="0"/>
          <w:marBottom w:val="0"/>
          <w:divBdr>
            <w:top w:val="none" w:sz="0" w:space="0" w:color="auto"/>
            <w:left w:val="none" w:sz="0" w:space="0" w:color="auto"/>
            <w:bottom w:val="none" w:sz="0" w:space="0" w:color="auto"/>
            <w:right w:val="none" w:sz="0" w:space="0" w:color="auto"/>
          </w:divBdr>
        </w:div>
        <w:div w:id="273830640">
          <w:marLeft w:val="480"/>
          <w:marRight w:val="0"/>
          <w:marTop w:val="0"/>
          <w:marBottom w:val="0"/>
          <w:divBdr>
            <w:top w:val="none" w:sz="0" w:space="0" w:color="auto"/>
            <w:left w:val="none" w:sz="0" w:space="0" w:color="auto"/>
            <w:bottom w:val="none" w:sz="0" w:space="0" w:color="auto"/>
            <w:right w:val="none" w:sz="0" w:space="0" w:color="auto"/>
          </w:divBdr>
        </w:div>
        <w:div w:id="301230812">
          <w:marLeft w:val="480"/>
          <w:marRight w:val="0"/>
          <w:marTop w:val="0"/>
          <w:marBottom w:val="0"/>
          <w:divBdr>
            <w:top w:val="none" w:sz="0" w:space="0" w:color="auto"/>
            <w:left w:val="none" w:sz="0" w:space="0" w:color="auto"/>
            <w:bottom w:val="none" w:sz="0" w:space="0" w:color="auto"/>
            <w:right w:val="none" w:sz="0" w:space="0" w:color="auto"/>
          </w:divBdr>
        </w:div>
        <w:div w:id="354035670">
          <w:marLeft w:val="480"/>
          <w:marRight w:val="0"/>
          <w:marTop w:val="0"/>
          <w:marBottom w:val="0"/>
          <w:divBdr>
            <w:top w:val="none" w:sz="0" w:space="0" w:color="auto"/>
            <w:left w:val="none" w:sz="0" w:space="0" w:color="auto"/>
            <w:bottom w:val="none" w:sz="0" w:space="0" w:color="auto"/>
            <w:right w:val="none" w:sz="0" w:space="0" w:color="auto"/>
          </w:divBdr>
        </w:div>
        <w:div w:id="356277494">
          <w:marLeft w:val="480"/>
          <w:marRight w:val="0"/>
          <w:marTop w:val="0"/>
          <w:marBottom w:val="0"/>
          <w:divBdr>
            <w:top w:val="none" w:sz="0" w:space="0" w:color="auto"/>
            <w:left w:val="none" w:sz="0" w:space="0" w:color="auto"/>
            <w:bottom w:val="none" w:sz="0" w:space="0" w:color="auto"/>
            <w:right w:val="none" w:sz="0" w:space="0" w:color="auto"/>
          </w:divBdr>
        </w:div>
        <w:div w:id="457069501">
          <w:marLeft w:val="480"/>
          <w:marRight w:val="0"/>
          <w:marTop w:val="0"/>
          <w:marBottom w:val="0"/>
          <w:divBdr>
            <w:top w:val="none" w:sz="0" w:space="0" w:color="auto"/>
            <w:left w:val="none" w:sz="0" w:space="0" w:color="auto"/>
            <w:bottom w:val="none" w:sz="0" w:space="0" w:color="auto"/>
            <w:right w:val="none" w:sz="0" w:space="0" w:color="auto"/>
          </w:divBdr>
        </w:div>
        <w:div w:id="477957580">
          <w:marLeft w:val="480"/>
          <w:marRight w:val="0"/>
          <w:marTop w:val="0"/>
          <w:marBottom w:val="0"/>
          <w:divBdr>
            <w:top w:val="none" w:sz="0" w:space="0" w:color="auto"/>
            <w:left w:val="none" w:sz="0" w:space="0" w:color="auto"/>
            <w:bottom w:val="none" w:sz="0" w:space="0" w:color="auto"/>
            <w:right w:val="none" w:sz="0" w:space="0" w:color="auto"/>
          </w:divBdr>
        </w:div>
        <w:div w:id="499584416">
          <w:marLeft w:val="480"/>
          <w:marRight w:val="0"/>
          <w:marTop w:val="0"/>
          <w:marBottom w:val="0"/>
          <w:divBdr>
            <w:top w:val="none" w:sz="0" w:space="0" w:color="auto"/>
            <w:left w:val="none" w:sz="0" w:space="0" w:color="auto"/>
            <w:bottom w:val="none" w:sz="0" w:space="0" w:color="auto"/>
            <w:right w:val="none" w:sz="0" w:space="0" w:color="auto"/>
          </w:divBdr>
        </w:div>
        <w:div w:id="505101023">
          <w:marLeft w:val="480"/>
          <w:marRight w:val="0"/>
          <w:marTop w:val="0"/>
          <w:marBottom w:val="0"/>
          <w:divBdr>
            <w:top w:val="none" w:sz="0" w:space="0" w:color="auto"/>
            <w:left w:val="none" w:sz="0" w:space="0" w:color="auto"/>
            <w:bottom w:val="none" w:sz="0" w:space="0" w:color="auto"/>
            <w:right w:val="none" w:sz="0" w:space="0" w:color="auto"/>
          </w:divBdr>
        </w:div>
        <w:div w:id="570584515">
          <w:marLeft w:val="480"/>
          <w:marRight w:val="0"/>
          <w:marTop w:val="0"/>
          <w:marBottom w:val="0"/>
          <w:divBdr>
            <w:top w:val="none" w:sz="0" w:space="0" w:color="auto"/>
            <w:left w:val="none" w:sz="0" w:space="0" w:color="auto"/>
            <w:bottom w:val="none" w:sz="0" w:space="0" w:color="auto"/>
            <w:right w:val="none" w:sz="0" w:space="0" w:color="auto"/>
          </w:divBdr>
        </w:div>
        <w:div w:id="571812901">
          <w:marLeft w:val="480"/>
          <w:marRight w:val="0"/>
          <w:marTop w:val="0"/>
          <w:marBottom w:val="0"/>
          <w:divBdr>
            <w:top w:val="none" w:sz="0" w:space="0" w:color="auto"/>
            <w:left w:val="none" w:sz="0" w:space="0" w:color="auto"/>
            <w:bottom w:val="none" w:sz="0" w:space="0" w:color="auto"/>
            <w:right w:val="none" w:sz="0" w:space="0" w:color="auto"/>
          </w:divBdr>
        </w:div>
        <w:div w:id="602302523">
          <w:marLeft w:val="480"/>
          <w:marRight w:val="0"/>
          <w:marTop w:val="0"/>
          <w:marBottom w:val="0"/>
          <w:divBdr>
            <w:top w:val="none" w:sz="0" w:space="0" w:color="auto"/>
            <w:left w:val="none" w:sz="0" w:space="0" w:color="auto"/>
            <w:bottom w:val="none" w:sz="0" w:space="0" w:color="auto"/>
            <w:right w:val="none" w:sz="0" w:space="0" w:color="auto"/>
          </w:divBdr>
        </w:div>
        <w:div w:id="624846125">
          <w:marLeft w:val="480"/>
          <w:marRight w:val="0"/>
          <w:marTop w:val="0"/>
          <w:marBottom w:val="0"/>
          <w:divBdr>
            <w:top w:val="none" w:sz="0" w:space="0" w:color="auto"/>
            <w:left w:val="none" w:sz="0" w:space="0" w:color="auto"/>
            <w:bottom w:val="none" w:sz="0" w:space="0" w:color="auto"/>
            <w:right w:val="none" w:sz="0" w:space="0" w:color="auto"/>
          </w:divBdr>
        </w:div>
        <w:div w:id="636767147">
          <w:marLeft w:val="480"/>
          <w:marRight w:val="0"/>
          <w:marTop w:val="0"/>
          <w:marBottom w:val="0"/>
          <w:divBdr>
            <w:top w:val="none" w:sz="0" w:space="0" w:color="auto"/>
            <w:left w:val="none" w:sz="0" w:space="0" w:color="auto"/>
            <w:bottom w:val="none" w:sz="0" w:space="0" w:color="auto"/>
            <w:right w:val="none" w:sz="0" w:space="0" w:color="auto"/>
          </w:divBdr>
        </w:div>
        <w:div w:id="666640489">
          <w:marLeft w:val="480"/>
          <w:marRight w:val="0"/>
          <w:marTop w:val="0"/>
          <w:marBottom w:val="0"/>
          <w:divBdr>
            <w:top w:val="none" w:sz="0" w:space="0" w:color="auto"/>
            <w:left w:val="none" w:sz="0" w:space="0" w:color="auto"/>
            <w:bottom w:val="none" w:sz="0" w:space="0" w:color="auto"/>
            <w:right w:val="none" w:sz="0" w:space="0" w:color="auto"/>
          </w:divBdr>
        </w:div>
        <w:div w:id="786898272">
          <w:marLeft w:val="480"/>
          <w:marRight w:val="0"/>
          <w:marTop w:val="0"/>
          <w:marBottom w:val="0"/>
          <w:divBdr>
            <w:top w:val="none" w:sz="0" w:space="0" w:color="auto"/>
            <w:left w:val="none" w:sz="0" w:space="0" w:color="auto"/>
            <w:bottom w:val="none" w:sz="0" w:space="0" w:color="auto"/>
            <w:right w:val="none" w:sz="0" w:space="0" w:color="auto"/>
          </w:divBdr>
        </w:div>
        <w:div w:id="804468397">
          <w:marLeft w:val="480"/>
          <w:marRight w:val="0"/>
          <w:marTop w:val="0"/>
          <w:marBottom w:val="0"/>
          <w:divBdr>
            <w:top w:val="none" w:sz="0" w:space="0" w:color="auto"/>
            <w:left w:val="none" w:sz="0" w:space="0" w:color="auto"/>
            <w:bottom w:val="none" w:sz="0" w:space="0" w:color="auto"/>
            <w:right w:val="none" w:sz="0" w:space="0" w:color="auto"/>
          </w:divBdr>
        </w:div>
        <w:div w:id="870996082">
          <w:marLeft w:val="480"/>
          <w:marRight w:val="0"/>
          <w:marTop w:val="0"/>
          <w:marBottom w:val="0"/>
          <w:divBdr>
            <w:top w:val="none" w:sz="0" w:space="0" w:color="auto"/>
            <w:left w:val="none" w:sz="0" w:space="0" w:color="auto"/>
            <w:bottom w:val="none" w:sz="0" w:space="0" w:color="auto"/>
            <w:right w:val="none" w:sz="0" w:space="0" w:color="auto"/>
          </w:divBdr>
        </w:div>
        <w:div w:id="1106195496">
          <w:marLeft w:val="480"/>
          <w:marRight w:val="0"/>
          <w:marTop w:val="0"/>
          <w:marBottom w:val="0"/>
          <w:divBdr>
            <w:top w:val="none" w:sz="0" w:space="0" w:color="auto"/>
            <w:left w:val="none" w:sz="0" w:space="0" w:color="auto"/>
            <w:bottom w:val="none" w:sz="0" w:space="0" w:color="auto"/>
            <w:right w:val="none" w:sz="0" w:space="0" w:color="auto"/>
          </w:divBdr>
        </w:div>
        <w:div w:id="1157696172">
          <w:marLeft w:val="480"/>
          <w:marRight w:val="0"/>
          <w:marTop w:val="0"/>
          <w:marBottom w:val="0"/>
          <w:divBdr>
            <w:top w:val="none" w:sz="0" w:space="0" w:color="auto"/>
            <w:left w:val="none" w:sz="0" w:space="0" w:color="auto"/>
            <w:bottom w:val="none" w:sz="0" w:space="0" w:color="auto"/>
            <w:right w:val="none" w:sz="0" w:space="0" w:color="auto"/>
          </w:divBdr>
        </w:div>
        <w:div w:id="1163811103">
          <w:marLeft w:val="480"/>
          <w:marRight w:val="0"/>
          <w:marTop w:val="0"/>
          <w:marBottom w:val="0"/>
          <w:divBdr>
            <w:top w:val="none" w:sz="0" w:space="0" w:color="auto"/>
            <w:left w:val="none" w:sz="0" w:space="0" w:color="auto"/>
            <w:bottom w:val="none" w:sz="0" w:space="0" w:color="auto"/>
            <w:right w:val="none" w:sz="0" w:space="0" w:color="auto"/>
          </w:divBdr>
        </w:div>
        <w:div w:id="1188762761">
          <w:marLeft w:val="480"/>
          <w:marRight w:val="0"/>
          <w:marTop w:val="0"/>
          <w:marBottom w:val="0"/>
          <w:divBdr>
            <w:top w:val="none" w:sz="0" w:space="0" w:color="auto"/>
            <w:left w:val="none" w:sz="0" w:space="0" w:color="auto"/>
            <w:bottom w:val="none" w:sz="0" w:space="0" w:color="auto"/>
            <w:right w:val="none" w:sz="0" w:space="0" w:color="auto"/>
          </w:divBdr>
        </w:div>
        <w:div w:id="1241477865">
          <w:marLeft w:val="480"/>
          <w:marRight w:val="0"/>
          <w:marTop w:val="0"/>
          <w:marBottom w:val="0"/>
          <w:divBdr>
            <w:top w:val="none" w:sz="0" w:space="0" w:color="auto"/>
            <w:left w:val="none" w:sz="0" w:space="0" w:color="auto"/>
            <w:bottom w:val="none" w:sz="0" w:space="0" w:color="auto"/>
            <w:right w:val="none" w:sz="0" w:space="0" w:color="auto"/>
          </w:divBdr>
        </w:div>
        <w:div w:id="1319651906">
          <w:marLeft w:val="480"/>
          <w:marRight w:val="0"/>
          <w:marTop w:val="0"/>
          <w:marBottom w:val="0"/>
          <w:divBdr>
            <w:top w:val="none" w:sz="0" w:space="0" w:color="auto"/>
            <w:left w:val="none" w:sz="0" w:space="0" w:color="auto"/>
            <w:bottom w:val="none" w:sz="0" w:space="0" w:color="auto"/>
            <w:right w:val="none" w:sz="0" w:space="0" w:color="auto"/>
          </w:divBdr>
        </w:div>
        <w:div w:id="1373074951">
          <w:marLeft w:val="480"/>
          <w:marRight w:val="0"/>
          <w:marTop w:val="0"/>
          <w:marBottom w:val="0"/>
          <w:divBdr>
            <w:top w:val="none" w:sz="0" w:space="0" w:color="auto"/>
            <w:left w:val="none" w:sz="0" w:space="0" w:color="auto"/>
            <w:bottom w:val="none" w:sz="0" w:space="0" w:color="auto"/>
            <w:right w:val="none" w:sz="0" w:space="0" w:color="auto"/>
          </w:divBdr>
        </w:div>
        <w:div w:id="1379237427">
          <w:marLeft w:val="480"/>
          <w:marRight w:val="0"/>
          <w:marTop w:val="0"/>
          <w:marBottom w:val="0"/>
          <w:divBdr>
            <w:top w:val="none" w:sz="0" w:space="0" w:color="auto"/>
            <w:left w:val="none" w:sz="0" w:space="0" w:color="auto"/>
            <w:bottom w:val="none" w:sz="0" w:space="0" w:color="auto"/>
            <w:right w:val="none" w:sz="0" w:space="0" w:color="auto"/>
          </w:divBdr>
        </w:div>
        <w:div w:id="1451513754">
          <w:marLeft w:val="480"/>
          <w:marRight w:val="0"/>
          <w:marTop w:val="0"/>
          <w:marBottom w:val="0"/>
          <w:divBdr>
            <w:top w:val="none" w:sz="0" w:space="0" w:color="auto"/>
            <w:left w:val="none" w:sz="0" w:space="0" w:color="auto"/>
            <w:bottom w:val="none" w:sz="0" w:space="0" w:color="auto"/>
            <w:right w:val="none" w:sz="0" w:space="0" w:color="auto"/>
          </w:divBdr>
        </w:div>
        <w:div w:id="1497771576">
          <w:marLeft w:val="480"/>
          <w:marRight w:val="0"/>
          <w:marTop w:val="0"/>
          <w:marBottom w:val="0"/>
          <w:divBdr>
            <w:top w:val="none" w:sz="0" w:space="0" w:color="auto"/>
            <w:left w:val="none" w:sz="0" w:space="0" w:color="auto"/>
            <w:bottom w:val="none" w:sz="0" w:space="0" w:color="auto"/>
            <w:right w:val="none" w:sz="0" w:space="0" w:color="auto"/>
          </w:divBdr>
        </w:div>
        <w:div w:id="1498376314">
          <w:marLeft w:val="480"/>
          <w:marRight w:val="0"/>
          <w:marTop w:val="0"/>
          <w:marBottom w:val="0"/>
          <w:divBdr>
            <w:top w:val="none" w:sz="0" w:space="0" w:color="auto"/>
            <w:left w:val="none" w:sz="0" w:space="0" w:color="auto"/>
            <w:bottom w:val="none" w:sz="0" w:space="0" w:color="auto"/>
            <w:right w:val="none" w:sz="0" w:space="0" w:color="auto"/>
          </w:divBdr>
        </w:div>
        <w:div w:id="1507865290">
          <w:marLeft w:val="480"/>
          <w:marRight w:val="0"/>
          <w:marTop w:val="0"/>
          <w:marBottom w:val="0"/>
          <w:divBdr>
            <w:top w:val="none" w:sz="0" w:space="0" w:color="auto"/>
            <w:left w:val="none" w:sz="0" w:space="0" w:color="auto"/>
            <w:bottom w:val="none" w:sz="0" w:space="0" w:color="auto"/>
            <w:right w:val="none" w:sz="0" w:space="0" w:color="auto"/>
          </w:divBdr>
        </w:div>
        <w:div w:id="1561592654">
          <w:marLeft w:val="480"/>
          <w:marRight w:val="0"/>
          <w:marTop w:val="0"/>
          <w:marBottom w:val="0"/>
          <w:divBdr>
            <w:top w:val="none" w:sz="0" w:space="0" w:color="auto"/>
            <w:left w:val="none" w:sz="0" w:space="0" w:color="auto"/>
            <w:bottom w:val="none" w:sz="0" w:space="0" w:color="auto"/>
            <w:right w:val="none" w:sz="0" w:space="0" w:color="auto"/>
          </w:divBdr>
        </w:div>
        <w:div w:id="1578247556">
          <w:marLeft w:val="480"/>
          <w:marRight w:val="0"/>
          <w:marTop w:val="0"/>
          <w:marBottom w:val="0"/>
          <w:divBdr>
            <w:top w:val="none" w:sz="0" w:space="0" w:color="auto"/>
            <w:left w:val="none" w:sz="0" w:space="0" w:color="auto"/>
            <w:bottom w:val="none" w:sz="0" w:space="0" w:color="auto"/>
            <w:right w:val="none" w:sz="0" w:space="0" w:color="auto"/>
          </w:divBdr>
        </w:div>
        <w:div w:id="1602445602">
          <w:marLeft w:val="480"/>
          <w:marRight w:val="0"/>
          <w:marTop w:val="0"/>
          <w:marBottom w:val="0"/>
          <w:divBdr>
            <w:top w:val="none" w:sz="0" w:space="0" w:color="auto"/>
            <w:left w:val="none" w:sz="0" w:space="0" w:color="auto"/>
            <w:bottom w:val="none" w:sz="0" w:space="0" w:color="auto"/>
            <w:right w:val="none" w:sz="0" w:space="0" w:color="auto"/>
          </w:divBdr>
        </w:div>
        <w:div w:id="1616784968">
          <w:marLeft w:val="480"/>
          <w:marRight w:val="0"/>
          <w:marTop w:val="0"/>
          <w:marBottom w:val="0"/>
          <w:divBdr>
            <w:top w:val="none" w:sz="0" w:space="0" w:color="auto"/>
            <w:left w:val="none" w:sz="0" w:space="0" w:color="auto"/>
            <w:bottom w:val="none" w:sz="0" w:space="0" w:color="auto"/>
            <w:right w:val="none" w:sz="0" w:space="0" w:color="auto"/>
          </w:divBdr>
        </w:div>
        <w:div w:id="1662195608">
          <w:marLeft w:val="480"/>
          <w:marRight w:val="0"/>
          <w:marTop w:val="0"/>
          <w:marBottom w:val="0"/>
          <w:divBdr>
            <w:top w:val="none" w:sz="0" w:space="0" w:color="auto"/>
            <w:left w:val="none" w:sz="0" w:space="0" w:color="auto"/>
            <w:bottom w:val="none" w:sz="0" w:space="0" w:color="auto"/>
            <w:right w:val="none" w:sz="0" w:space="0" w:color="auto"/>
          </w:divBdr>
        </w:div>
        <w:div w:id="1713845599">
          <w:marLeft w:val="480"/>
          <w:marRight w:val="0"/>
          <w:marTop w:val="0"/>
          <w:marBottom w:val="0"/>
          <w:divBdr>
            <w:top w:val="none" w:sz="0" w:space="0" w:color="auto"/>
            <w:left w:val="none" w:sz="0" w:space="0" w:color="auto"/>
            <w:bottom w:val="none" w:sz="0" w:space="0" w:color="auto"/>
            <w:right w:val="none" w:sz="0" w:space="0" w:color="auto"/>
          </w:divBdr>
        </w:div>
        <w:div w:id="1734620257">
          <w:marLeft w:val="480"/>
          <w:marRight w:val="0"/>
          <w:marTop w:val="0"/>
          <w:marBottom w:val="0"/>
          <w:divBdr>
            <w:top w:val="none" w:sz="0" w:space="0" w:color="auto"/>
            <w:left w:val="none" w:sz="0" w:space="0" w:color="auto"/>
            <w:bottom w:val="none" w:sz="0" w:space="0" w:color="auto"/>
            <w:right w:val="none" w:sz="0" w:space="0" w:color="auto"/>
          </w:divBdr>
        </w:div>
        <w:div w:id="1736008627">
          <w:marLeft w:val="480"/>
          <w:marRight w:val="0"/>
          <w:marTop w:val="0"/>
          <w:marBottom w:val="0"/>
          <w:divBdr>
            <w:top w:val="none" w:sz="0" w:space="0" w:color="auto"/>
            <w:left w:val="none" w:sz="0" w:space="0" w:color="auto"/>
            <w:bottom w:val="none" w:sz="0" w:space="0" w:color="auto"/>
            <w:right w:val="none" w:sz="0" w:space="0" w:color="auto"/>
          </w:divBdr>
        </w:div>
        <w:div w:id="1738505878">
          <w:marLeft w:val="480"/>
          <w:marRight w:val="0"/>
          <w:marTop w:val="0"/>
          <w:marBottom w:val="0"/>
          <w:divBdr>
            <w:top w:val="none" w:sz="0" w:space="0" w:color="auto"/>
            <w:left w:val="none" w:sz="0" w:space="0" w:color="auto"/>
            <w:bottom w:val="none" w:sz="0" w:space="0" w:color="auto"/>
            <w:right w:val="none" w:sz="0" w:space="0" w:color="auto"/>
          </w:divBdr>
        </w:div>
        <w:div w:id="1774665201">
          <w:marLeft w:val="480"/>
          <w:marRight w:val="0"/>
          <w:marTop w:val="0"/>
          <w:marBottom w:val="0"/>
          <w:divBdr>
            <w:top w:val="none" w:sz="0" w:space="0" w:color="auto"/>
            <w:left w:val="none" w:sz="0" w:space="0" w:color="auto"/>
            <w:bottom w:val="none" w:sz="0" w:space="0" w:color="auto"/>
            <w:right w:val="none" w:sz="0" w:space="0" w:color="auto"/>
          </w:divBdr>
        </w:div>
        <w:div w:id="1806269375">
          <w:marLeft w:val="480"/>
          <w:marRight w:val="0"/>
          <w:marTop w:val="0"/>
          <w:marBottom w:val="0"/>
          <w:divBdr>
            <w:top w:val="none" w:sz="0" w:space="0" w:color="auto"/>
            <w:left w:val="none" w:sz="0" w:space="0" w:color="auto"/>
            <w:bottom w:val="none" w:sz="0" w:space="0" w:color="auto"/>
            <w:right w:val="none" w:sz="0" w:space="0" w:color="auto"/>
          </w:divBdr>
        </w:div>
        <w:div w:id="1879006777">
          <w:marLeft w:val="480"/>
          <w:marRight w:val="0"/>
          <w:marTop w:val="0"/>
          <w:marBottom w:val="0"/>
          <w:divBdr>
            <w:top w:val="none" w:sz="0" w:space="0" w:color="auto"/>
            <w:left w:val="none" w:sz="0" w:space="0" w:color="auto"/>
            <w:bottom w:val="none" w:sz="0" w:space="0" w:color="auto"/>
            <w:right w:val="none" w:sz="0" w:space="0" w:color="auto"/>
          </w:divBdr>
        </w:div>
        <w:div w:id="1929462769">
          <w:marLeft w:val="480"/>
          <w:marRight w:val="0"/>
          <w:marTop w:val="0"/>
          <w:marBottom w:val="0"/>
          <w:divBdr>
            <w:top w:val="none" w:sz="0" w:space="0" w:color="auto"/>
            <w:left w:val="none" w:sz="0" w:space="0" w:color="auto"/>
            <w:bottom w:val="none" w:sz="0" w:space="0" w:color="auto"/>
            <w:right w:val="none" w:sz="0" w:space="0" w:color="auto"/>
          </w:divBdr>
        </w:div>
        <w:div w:id="1932734181">
          <w:marLeft w:val="480"/>
          <w:marRight w:val="0"/>
          <w:marTop w:val="0"/>
          <w:marBottom w:val="0"/>
          <w:divBdr>
            <w:top w:val="none" w:sz="0" w:space="0" w:color="auto"/>
            <w:left w:val="none" w:sz="0" w:space="0" w:color="auto"/>
            <w:bottom w:val="none" w:sz="0" w:space="0" w:color="auto"/>
            <w:right w:val="none" w:sz="0" w:space="0" w:color="auto"/>
          </w:divBdr>
        </w:div>
        <w:div w:id="1939871726">
          <w:marLeft w:val="480"/>
          <w:marRight w:val="0"/>
          <w:marTop w:val="0"/>
          <w:marBottom w:val="0"/>
          <w:divBdr>
            <w:top w:val="none" w:sz="0" w:space="0" w:color="auto"/>
            <w:left w:val="none" w:sz="0" w:space="0" w:color="auto"/>
            <w:bottom w:val="none" w:sz="0" w:space="0" w:color="auto"/>
            <w:right w:val="none" w:sz="0" w:space="0" w:color="auto"/>
          </w:divBdr>
        </w:div>
        <w:div w:id="1974868329">
          <w:marLeft w:val="480"/>
          <w:marRight w:val="0"/>
          <w:marTop w:val="0"/>
          <w:marBottom w:val="0"/>
          <w:divBdr>
            <w:top w:val="none" w:sz="0" w:space="0" w:color="auto"/>
            <w:left w:val="none" w:sz="0" w:space="0" w:color="auto"/>
            <w:bottom w:val="none" w:sz="0" w:space="0" w:color="auto"/>
            <w:right w:val="none" w:sz="0" w:space="0" w:color="auto"/>
          </w:divBdr>
        </w:div>
        <w:div w:id="2007515266">
          <w:marLeft w:val="480"/>
          <w:marRight w:val="0"/>
          <w:marTop w:val="0"/>
          <w:marBottom w:val="0"/>
          <w:divBdr>
            <w:top w:val="none" w:sz="0" w:space="0" w:color="auto"/>
            <w:left w:val="none" w:sz="0" w:space="0" w:color="auto"/>
            <w:bottom w:val="none" w:sz="0" w:space="0" w:color="auto"/>
            <w:right w:val="none" w:sz="0" w:space="0" w:color="auto"/>
          </w:divBdr>
        </w:div>
        <w:div w:id="2010598751">
          <w:marLeft w:val="480"/>
          <w:marRight w:val="0"/>
          <w:marTop w:val="0"/>
          <w:marBottom w:val="0"/>
          <w:divBdr>
            <w:top w:val="none" w:sz="0" w:space="0" w:color="auto"/>
            <w:left w:val="none" w:sz="0" w:space="0" w:color="auto"/>
            <w:bottom w:val="none" w:sz="0" w:space="0" w:color="auto"/>
            <w:right w:val="none" w:sz="0" w:space="0" w:color="auto"/>
          </w:divBdr>
        </w:div>
        <w:div w:id="2096630428">
          <w:marLeft w:val="480"/>
          <w:marRight w:val="0"/>
          <w:marTop w:val="0"/>
          <w:marBottom w:val="0"/>
          <w:divBdr>
            <w:top w:val="none" w:sz="0" w:space="0" w:color="auto"/>
            <w:left w:val="none" w:sz="0" w:space="0" w:color="auto"/>
            <w:bottom w:val="none" w:sz="0" w:space="0" w:color="auto"/>
            <w:right w:val="none" w:sz="0" w:space="0" w:color="auto"/>
          </w:divBdr>
        </w:div>
      </w:divsChild>
    </w:div>
    <w:div w:id="831218272">
      <w:bodyDiv w:val="1"/>
      <w:marLeft w:val="0"/>
      <w:marRight w:val="0"/>
      <w:marTop w:val="0"/>
      <w:marBottom w:val="0"/>
      <w:divBdr>
        <w:top w:val="none" w:sz="0" w:space="0" w:color="auto"/>
        <w:left w:val="none" w:sz="0" w:space="0" w:color="auto"/>
        <w:bottom w:val="none" w:sz="0" w:space="0" w:color="auto"/>
        <w:right w:val="none" w:sz="0" w:space="0" w:color="auto"/>
      </w:divBdr>
    </w:div>
    <w:div w:id="836727779">
      <w:bodyDiv w:val="1"/>
      <w:marLeft w:val="0"/>
      <w:marRight w:val="0"/>
      <w:marTop w:val="0"/>
      <w:marBottom w:val="0"/>
      <w:divBdr>
        <w:top w:val="none" w:sz="0" w:space="0" w:color="auto"/>
        <w:left w:val="none" w:sz="0" w:space="0" w:color="auto"/>
        <w:bottom w:val="none" w:sz="0" w:space="0" w:color="auto"/>
        <w:right w:val="none" w:sz="0" w:space="0" w:color="auto"/>
      </w:divBdr>
    </w:div>
    <w:div w:id="843128315">
      <w:bodyDiv w:val="1"/>
      <w:marLeft w:val="0"/>
      <w:marRight w:val="0"/>
      <w:marTop w:val="0"/>
      <w:marBottom w:val="0"/>
      <w:divBdr>
        <w:top w:val="none" w:sz="0" w:space="0" w:color="auto"/>
        <w:left w:val="none" w:sz="0" w:space="0" w:color="auto"/>
        <w:bottom w:val="none" w:sz="0" w:space="0" w:color="auto"/>
        <w:right w:val="none" w:sz="0" w:space="0" w:color="auto"/>
      </w:divBdr>
    </w:div>
    <w:div w:id="845558408">
      <w:bodyDiv w:val="1"/>
      <w:marLeft w:val="0"/>
      <w:marRight w:val="0"/>
      <w:marTop w:val="0"/>
      <w:marBottom w:val="0"/>
      <w:divBdr>
        <w:top w:val="none" w:sz="0" w:space="0" w:color="auto"/>
        <w:left w:val="none" w:sz="0" w:space="0" w:color="auto"/>
        <w:bottom w:val="none" w:sz="0" w:space="0" w:color="auto"/>
        <w:right w:val="none" w:sz="0" w:space="0" w:color="auto"/>
      </w:divBdr>
    </w:div>
    <w:div w:id="846603958">
      <w:bodyDiv w:val="1"/>
      <w:marLeft w:val="0"/>
      <w:marRight w:val="0"/>
      <w:marTop w:val="0"/>
      <w:marBottom w:val="0"/>
      <w:divBdr>
        <w:top w:val="none" w:sz="0" w:space="0" w:color="auto"/>
        <w:left w:val="none" w:sz="0" w:space="0" w:color="auto"/>
        <w:bottom w:val="none" w:sz="0" w:space="0" w:color="auto"/>
        <w:right w:val="none" w:sz="0" w:space="0" w:color="auto"/>
      </w:divBdr>
    </w:div>
    <w:div w:id="846940269">
      <w:bodyDiv w:val="1"/>
      <w:marLeft w:val="0"/>
      <w:marRight w:val="0"/>
      <w:marTop w:val="0"/>
      <w:marBottom w:val="0"/>
      <w:divBdr>
        <w:top w:val="none" w:sz="0" w:space="0" w:color="auto"/>
        <w:left w:val="none" w:sz="0" w:space="0" w:color="auto"/>
        <w:bottom w:val="none" w:sz="0" w:space="0" w:color="auto"/>
        <w:right w:val="none" w:sz="0" w:space="0" w:color="auto"/>
      </w:divBdr>
    </w:div>
    <w:div w:id="850754143">
      <w:bodyDiv w:val="1"/>
      <w:marLeft w:val="0"/>
      <w:marRight w:val="0"/>
      <w:marTop w:val="0"/>
      <w:marBottom w:val="0"/>
      <w:divBdr>
        <w:top w:val="none" w:sz="0" w:space="0" w:color="auto"/>
        <w:left w:val="none" w:sz="0" w:space="0" w:color="auto"/>
        <w:bottom w:val="none" w:sz="0" w:space="0" w:color="auto"/>
        <w:right w:val="none" w:sz="0" w:space="0" w:color="auto"/>
      </w:divBdr>
    </w:div>
    <w:div w:id="851408285">
      <w:bodyDiv w:val="1"/>
      <w:marLeft w:val="0"/>
      <w:marRight w:val="0"/>
      <w:marTop w:val="0"/>
      <w:marBottom w:val="0"/>
      <w:divBdr>
        <w:top w:val="none" w:sz="0" w:space="0" w:color="auto"/>
        <w:left w:val="none" w:sz="0" w:space="0" w:color="auto"/>
        <w:bottom w:val="none" w:sz="0" w:space="0" w:color="auto"/>
        <w:right w:val="none" w:sz="0" w:space="0" w:color="auto"/>
      </w:divBdr>
    </w:div>
    <w:div w:id="851844093">
      <w:bodyDiv w:val="1"/>
      <w:marLeft w:val="0"/>
      <w:marRight w:val="0"/>
      <w:marTop w:val="0"/>
      <w:marBottom w:val="0"/>
      <w:divBdr>
        <w:top w:val="none" w:sz="0" w:space="0" w:color="auto"/>
        <w:left w:val="none" w:sz="0" w:space="0" w:color="auto"/>
        <w:bottom w:val="none" w:sz="0" w:space="0" w:color="auto"/>
        <w:right w:val="none" w:sz="0" w:space="0" w:color="auto"/>
      </w:divBdr>
    </w:div>
    <w:div w:id="855389802">
      <w:bodyDiv w:val="1"/>
      <w:marLeft w:val="0"/>
      <w:marRight w:val="0"/>
      <w:marTop w:val="0"/>
      <w:marBottom w:val="0"/>
      <w:divBdr>
        <w:top w:val="none" w:sz="0" w:space="0" w:color="auto"/>
        <w:left w:val="none" w:sz="0" w:space="0" w:color="auto"/>
        <w:bottom w:val="none" w:sz="0" w:space="0" w:color="auto"/>
        <w:right w:val="none" w:sz="0" w:space="0" w:color="auto"/>
      </w:divBdr>
    </w:div>
    <w:div w:id="861935536">
      <w:bodyDiv w:val="1"/>
      <w:marLeft w:val="0"/>
      <w:marRight w:val="0"/>
      <w:marTop w:val="0"/>
      <w:marBottom w:val="0"/>
      <w:divBdr>
        <w:top w:val="none" w:sz="0" w:space="0" w:color="auto"/>
        <w:left w:val="none" w:sz="0" w:space="0" w:color="auto"/>
        <w:bottom w:val="none" w:sz="0" w:space="0" w:color="auto"/>
        <w:right w:val="none" w:sz="0" w:space="0" w:color="auto"/>
      </w:divBdr>
    </w:div>
    <w:div w:id="862791362">
      <w:bodyDiv w:val="1"/>
      <w:marLeft w:val="0"/>
      <w:marRight w:val="0"/>
      <w:marTop w:val="0"/>
      <w:marBottom w:val="0"/>
      <w:divBdr>
        <w:top w:val="none" w:sz="0" w:space="0" w:color="auto"/>
        <w:left w:val="none" w:sz="0" w:space="0" w:color="auto"/>
        <w:bottom w:val="none" w:sz="0" w:space="0" w:color="auto"/>
        <w:right w:val="none" w:sz="0" w:space="0" w:color="auto"/>
      </w:divBdr>
    </w:div>
    <w:div w:id="865873083">
      <w:bodyDiv w:val="1"/>
      <w:marLeft w:val="0"/>
      <w:marRight w:val="0"/>
      <w:marTop w:val="0"/>
      <w:marBottom w:val="0"/>
      <w:divBdr>
        <w:top w:val="none" w:sz="0" w:space="0" w:color="auto"/>
        <w:left w:val="none" w:sz="0" w:space="0" w:color="auto"/>
        <w:bottom w:val="none" w:sz="0" w:space="0" w:color="auto"/>
        <w:right w:val="none" w:sz="0" w:space="0" w:color="auto"/>
      </w:divBdr>
    </w:div>
    <w:div w:id="868878184">
      <w:bodyDiv w:val="1"/>
      <w:marLeft w:val="0"/>
      <w:marRight w:val="0"/>
      <w:marTop w:val="0"/>
      <w:marBottom w:val="0"/>
      <w:divBdr>
        <w:top w:val="none" w:sz="0" w:space="0" w:color="auto"/>
        <w:left w:val="none" w:sz="0" w:space="0" w:color="auto"/>
        <w:bottom w:val="none" w:sz="0" w:space="0" w:color="auto"/>
        <w:right w:val="none" w:sz="0" w:space="0" w:color="auto"/>
      </w:divBdr>
    </w:div>
    <w:div w:id="869613579">
      <w:bodyDiv w:val="1"/>
      <w:marLeft w:val="0"/>
      <w:marRight w:val="0"/>
      <w:marTop w:val="0"/>
      <w:marBottom w:val="0"/>
      <w:divBdr>
        <w:top w:val="none" w:sz="0" w:space="0" w:color="auto"/>
        <w:left w:val="none" w:sz="0" w:space="0" w:color="auto"/>
        <w:bottom w:val="none" w:sz="0" w:space="0" w:color="auto"/>
        <w:right w:val="none" w:sz="0" w:space="0" w:color="auto"/>
      </w:divBdr>
      <w:divsChild>
        <w:div w:id="4211819">
          <w:marLeft w:val="480"/>
          <w:marRight w:val="0"/>
          <w:marTop w:val="0"/>
          <w:marBottom w:val="0"/>
          <w:divBdr>
            <w:top w:val="none" w:sz="0" w:space="0" w:color="auto"/>
            <w:left w:val="none" w:sz="0" w:space="0" w:color="auto"/>
            <w:bottom w:val="none" w:sz="0" w:space="0" w:color="auto"/>
            <w:right w:val="none" w:sz="0" w:space="0" w:color="auto"/>
          </w:divBdr>
        </w:div>
        <w:div w:id="32312690">
          <w:marLeft w:val="480"/>
          <w:marRight w:val="0"/>
          <w:marTop w:val="0"/>
          <w:marBottom w:val="0"/>
          <w:divBdr>
            <w:top w:val="none" w:sz="0" w:space="0" w:color="auto"/>
            <w:left w:val="none" w:sz="0" w:space="0" w:color="auto"/>
            <w:bottom w:val="none" w:sz="0" w:space="0" w:color="auto"/>
            <w:right w:val="none" w:sz="0" w:space="0" w:color="auto"/>
          </w:divBdr>
        </w:div>
        <w:div w:id="35856637">
          <w:marLeft w:val="480"/>
          <w:marRight w:val="0"/>
          <w:marTop w:val="0"/>
          <w:marBottom w:val="0"/>
          <w:divBdr>
            <w:top w:val="none" w:sz="0" w:space="0" w:color="auto"/>
            <w:left w:val="none" w:sz="0" w:space="0" w:color="auto"/>
            <w:bottom w:val="none" w:sz="0" w:space="0" w:color="auto"/>
            <w:right w:val="none" w:sz="0" w:space="0" w:color="auto"/>
          </w:divBdr>
        </w:div>
        <w:div w:id="57020094">
          <w:marLeft w:val="480"/>
          <w:marRight w:val="0"/>
          <w:marTop w:val="0"/>
          <w:marBottom w:val="0"/>
          <w:divBdr>
            <w:top w:val="none" w:sz="0" w:space="0" w:color="auto"/>
            <w:left w:val="none" w:sz="0" w:space="0" w:color="auto"/>
            <w:bottom w:val="none" w:sz="0" w:space="0" w:color="auto"/>
            <w:right w:val="none" w:sz="0" w:space="0" w:color="auto"/>
          </w:divBdr>
        </w:div>
        <w:div w:id="86191289">
          <w:marLeft w:val="480"/>
          <w:marRight w:val="0"/>
          <w:marTop w:val="0"/>
          <w:marBottom w:val="0"/>
          <w:divBdr>
            <w:top w:val="none" w:sz="0" w:space="0" w:color="auto"/>
            <w:left w:val="none" w:sz="0" w:space="0" w:color="auto"/>
            <w:bottom w:val="none" w:sz="0" w:space="0" w:color="auto"/>
            <w:right w:val="none" w:sz="0" w:space="0" w:color="auto"/>
          </w:divBdr>
        </w:div>
        <w:div w:id="93092630">
          <w:marLeft w:val="480"/>
          <w:marRight w:val="0"/>
          <w:marTop w:val="0"/>
          <w:marBottom w:val="0"/>
          <w:divBdr>
            <w:top w:val="none" w:sz="0" w:space="0" w:color="auto"/>
            <w:left w:val="none" w:sz="0" w:space="0" w:color="auto"/>
            <w:bottom w:val="none" w:sz="0" w:space="0" w:color="auto"/>
            <w:right w:val="none" w:sz="0" w:space="0" w:color="auto"/>
          </w:divBdr>
        </w:div>
        <w:div w:id="136386901">
          <w:marLeft w:val="480"/>
          <w:marRight w:val="0"/>
          <w:marTop w:val="0"/>
          <w:marBottom w:val="0"/>
          <w:divBdr>
            <w:top w:val="none" w:sz="0" w:space="0" w:color="auto"/>
            <w:left w:val="none" w:sz="0" w:space="0" w:color="auto"/>
            <w:bottom w:val="none" w:sz="0" w:space="0" w:color="auto"/>
            <w:right w:val="none" w:sz="0" w:space="0" w:color="auto"/>
          </w:divBdr>
        </w:div>
        <w:div w:id="166554544">
          <w:marLeft w:val="480"/>
          <w:marRight w:val="0"/>
          <w:marTop w:val="0"/>
          <w:marBottom w:val="0"/>
          <w:divBdr>
            <w:top w:val="none" w:sz="0" w:space="0" w:color="auto"/>
            <w:left w:val="none" w:sz="0" w:space="0" w:color="auto"/>
            <w:bottom w:val="none" w:sz="0" w:space="0" w:color="auto"/>
            <w:right w:val="none" w:sz="0" w:space="0" w:color="auto"/>
          </w:divBdr>
        </w:div>
        <w:div w:id="185414755">
          <w:marLeft w:val="480"/>
          <w:marRight w:val="0"/>
          <w:marTop w:val="0"/>
          <w:marBottom w:val="0"/>
          <w:divBdr>
            <w:top w:val="none" w:sz="0" w:space="0" w:color="auto"/>
            <w:left w:val="none" w:sz="0" w:space="0" w:color="auto"/>
            <w:bottom w:val="none" w:sz="0" w:space="0" w:color="auto"/>
            <w:right w:val="none" w:sz="0" w:space="0" w:color="auto"/>
          </w:divBdr>
        </w:div>
        <w:div w:id="271743616">
          <w:marLeft w:val="480"/>
          <w:marRight w:val="0"/>
          <w:marTop w:val="0"/>
          <w:marBottom w:val="0"/>
          <w:divBdr>
            <w:top w:val="none" w:sz="0" w:space="0" w:color="auto"/>
            <w:left w:val="none" w:sz="0" w:space="0" w:color="auto"/>
            <w:bottom w:val="none" w:sz="0" w:space="0" w:color="auto"/>
            <w:right w:val="none" w:sz="0" w:space="0" w:color="auto"/>
          </w:divBdr>
        </w:div>
        <w:div w:id="293097494">
          <w:marLeft w:val="480"/>
          <w:marRight w:val="0"/>
          <w:marTop w:val="0"/>
          <w:marBottom w:val="0"/>
          <w:divBdr>
            <w:top w:val="none" w:sz="0" w:space="0" w:color="auto"/>
            <w:left w:val="none" w:sz="0" w:space="0" w:color="auto"/>
            <w:bottom w:val="none" w:sz="0" w:space="0" w:color="auto"/>
            <w:right w:val="none" w:sz="0" w:space="0" w:color="auto"/>
          </w:divBdr>
        </w:div>
        <w:div w:id="347566314">
          <w:marLeft w:val="480"/>
          <w:marRight w:val="0"/>
          <w:marTop w:val="0"/>
          <w:marBottom w:val="0"/>
          <w:divBdr>
            <w:top w:val="none" w:sz="0" w:space="0" w:color="auto"/>
            <w:left w:val="none" w:sz="0" w:space="0" w:color="auto"/>
            <w:bottom w:val="none" w:sz="0" w:space="0" w:color="auto"/>
            <w:right w:val="none" w:sz="0" w:space="0" w:color="auto"/>
          </w:divBdr>
        </w:div>
        <w:div w:id="407383091">
          <w:marLeft w:val="480"/>
          <w:marRight w:val="0"/>
          <w:marTop w:val="0"/>
          <w:marBottom w:val="0"/>
          <w:divBdr>
            <w:top w:val="none" w:sz="0" w:space="0" w:color="auto"/>
            <w:left w:val="none" w:sz="0" w:space="0" w:color="auto"/>
            <w:bottom w:val="none" w:sz="0" w:space="0" w:color="auto"/>
            <w:right w:val="none" w:sz="0" w:space="0" w:color="auto"/>
          </w:divBdr>
        </w:div>
        <w:div w:id="434791963">
          <w:marLeft w:val="480"/>
          <w:marRight w:val="0"/>
          <w:marTop w:val="0"/>
          <w:marBottom w:val="0"/>
          <w:divBdr>
            <w:top w:val="none" w:sz="0" w:space="0" w:color="auto"/>
            <w:left w:val="none" w:sz="0" w:space="0" w:color="auto"/>
            <w:bottom w:val="none" w:sz="0" w:space="0" w:color="auto"/>
            <w:right w:val="none" w:sz="0" w:space="0" w:color="auto"/>
          </w:divBdr>
        </w:div>
        <w:div w:id="565071423">
          <w:marLeft w:val="480"/>
          <w:marRight w:val="0"/>
          <w:marTop w:val="0"/>
          <w:marBottom w:val="0"/>
          <w:divBdr>
            <w:top w:val="none" w:sz="0" w:space="0" w:color="auto"/>
            <w:left w:val="none" w:sz="0" w:space="0" w:color="auto"/>
            <w:bottom w:val="none" w:sz="0" w:space="0" w:color="auto"/>
            <w:right w:val="none" w:sz="0" w:space="0" w:color="auto"/>
          </w:divBdr>
        </w:div>
        <w:div w:id="657074880">
          <w:marLeft w:val="480"/>
          <w:marRight w:val="0"/>
          <w:marTop w:val="0"/>
          <w:marBottom w:val="0"/>
          <w:divBdr>
            <w:top w:val="none" w:sz="0" w:space="0" w:color="auto"/>
            <w:left w:val="none" w:sz="0" w:space="0" w:color="auto"/>
            <w:bottom w:val="none" w:sz="0" w:space="0" w:color="auto"/>
            <w:right w:val="none" w:sz="0" w:space="0" w:color="auto"/>
          </w:divBdr>
        </w:div>
        <w:div w:id="657611899">
          <w:marLeft w:val="480"/>
          <w:marRight w:val="0"/>
          <w:marTop w:val="0"/>
          <w:marBottom w:val="0"/>
          <w:divBdr>
            <w:top w:val="none" w:sz="0" w:space="0" w:color="auto"/>
            <w:left w:val="none" w:sz="0" w:space="0" w:color="auto"/>
            <w:bottom w:val="none" w:sz="0" w:space="0" w:color="auto"/>
            <w:right w:val="none" w:sz="0" w:space="0" w:color="auto"/>
          </w:divBdr>
        </w:div>
        <w:div w:id="774908073">
          <w:marLeft w:val="480"/>
          <w:marRight w:val="0"/>
          <w:marTop w:val="0"/>
          <w:marBottom w:val="0"/>
          <w:divBdr>
            <w:top w:val="none" w:sz="0" w:space="0" w:color="auto"/>
            <w:left w:val="none" w:sz="0" w:space="0" w:color="auto"/>
            <w:bottom w:val="none" w:sz="0" w:space="0" w:color="auto"/>
            <w:right w:val="none" w:sz="0" w:space="0" w:color="auto"/>
          </w:divBdr>
        </w:div>
        <w:div w:id="781150191">
          <w:marLeft w:val="480"/>
          <w:marRight w:val="0"/>
          <w:marTop w:val="0"/>
          <w:marBottom w:val="0"/>
          <w:divBdr>
            <w:top w:val="none" w:sz="0" w:space="0" w:color="auto"/>
            <w:left w:val="none" w:sz="0" w:space="0" w:color="auto"/>
            <w:bottom w:val="none" w:sz="0" w:space="0" w:color="auto"/>
            <w:right w:val="none" w:sz="0" w:space="0" w:color="auto"/>
          </w:divBdr>
        </w:div>
        <w:div w:id="794913360">
          <w:marLeft w:val="480"/>
          <w:marRight w:val="0"/>
          <w:marTop w:val="0"/>
          <w:marBottom w:val="0"/>
          <w:divBdr>
            <w:top w:val="none" w:sz="0" w:space="0" w:color="auto"/>
            <w:left w:val="none" w:sz="0" w:space="0" w:color="auto"/>
            <w:bottom w:val="none" w:sz="0" w:space="0" w:color="auto"/>
            <w:right w:val="none" w:sz="0" w:space="0" w:color="auto"/>
          </w:divBdr>
        </w:div>
        <w:div w:id="864055790">
          <w:marLeft w:val="480"/>
          <w:marRight w:val="0"/>
          <w:marTop w:val="0"/>
          <w:marBottom w:val="0"/>
          <w:divBdr>
            <w:top w:val="none" w:sz="0" w:space="0" w:color="auto"/>
            <w:left w:val="none" w:sz="0" w:space="0" w:color="auto"/>
            <w:bottom w:val="none" w:sz="0" w:space="0" w:color="auto"/>
            <w:right w:val="none" w:sz="0" w:space="0" w:color="auto"/>
          </w:divBdr>
        </w:div>
        <w:div w:id="886529034">
          <w:marLeft w:val="480"/>
          <w:marRight w:val="0"/>
          <w:marTop w:val="0"/>
          <w:marBottom w:val="0"/>
          <w:divBdr>
            <w:top w:val="none" w:sz="0" w:space="0" w:color="auto"/>
            <w:left w:val="none" w:sz="0" w:space="0" w:color="auto"/>
            <w:bottom w:val="none" w:sz="0" w:space="0" w:color="auto"/>
            <w:right w:val="none" w:sz="0" w:space="0" w:color="auto"/>
          </w:divBdr>
        </w:div>
        <w:div w:id="920407443">
          <w:marLeft w:val="480"/>
          <w:marRight w:val="0"/>
          <w:marTop w:val="0"/>
          <w:marBottom w:val="0"/>
          <w:divBdr>
            <w:top w:val="none" w:sz="0" w:space="0" w:color="auto"/>
            <w:left w:val="none" w:sz="0" w:space="0" w:color="auto"/>
            <w:bottom w:val="none" w:sz="0" w:space="0" w:color="auto"/>
            <w:right w:val="none" w:sz="0" w:space="0" w:color="auto"/>
          </w:divBdr>
        </w:div>
        <w:div w:id="965349707">
          <w:marLeft w:val="480"/>
          <w:marRight w:val="0"/>
          <w:marTop w:val="0"/>
          <w:marBottom w:val="0"/>
          <w:divBdr>
            <w:top w:val="none" w:sz="0" w:space="0" w:color="auto"/>
            <w:left w:val="none" w:sz="0" w:space="0" w:color="auto"/>
            <w:bottom w:val="none" w:sz="0" w:space="0" w:color="auto"/>
            <w:right w:val="none" w:sz="0" w:space="0" w:color="auto"/>
          </w:divBdr>
        </w:div>
        <w:div w:id="974989968">
          <w:marLeft w:val="480"/>
          <w:marRight w:val="0"/>
          <w:marTop w:val="0"/>
          <w:marBottom w:val="0"/>
          <w:divBdr>
            <w:top w:val="none" w:sz="0" w:space="0" w:color="auto"/>
            <w:left w:val="none" w:sz="0" w:space="0" w:color="auto"/>
            <w:bottom w:val="none" w:sz="0" w:space="0" w:color="auto"/>
            <w:right w:val="none" w:sz="0" w:space="0" w:color="auto"/>
          </w:divBdr>
        </w:div>
        <w:div w:id="986977447">
          <w:marLeft w:val="480"/>
          <w:marRight w:val="0"/>
          <w:marTop w:val="0"/>
          <w:marBottom w:val="0"/>
          <w:divBdr>
            <w:top w:val="none" w:sz="0" w:space="0" w:color="auto"/>
            <w:left w:val="none" w:sz="0" w:space="0" w:color="auto"/>
            <w:bottom w:val="none" w:sz="0" w:space="0" w:color="auto"/>
            <w:right w:val="none" w:sz="0" w:space="0" w:color="auto"/>
          </w:divBdr>
        </w:div>
        <w:div w:id="1086271058">
          <w:marLeft w:val="480"/>
          <w:marRight w:val="0"/>
          <w:marTop w:val="0"/>
          <w:marBottom w:val="0"/>
          <w:divBdr>
            <w:top w:val="none" w:sz="0" w:space="0" w:color="auto"/>
            <w:left w:val="none" w:sz="0" w:space="0" w:color="auto"/>
            <w:bottom w:val="none" w:sz="0" w:space="0" w:color="auto"/>
            <w:right w:val="none" w:sz="0" w:space="0" w:color="auto"/>
          </w:divBdr>
        </w:div>
        <w:div w:id="1098672928">
          <w:marLeft w:val="480"/>
          <w:marRight w:val="0"/>
          <w:marTop w:val="0"/>
          <w:marBottom w:val="0"/>
          <w:divBdr>
            <w:top w:val="none" w:sz="0" w:space="0" w:color="auto"/>
            <w:left w:val="none" w:sz="0" w:space="0" w:color="auto"/>
            <w:bottom w:val="none" w:sz="0" w:space="0" w:color="auto"/>
            <w:right w:val="none" w:sz="0" w:space="0" w:color="auto"/>
          </w:divBdr>
        </w:div>
        <w:div w:id="1116025091">
          <w:marLeft w:val="480"/>
          <w:marRight w:val="0"/>
          <w:marTop w:val="0"/>
          <w:marBottom w:val="0"/>
          <w:divBdr>
            <w:top w:val="none" w:sz="0" w:space="0" w:color="auto"/>
            <w:left w:val="none" w:sz="0" w:space="0" w:color="auto"/>
            <w:bottom w:val="none" w:sz="0" w:space="0" w:color="auto"/>
            <w:right w:val="none" w:sz="0" w:space="0" w:color="auto"/>
          </w:divBdr>
        </w:div>
        <w:div w:id="1120220570">
          <w:marLeft w:val="480"/>
          <w:marRight w:val="0"/>
          <w:marTop w:val="0"/>
          <w:marBottom w:val="0"/>
          <w:divBdr>
            <w:top w:val="none" w:sz="0" w:space="0" w:color="auto"/>
            <w:left w:val="none" w:sz="0" w:space="0" w:color="auto"/>
            <w:bottom w:val="none" w:sz="0" w:space="0" w:color="auto"/>
            <w:right w:val="none" w:sz="0" w:space="0" w:color="auto"/>
          </w:divBdr>
        </w:div>
        <w:div w:id="1148279579">
          <w:marLeft w:val="480"/>
          <w:marRight w:val="0"/>
          <w:marTop w:val="0"/>
          <w:marBottom w:val="0"/>
          <w:divBdr>
            <w:top w:val="none" w:sz="0" w:space="0" w:color="auto"/>
            <w:left w:val="none" w:sz="0" w:space="0" w:color="auto"/>
            <w:bottom w:val="none" w:sz="0" w:space="0" w:color="auto"/>
            <w:right w:val="none" w:sz="0" w:space="0" w:color="auto"/>
          </w:divBdr>
        </w:div>
        <w:div w:id="1171674602">
          <w:marLeft w:val="480"/>
          <w:marRight w:val="0"/>
          <w:marTop w:val="0"/>
          <w:marBottom w:val="0"/>
          <w:divBdr>
            <w:top w:val="none" w:sz="0" w:space="0" w:color="auto"/>
            <w:left w:val="none" w:sz="0" w:space="0" w:color="auto"/>
            <w:bottom w:val="none" w:sz="0" w:space="0" w:color="auto"/>
            <w:right w:val="none" w:sz="0" w:space="0" w:color="auto"/>
          </w:divBdr>
        </w:div>
        <w:div w:id="1190340967">
          <w:marLeft w:val="480"/>
          <w:marRight w:val="0"/>
          <w:marTop w:val="0"/>
          <w:marBottom w:val="0"/>
          <w:divBdr>
            <w:top w:val="none" w:sz="0" w:space="0" w:color="auto"/>
            <w:left w:val="none" w:sz="0" w:space="0" w:color="auto"/>
            <w:bottom w:val="none" w:sz="0" w:space="0" w:color="auto"/>
            <w:right w:val="none" w:sz="0" w:space="0" w:color="auto"/>
          </w:divBdr>
        </w:div>
        <w:div w:id="1205213653">
          <w:marLeft w:val="480"/>
          <w:marRight w:val="0"/>
          <w:marTop w:val="0"/>
          <w:marBottom w:val="0"/>
          <w:divBdr>
            <w:top w:val="none" w:sz="0" w:space="0" w:color="auto"/>
            <w:left w:val="none" w:sz="0" w:space="0" w:color="auto"/>
            <w:bottom w:val="none" w:sz="0" w:space="0" w:color="auto"/>
            <w:right w:val="none" w:sz="0" w:space="0" w:color="auto"/>
          </w:divBdr>
        </w:div>
        <w:div w:id="1245723127">
          <w:marLeft w:val="480"/>
          <w:marRight w:val="0"/>
          <w:marTop w:val="0"/>
          <w:marBottom w:val="0"/>
          <w:divBdr>
            <w:top w:val="none" w:sz="0" w:space="0" w:color="auto"/>
            <w:left w:val="none" w:sz="0" w:space="0" w:color="auto"/>
            <w:bottom w:val="none" w:sz="0" w:space="0" w:color="auto"/>
            <w:right w:val="none" w:sz="0" w:space="0" w:color="auto"/>
          </w:divBdr>
        </w:div>
        <w:div w:id="1258755055">
          <w:marLeft w:val="480"/>
          <w:marRight w:val="0"/>
          <w:marTop w:val="0"/>
          <w:marBottom w:val="0"/>
          <w:divBdr>
            <w:top w:val="none" w:sz="0" w:space="0" w:color="auto"/>
            <w:left w:val="none" w:sz="0" w:space="0" w:color="auto"/>
            <w:bottom w:val="none" w:sz="0" w:space="0" w:color="auto"/>
            <w:right w:val="none" w:sz="0" w:space="0" w:color="auto"/>
          </w:divBdr>
        </w:div>
        <w:div w:id="1292202489">
          <w:marLeft w:val="480"/>
          <w:marRight w:val="0"/>
          <w:marTop w:val="0"/>
          <w:marBottom w:val="0"/>
          <w:divBdr>
            <w:top w:val="none" w:sz="0" w:space="0" w:color="auto"/>
            <w:left w:val="none" w:sz="0" w:space="0" w:color="auto"/>
            <w:bottom w:val="none" w:sz="0" w:space="0" w:color="auto"/>
            <w:right w:val="none" w:sz="0" w:space="0" w:color="auto"/>
          </w:divBdr>
        </w:div>
        <w:div w:id="1373071371">
          <w:marLeft w:val="480"/>
          <w:marRight w:val="0"/>
          <w:marTop w:val="0"/>
          <w:marBottom w:val="0"/>
          <w:divBdr>
            <w:top w:val="none" w:sz="0" w:space="0" w:color="auto"/>
            <w:left w:val="none" w:sz="0" w:space="0" w:color="auto"/>
            <w:bottom w:val="none" w:sz="0" w:space="0" w:color="auto"/>
            <w:right w:val="none" w:sz="0" w:space="0" w:color="auto"/>
          </w:divBdr>
        </w:div>
        <w:div w:id="1399985031">
          <w:marLeft w:val="480"/>
          <w:marRight w:val="0"/>
          <w:marTop w:val="0"/>
          <w:marBottom w:val="0"/>
          <w:divBdr>
            <w:top w:val="none" w:sz="0" w:space="0" w:color="auto"/>
            <w:left w:val="none" w:sz="0" w:space="0" w:color="auto"/>
            <w:bottom w:val="none" w:sz="0" w:space="0" w:color="auto"/>
            <w:right w:val="none" w:sz="0" w:space="0" w:color="auto"/>
          </w:divBdr>
        </w:div>
        <w:div w:id="1448694394">
          <w:marLeft w:val="480"/>
          <w:marRight w:val="0"/>
          <w:marTop w:val="0"/>
          <w:marBottom w:val="0"/>
          <w:divBdr>
            <w:top w:val="none" w:sz="0" w:space="0" w:color="auto"/>
            <w:left w:val="none" w:sz="0" w:space="0" w:color="auto"/>
            <w:bottom w:val="none" w:sz="0" w:space="0" w:color="auto"/>
            <w:right w:val="none" w:sz="0" w:space="0" w:color="auto"/>
          </w:divBdr>
        </w:div>
        <w:div w:id="1486121106">
          <w:marLeft w:val="480"/>
          <w:marRight w:val="0"/>
          <w:marTop w:val="0"/>
          <w:marBottom w:val="0"/>
          <w:divBdr>
            <w:top w:val="none" w:sz="0" w:space="0" w:color="auto"/>
            <w:left w:val="none" w:sz="0" w:space="0" w:color="auto"/>
            <w:bottom w:val="none" w:sz="0" w:space="0" w:color="auto"/>
            <w:right w:val="none" w:sz="0" w:space="0" w:color="auto"/>
          </w:divBdr>
        </w:div>
        <w:div w:id="1576551265">
          <w:marLeft w:val="480"/>
          <w:marRight w:val="0"/>
          <w:marTop w:val="0"/>
          <w:marBottom w:val="0"/>
          <w:divBdr>
            <w:top w:val="none" w:sz="0" w:space="0" w:color="auto"/>
            <w:left w:val="none" w:sz="0" w:space="0" w:color="auto"/>
            <w:bottom w:val="none" w:sz="0" w:space="0" w:color="auto"/>
            <w:right w:val="none" w:sz="0" w:space="0" w:color="auto"/>
          </w:divBdr>
        </w:div>
        <w:div w:id="1668241107">
          <w:marLeft w:val="480"/>
          <w:marRight w:val="0"/>
          <w:marTop w:val="0"/>
          <w:marBottom w:val="0"/>
          <w:divBdr>
            <w:top w:val="none" w:sz="0" w:space="0" w:color="auto"/>
            <w:left w:val="none" w:sz="0" w:space="0" w:color="auto"/>
            <w:bottom w:val="none" w:sz="0" w:space="0" w:color="auto"/>
            <w:right w:val="none" w:sz="0" w:space="0" w:color="auto"/>
          </w:divBdr>
        </w:div>
        <w:div w:id="1695499224">
          <w:marLeft w:val="480"/>
          <w:marRight w:val="0"/>
          <w:marTop w:val="0"/>
          <w:marBottom w:val="0"/>
          <w:divBdr>
            <w:top w:val="none" w:sz="0" w:space="0" w:color="auto"/>
            <w:left w:val="none" w:sz="0" w:space="0" w:color="auto"/>
            <w:bottom w:val="none" w:sz="0" w:space="0" w:color="auto"/>
            <w:right w:val="none" w:sz="0" w:space="0" w:color="auto"/>
          </w:divBdr>
        </w:div>
        <w:div w:id="1712337582">
          <w:marLeft w:val="480"/>
          <w:marRight w:val="0"/>
          <w:marTop w:val="0"/>
          <w:marBottom w:val="0"/>
          <w:divBdr>
            <w:top w:val="none" w:sz="0" w:space="0" w:color="auto"/>
            <w:left w:val="none" w:sz="0" w:space="0" w:color="auto"/>
            <w:bottom w:val="none" w:sz="0" w:space="0" w:color="auto"/>
            <w:right w:val="none" w:sz="0" w:space="0" w:color="auto"/>
          </w:divBdr>
        </w:div>
        <w:div w:id="1737632786">
          <w:marLeft w:val="480"/>
          <w:marRight w:val="0"/>
          <w:marTop w:val="0"/>
          <w:marBottom w:val="0"/>
          <w:divBdr>
            <w:top w:val="none" w:sz="0" w:space="0" w:color="auto"/>
            <w:left w:val="none" w:sz="0" w:space="0" w:color="auto"/>
            <w:bottom w:val="none" w:sz="0" w:space="0" w:color="auto"/>
            <w:right w:val="none" w:sz="0" w:space="0" w:color="auto"/>
          </w:divBdr>
        </w:div>
        <w:div w:id="1775855503">
          <w:marLeft w:val="480"/>
          <w:marRight w:val="0"/>
          <w:marTop w:val="0"/>
          <w:marBottom w:val="0"/>
          <w:divBdr>
            <w:top w:val="none" w:sz="0" w:space="0" w:color="auto"/>
            <w:left w:val="none" w:sz="0" w:space="0" w:color="auto"/>
            <w:bottom w:val="none" w:sz="0" w:space="0" w:color="auto"/>
            <w:right w:val="none" w:sz="0" w:space="0" w:color="auto"/>
          </w:divBdr>
        </w:div>
        <w:div w:id="1790204075">
          <w:marLeft w:val="480"/>
          <w:marRight w:val="0"/>
          <w:marTop w:val="0"/>
          <w:marBottom w:val="0"/>
          <w:divBdr>
            <w:top w:val="none" w:sz="0" w:space="0" w:color="auto"/>
            <w:left w:val="none" w:sz="0" w:space="0" w:color="auto"/>
            <w:bottom w:val="none" w:sz="0" w:space="0" w:color="auto"/>
            <w:right w:val="none" w:sz="0" w:space="0" w:color="auto"/>
          </w:divBdr>
        </w:div>
        <w:div w:id="1854029184">
          <w:marLeft w:val="480"/>
          <w:marRight w:val="0"/>
          <w:marTop w:val="0"/>
          <w:marBottom w:val="0"/>
          <w:divBdr>
            <w:top w:val="none" w:sz="0" w:space="0" w:color="auto"/>
            <w:left w:val="none" w:sz="0" w:space="0" w:color="auto"/>
            <w:bottom w:val="none" w:sz="0" w:space="0" w:color="auto"/>
            <w:right w:val="none" w:sz="0" w:space="0" w:color="auto"/>
          </w:divBdr>
        </w:div>
        <w:div w:id="1861772169">
          <w:marLeft w:val="480"/>
          <w:marRight w:val="0"/>
          <w:marTop w:val="0"/>
          <w:marBottom w:val="0"/>
          <w:divBdr>
            <w:top w:val="none" w:sz="0" w:space="0" w:color="auto"/>
            <w:left w:val="none" w:sz="0" w:space="0" w:color="auto"/>
            <w:bottom w:val="none" w:sz="0" w:space="0" w:color="auto"/>
            <w:right w:val="none" w:sz="0" w:space="0" w:color="auto"/>
          </w:divBdr>
        </w:div>
        <w:div w:id="1910267551">
          <w:marLeft w:val="480"/>
          <w:marRight w:val="0"/>
          <w:marTop w:val="0"/>
          <w:marBottom w:val="0"/>
          <w:divBdr>
            <w:top w:val="none" w:sz="0" w:space="0" w:color="auto"/>
            <w:left w:val="none" w:sz="0" w:space="0" w:color="auto"/>
            <w:bottom w:val="none" w:sz="0" w:space="0" w:color="auto"/>
            <w:right w:val="none" w:sz="0" w:space="0" w:color="auto"/>
          </w:divBdr>
        </w:div>
        <w:div w:id="1931157069">
          <w:marLeft w:val="480"/>
          <w:marRight w:val="0"/>
          <w:marTop w:val="0"/>
          <w:marBottom w:val="0"/>
          <w:divBdr>
            <w:top w:val="none" w:sz="0" w:space="0" w:color="auto"/>
            <w:left w:val="none" w:sz="0" w:space="0" w:color="auto"/>
            <w:bottom w:val="none" w:sz="0" w:space="0" w:color="auto"/>
            <w:right w:val="none" w:sz="0" w:space="0" w:color="auto"/>
          </w:divBdr>
        </w:div>
        <w:div w:id="1934895837">
          <w:marLeft w:val="480"/>
          <w:marRight w:val="0"/>
          <w:marTop w:val="0"/>
          <w:marBottom w:val="0"/>
          <w:divBdr>
            <w:top w:val="none" w:sz="0" w:space="0" w:color="auto"/>
            <w:left w:val="none" w:sz="0" w:space="0" w:color="auto"/>
            <w:bottom w:val="none" w:sz="0" w:space="0" w:color="auto"/>
            <w:right w:val="none" w:sz="0" w:space="0" w:color="auto"/>
          </w:divBdr>
        </w:div>
        <w:div w:id="1935162689">
          <w:marLeft w:val="480"/>
          <w:marRight w:val="0"/>
          <w:marTop w:val="0"/>
          <w:marBottom w:val="0"/>
          <w:divBdr>
            <w:top w:val="none" w:sz="0" w:space="0" w:color="auto"/>
            <w:left w:val="none" w:sz="0" w:space="0" w:color="auto"/>
            <w:bottom w:val="none" w:sz="0" w:space="0" w:color="auto"/>
            <w:right w:val="none" w:sz="0" w:space="0" w:color="auto"/>
          </w:divBdr>
        </w:div>
        <w:div w:id="1956129256">
          <w:marLeft w:val="480"/>
          <w:marRight w:val="0"/>
          <w:marTop w:val="0"/>
          <w:marBottom w:val="0"/>
          <w:divBdr>
            <w:top w:val="none" w:sz="0" w:space="0" w:color="auto"/>
            <w:left w:val="none" w:sz="0" w:space="0" w:color="auto"/>
            <w:bottom w:val="none" w:sz="0" w:space="0" w:color="auto"/>
            <w:right w:val="none" w:sz="0" w:space="0" w:color="auto"/>
          </w:divBdr>
        </w:div>
        <w:div w:id="1985500499">
          <w:marLeft w:val="480"/>
          <w:marRight w:val="0"/>
          <w:marTop w:val="0"/>
          <w:marBottom w:val="0"/>
          <w:divBdr>
            <w:top w:val="none" w:sz="0" w:space="0" w:color="auto"/>
            <w:left w:val="none" w:sz="0" w:space="0" w:color="auto"/>
            <w:bottom w:val="none" w:sz="0" w:space="0" w:color="auto"/>
            <w:right w:val="none" w:sz="0" w:space="0" w:color="auto"/>
          </w:divBdr>
        </w:div>
        <w:div w:id="2102215562">
          <w:marLeft w:val="480"/>
          <w:marRight w:val="0"/>
          <w:marTop w:val="0"/>
          <w:marBottom w:val="0"/>
          <w:divBdr>
            <w:top w:val="none" w:sz="0" w:space="0" w:color="auto"/>
            <w:left w:val="none" w:sz="0" w:space="0" w:color="auto"/>
            <w:bottom w:val="none" w:sz="0" w:space="0" w:color="auto"/>
            <w:right w:val="none" w:sz="0" w:space="0" w:color="auto"/>
          </w:divBdr>
        </w:div>
        <w:div w:id="2137989944">
          <w:marLeft w:val="480"/>
          <w:marRight w:val="0"/>
          <w:marTop w:val="0"/>
          <w:marBottom w:val="0"/>
          <w:divBdr>
            <w:top w:val="none" w:sz="0" w:space="0" w:color="auto"/>
            <w:left w:val="none" w:sz="0" w:space="0" w:color="auto"/>
            <w:bottom w:val="none" w:sz="0" w:space="0" w:color="auto"/>
            <w:right w:val="none" w:sz="0" w:space="0" w:color="auto"/>
          </w:divBdr>
        </w:div>
      </w:divsChild>
    </w:div>
    <w:div w:id="869760355">
      <w:bodyDiv w:val="1"/>
      <w:marLeft w:val="0"/>
      <w:marRight w:val="0"/>
      <w:marTop w:val="0"/>
      <w:marBottom w:val="0"/>
      <w:divBdr>
        <w:top w:val="none" w:sz="0" w:space="0" w:color="auto"/>
        <w:left w:val="none" w:sz="0" w:space="0" w:color="auto"/>
        <w:bottom w:val="none" w:sz="0" w:space="0" w:color="auto"/>
        <w:right w:val="none" w:sz="0" w:space="0" w:color="auto"/>
      </w:divBdr>
    </w:div>
    <w:div w:id="881676399">
      <w:bodyDiv w:val="1"/>
      <w:marLeft w:val="0"/>
      <w:marRight w:val="0"/>
      <w:marTop w:val="0"/>
      <w:marBottom w:val="0"/>
      <w:divBdr>
        <w:top w:val="none" w:sz="0" w:space="0" w:color="auto"/>
        <w:left w:val="none" w:sz="0" w:space="0" w:color="auto"/>
        <w:bottom w:val="none" w:sz="0" w:space="0" w:color="auto"/>
        <w:right w:val="none" w:sz="0" w:space="0" w:color="auto"/>
      </w:divBdr>
    </w:div>
    <w:div w:id="892236194">
      <w:bodyDiv w:val="1"/>
      <w:marLeft w:val="0"/>
      <w:marRight w:val="0"/>
      <w:marTop w:val="0"/>
      <w:marBottom w:val="0"/>
      <w:divBdr>
        <w:top w:val="none" w:sz="0" w:space="0" w:color="auto"/>
        <w:left w:val="none" w:sz="0" w:space="0" w:color="auto"/>
        <w:bottom w:val="none" w:sz="0" w:space="0" w:color="auto"/>
        <w:right w:val="none" w:sz="0" w:space="0" w:color="auto"/>
      </w:divBdr>
    </w:div>
    <w:div w:id="892814406">
      <w:bodyDiv w:val="1"/>
      <w:marLeft w:val="0"/>
      <w:marRight w:val="0"/>
      <w:marTop w:val="0"/>
      <w:marBottom w:val="0"/>
      <w:divBdr>
        <w:top w:val="none" w:sz="0" w:space="0" w:color="auto"/>
        <w:left w:val="none" w:sz="0" w:space="0" w:color="auto"/>
        <w:bottom w:val="none" w:sz="0" w:space="0" w:color="auto"/>
        <w:right w:val="none" w:sz="0" w:space="0" w:color="auto"/>
      </w:divBdr>
    </w:div>
    <w:div w:id="894239511">
      <w:bodyDiv w:val="1"/>
      <w:marLeft w:val="0"/>
      <w:marRight w:val="0"/>
      <w:marTop w:val="0"/>
      <w:marBottom w:val="0"/>
      <w:divBdr>
        <w:top w:val="none" w:sz="0" w:space="0" w:color="auto"/>
        <w:left w:val="none" w:sz="0" w:space="0" w:color="auto"/>
        <w:bottom w:val="none" w:sz="0" w:space="0" w:color="auto"/>
        <w:right w:val="none" w:sz="0" w:space="0" w:color="auto"/>
      </w:divBdr>
    </w:div>
    <w:div w:id="901910037">
      <w:bodyDiv w:val="1"/>
      <w:marLeft w:val="0"/>
      <w:marRight w:val="0"/>
      <w:marTop w:val="0"/>
      <w:marBottom w:val="0"/>
      <w:divBdr>
        <w:top w:val="none" w:sz="0" w:space="0" w:color="auto"/>
        <w:left w:val="none" w:sz="0" w:space="0" w:color="auto"/>
        <w:bottom w:val="none" w:sz="0" w:space="0" w:color="auto"/>
        <w:right w:val="none" w:sz="0" w:space="0" w:color="auto"/>
      </w:divBdr>
    </w:div>
    <w:div w:id="904337281">
      <w:bodyDiv w:val="1"/>
      <w:marLeft w:val="0"/>
      <w:marRight w:val="0"/>
      <w:marTop w:val="0"/>
      <w:marBottom w:val="0"/>
      <w:divBdr>
        <w:top w:val="none" w:sz="0" w:space="0" w:color="auto"/>
        <w:left w:val="none" w:sz="0" w:space="0" w:color="auto"/>
        <w:bottom w:val="none" w:sz="0" w:space="0" w:color="auto"/>
        <w:right w:val="none" w:sz="0" w:space="0" w:color="auto"/>
      </w:divBdr>
    </w:div>
    <w:div w:id="906453111">
      <w:bodyDiv w:val="1"/>
      <w:marLeft w:val="0"/>
      <w:marRight w:val="0"/>
      <w:marTop w:val="0"/>
      <w:marBottom w:val="0"/>
      <w:divBdr>
        <w:top w:val="none" w:sz="0" w:space="0" w:color="auto"/>
        <w:left w:val="none" w:sz="0" w:space="0" w:color="auto"/>
        <w:bottom w:val="none" w:sz="0" w:space="0" w:color="auto"/>
        <w:right w:val="none" w:sz="0" w:space="0" w:color="auto"/>
      </w:divBdr>
    </w:div>
    <w:div w:id="913709788">
      <w:bodyDiv w:val="1"/>
      <w:marLeft w:val="0"/>
      <w:marRight w:val="0"/>
      <w:marTop w:val="0"/>
      <w:marBottom w:val="0"/>
      <w:divBdr>
        <w:top w:val="none" w:sz="0" w:space="0" w:color="auto"/>
        <w:left w:val="none" w:sz="0" w:space="0" w:color="auto"/>
        <w:bottom w:val="none" w:sz="0" w:space="0" w:color="auto"/>
        <w:right w:val="none" w:sz="0" w:space="0" w:color="auto"/>
      </w:divBdr>
    </w:div>
    <w:div w:id="917717064">
      <w:bodyDiv w:val="1"/>
      <w:marLeft w:val="0"/>
      <w:marRight w:val="0"/>
      <w:marTop w:val="0"/>
      <w:marBottom w:val="0"/>
      <w:divBdr>
        <w:top w:val="none" w:sz="0" w:space="0" w:color="auto"/>
        <w:left w:val="none" w:sz="0" w:space="0" w:color="auto"/>
        <w:bottom w:val="none" w:sz="0" w:space="0" w:color="auto"/>
        <w:right w:val="none" w:sz="0" w:space="0" w:color="auto"/>
      </w:divBdr>
    </w:div>
    <w:div w:id="921644325">
      <w:bodyDiv w:val="1"/>
      <w:marLeft w:val="0"/>
      <w:marRight w:val="0"/>
      <w:marTop w:val="0"/>
      <w:marBottom w:val="0"/>
      <w:divBdr>
        <w:top w:val="none" w:sz="0" w:space="0" w:color="auto"/>
        <w:left w:val="none" w:sz="0" w:space="0" w:color="auto"/>
        <w:bottom w:val="none" w:sz="0" w:space="0" w:color="auto"/>
        <w:right w:val="none" w:sz="0" w:space="0" w:color="auto"/>
      </w:divBdr>
    </w:div>
    <w:div w:id="924340504">
      <w:bodyDiv w:val="1"/>
      <w:marLeft w:val="0"/>
      <w:marRight w:val="0"/>
      <w:marTop w:val="0"/>
      <w:marBottom w:val="0"/>
      <w:divBdr>
        <w:top w:val="none" w:sz="0" w:space="0" w:color="auto"/>
        <w:left w:val="none" w:sz="0" w:space="0" w:color="auto"/>
        <w:bottom w:val="none" w:sz="0" w:space="0" w:color="auto"/>
        <w:right w:val="none" w:sz="0" w:space="0" w:color="auto"/>
      </w:divBdr>
    </w:div>
    <w:div w:id="925304575">
      <w:bodyDiv w:val="1"/>
      <w:marLeft w:val="0"/>
      <w:marRight w:val="0"/>
      <w:marTop w:val="0"/>
      <w:marBottom w:val="0"/>
      <w:divBdr>
        <w:top w:val="none" w:sz="0" w:space="0" w:color="auto"/>
        <w:left w:val="none" w:sz="0" w:space="0" w:color="auto"/>
        <w:bottom w:val="none" w:sz="0" w:space="0" w:color="auto"/>
        <w:right w:val="none" w:sz="0" w:space="0" w:color="auto"/>
      </w:divBdr>
    </w:div>
    <w:div w:id="930427765">
      <w:bodyDiv w:val="1"/>
      <w:marLeft w:val="0"/>
      <w:marRight w:val="0"/>
      <w:marTop w:val="0"/>
      <w:marBottom w:val="0"/>
      <w:divBdr>
        <w:top w:val="none" w:sz="0" w:space="0" w:color="auto"/>
        <w:left w:val="none" w:sz="0" w:space="0" w:color="auto"/>
        <w:bottom w:val="none" w:sz="0" w:space="0" w:color="auto"/>
        <w:right w:val="none" w:sz="0" w:space="0" w:color="auto"/>
      </w:divBdr>
    </w:div>
    <w:div w:id="935019802">
      <w:bodyDiv w:val="1"/>
      <w:marLeft w:val="0"/>
      <w:marRight w:val="0"/>
      <w:marTop w:val="0"/>
      <w:marBottom w:val="0"/>
      <w:divBdr>
        <w:top w:val="none" w:sz="0" w:space="0" w:color="auto"/>
        <w:left w:val="none" w:sz="0" w:space="0" w:color="auto"/>
        <w:bottom w:val="none" w:sz="0" w:space="0" w:color="auto"/>
        <w:right w:val="none" w:sz="0" w:space="0" w:color="auto"/>
      </w:divBdr>
    </w:div>
    <w:div w:id="938871412">
      <w:bodyDiv w:val="1"/>
      <w:marLeft w:val="0"/>
      <w:marRight w:val="0"/>
      <w:marTop w:val="0"/>
      <w:marBottom w:val="0"/>
      <w:divBdr>
        <w:top w:val="none" w:sz="0" w:space="0" w:color="auto"/>
        <w:left w:val="none" w:sz="0" w:space="0" w:color="auto"/>
        <w:bottom w:val="none" w:sz="0" w:space="0" w:color="auto"/>
        <w:right w:val="none" w:sz="0" w:space="0" w:color="auto"/>
      </w:divBdr>
    </w:div>
    <w:div w:id="946084385">
      <w:bodyDiv w:val="1"/>
      <w:marLeft w:val="0"/>
      <w:marRight w:val="0"/>
      <w:marTop w:val="0"/>
      <w:marBottom w:val="0"/>
      <w:divBdr>
        <w:top w:val="none" w:sz="0" w:space="0" w:color="auto"/>
        <w:left w:val="none" w:sz="0" w:space="0" w:color="auto"/>
        <w:bottom w:val="none" w:sz="0" w:space="0" w:color="auto"/>
        <w:right w:val="none" w:sz="0" w:space="0" w:color="auto"/>
      </w:divBdr>
    </w:div>
    <w:div w:id="953052407">
      <w:bodyDiv w:val="1"/>
      <w:marLeft w:val="0"/>
      <w:marRight w:val="0"/>
      <w:marTop w:val="0"/>
      <w:marBottom w:val="0"/>
      <w:divBdr>
        <w:top w:val="none" w:sz="0" w:space="0" w:color="auto"/>
        <w:left w:val="none" w:sz="0" w:space="0" w:color="auto"/>
        <w:bottom w:val="none" w:sz="0" w:space="0" w:color="auto"/>
        <w:right w:val="none" w:sz="0" w:space="0" w:color="auto"/>
      </w:divBdr>
      <w:divsChild>
        <w:div w:id="36400267">
          <w:marLeft w:val="480"/>
          <w:marRight w:val="0"/>
          <w:marTop w:val="0"/>
          <w:marBottom w:val="0"/>
          <w:divBdr>
            <w:top w:val="none" w:sz="0" w:space="0" w:color="auto"/>
            <w:left w:val="none" w:sz="0" w:space="0" w:color="auto"/>
            <w:bottom w:val="none" w:sz="0" w:space="0" w:color="auto"/>
            <w:right w:val="none" w:sz="0" w:space="0" w:color="auto"/>
          </w:divBdr>
        </w:div>
        <w:div w:id="81881573">
          <w:marLeft w:val="480"/>
          <w:marRight w:val="0"/>
          <w:marTop w:val="0"/>
          <w:marBottom w:val="0"/>
          <w:divBdr>
            <w:top w:val="none" w:sz="0" w:space="0" w:color="auto"/>
            <w:left w:val="none" w:sz="0" w:space="0" w:color="auto"/>
            <w:bottom w:val="none" w:sz="0" w:space="0" w:color="auto"/>
            <w:right w:val="none" w:sz="0" w:space="0" w:color="auto"/>
          </w:divBdr>
        </w:div>
        <w:div w:id="134566410">
          <w:marLeft w:val="480"/>
          <w:marRight w:val="0"/>
          <w:marTop w:val="0"/>
          <w:marBottom w:val="0"/>
          <w:divBdr>
            <w:top w:val="none" w:sz="0" w:space="0" w:color="auto"/>
            <w:left w:val="none" w:sz="0" w:space="0" w:color="auto"/>
            <w:bottom w:val="none" w:sz="0" w:space="0" w:color="auto"/>
            <w:right w:val="none" w:sz="0" w:space="0" w:color="auto"/>
          </w:divBdr>
        </w:div>
        <w:div w:id="140969890">
          <w:marLeft w:val="480"/>
          <w:marRight w:val="0"/>
          <w:marTop w:val="0"/>
          <w:marBottom w:val="0"/>
          <w:divBdr>
            <w:top w:val="none" w:sz="0" w:space="0" w:color="auto"/>
            <w:left w:val="none" w:sz="0" w:space="0" w:color="auto"/>
            <w:bottom w:val="none" w:sz="0" w:space="0" w:color="auto"/>
            <w:right w:val="none" w:sz="0" w:space="0" w:color="auto"/>
          </w:divBdr>
        </w:div>
        <w:div w:id="183057394">
          <w:marLeft w:val="480"/>
          <w:marRight w:val="0"/>
          <w:marTop w:val="0"/>
          <w:marBottom w:val="0"/>
          <w:divBdr>
            <w:top w:val="none" w:sz="0" w:space="0" w:color="auto"/>
            <w:left w:val="none" w:sz="0" w:space="0" w:color="auto"/>
            <w:bottom w:val="none" w:sz="0" w:space="0" w:color="auto"/>
            <w:right w:val="none" w:sz="0" w:space="0" w:color="auto"/>
          </w:divBdr>
        </w:div>
        <w:div w:id="208732699">
          <w:marLeft w:val="480"/>
          <w:marRight w:val="0"/>
          <w:marTop w:val="0"/>
          <w:marBottom w:val="0"/>
          <w:divBdr>
            <w:top w:val="none" w:sz="0" w:space="0" w:color="auto"/>
            <w:left w:val="none" w:sz="0" w:space="0" w:color="auto"/>
            <w:bottom w:val="none" w:sz="0" w:space="0" w:color="auto"/>
            <w:right w:val="none" w:sz="0" w:space="0" w:color="auto"/>
          </w:divBdr>
        </w:div>
        <w:div w:id="245699358">
          <w:marLeft w:val="480"/>
          <w:marRight w:val="0"/>
          <w:marTop w:val="0"/>
          <w:marBottom w:val="0"/>
          <w:divBdr>
            <w:top w:val="none" w:sz="0" w:space="0" w:color="auto"/>
            <w:left w:val="none" w:sz="0" w:space="0" w:color="auto"/>
            <w:bottom w:val="none" w:sz="0" w:space="0" w:color="auto"/>
            <w:right w:val="none" w:sz="0" w:space="0" w:color="auto"/>
          </w:divBdr>
        </w:div>
        <w:div w:id="301933120">
          <w:marLeft w:val="480"/>
          <w:marRight w:val="0"/>
          <w:marTop w:val="0"/>
          <w:marBottom w:val="0"/>
          <w:divBdr>
            <w:top w:val="none" w:sz="0" w:space="0" w:color="auto"/>
            <w:left w:val="none" w:sz="0" w:space="0" w:color="auto"/>
            <w:bottom w:val="none" w:sz="0" w:space="0" w:color="auto"/>
            <w:right w:val="none" w:sz="0" w:space="0" w:color="auto"/>
          </w:divBdr>
        </w:div>
        <w:div w:id="305010940">
          <w:marLeft w:val="480"/>
          <w:marRight w:val="0"/>
          <w:marTop w:val="0"/>
          <w:marBottom w:val="0"/>
          <w:divBdr>
            <w:top w:val="none" w:sz="0" w:space="0" w:color="auto"/>
            <w:left w:val="none" w:sz="0" w:space="0" w:color="auto"/>
            <w:bottom w:val="none" w:sz="0" w:space="0" w:color="auto"/>
            <w:right w:val="none" w:sz="0" w:space="0" w:color="auto"/>
          </w:divBdr>
        </w:div>
        <w:div w:id="308756441">
          <w:marLeft w:val="480"/>
          <w:marRight w:val="0"/>
          <w:marTop w:val="0"/>
          <w:marBottom w:val="0"/>
          <w:divBdr>
            <w:top w:val="none" w:sz="0" w:space="0" w:color="auto"/>
            <w:left w:val="none" w:sz="0" w:space="0" w:color="auto"/>
            <w:bottom w:val="none" w:sz="0" w:space="0" w:color="auto"/>
            <w:right w:val="none" w:sz="0" w:space="0" w:color="auto"/>
          </w:divBdr>
        </w:div>
        <w:div w:id="351152319">
          <w:marLeft w:val="480"/>
          <w:marRight w:val="0"/>
          <w:marTop w:val="0"/>
          <w:marBottom w:val="0"/>
          <w:divBdr>
            <w:top w:val="none" w:sz="0" w:space="0" w:color="auto"/>
            <w:left w:val="none" w:sz="0" w:space="0" w:color="auto"/>
            <w:bottom w:val="none" w:sz="0" w:space="0" w:color="auto"/>
            <w:right w:val="none" w:sz="0" w:space="0" w:color="auto"/>
          </w:divBdr>
        </w:div>
        <w:div w:id="382826578">
          <w:marLeft w:val="480"/>
          <w:marRight w:val="0"/>
          <w:marTop w:val="0"/>
          <w:marBottom w:val="0"/>
          <w:divBdr>
            <w:top w:val="none" w:sz="0" w:space="0" w:color="auto"/>
            <w:left w:val="none" w:sz="0" w:space="0" w:color="auto"/>
            <w:bottom w:val="none" w:sz="0" w:space="0" w:color="auto"/>
            <w:right w:val="none" w:sz="0" w:space="0" w:color="auto"/>
          </w:divBdr>
        </w:div>
        <w:div w:id="384183953">
          <w:marLeft w:val="480"/>
          <w:marRight w:val="0"/>
          <w:marTop w:val="0"/>
          <w:marBottom w:val="0"/>
          <w:divBdr>
            <w:top w:val="none" w:sz="0" w:space="0" w:color="auto"/>
            <w:left w:val="none" w:sz="0" w:space="0" w:color="auto"/>
            <w:bottom w:val="none" w:sz="0" w:space="0" w:color="auto"/>
            <w:right w:val="none" w:sz="0" w:space="0" w:color="auto"/>
          </w:divBdr>
        </w:div>
        <w:div w:id="385034276">
          <w:marLeft w:val="480"/>
          <w:marRight w:val="0"/>
          <w:marTop w:val="0"/>
          <w:marBottom w:val="0"/>
          <w:divBdr>
            <w:top w:val="none" w:sz="0" w:space="0" w:color="auto"/>
            <w:left w:val="none" w:sz="0" w:space="0" w:color="auto"/>
            <w:bottom w:val="none" w:sz="0" w:space="0" w:color="auto"/>
            <w:right w:val="none" w:sz="0" w:space="0" w:color="auto"/>
          </w:divBdr>
        </w:div>
        <w:div w:id="415983921">
          <w:marLeft w:val="480"/>
          <w:marRight w:val="0"/>
          <w:marTop w:val="0"/>
          <w:marBottom w:val="0"/>
          <w:divBdr>
            <w:top w:val="none" w:sz="0" w:space="0" w:color="auto"/>
            <w:left w:val="none" w:sz="0" w:space="0" w:color="auto"/>
            <w:bottom w:val="none" w:sz="0" w:space="0" w:color="auto"/>
            <w:right w:val="none" w:sz="0" w:space="0" w:color="auto"/>
          </w:divBdr>
        </w:div>
        <w:div w:id="422260861">
          <w:marLeft w:val="480"/>
          <w:marRight w:val="0"/>
          <w:marTop w:val="0"/>
          <w:marBottom w:val="0"/>
          <w:divBdr>
            <w:top w:val="none" w:sz="0" w:space="0" w:color="auto"/>
            <w:left w:val="none" w:sz="0" w:space="0" w:color="auto"/>
            <w:bottom w:val="none" w:sz="0" w:space="0" w:color="auto"/>
            <w:right w:val="none" w:sz="0" w:space="0" w:color="auto"/>
          </w:divBdr>
        </w:div>
        <w:div w:id="525294749">
          <w:marLeft w:val="480"/>
          <w:marRight w:val="0"/>
          <w:marTop w:val="0"/>
          <w:marBottom w:val="0"/>
          <w:divBdr>
            <w:top w:val="none" w:sz="0" w:space="0" w:color="auto"/>
            <w:left w:val="none" w:sz="0" w:space="0" w:color="auto"/>
            <w:bottom w:val="none" w:sz="0" w:space="0" w:color="auto"/>
            <w:right w:val="none" w:sz="0" w:space="0" w:color="auto"/>
          </w:divBdr>
        </w:div>
        <w:div w:id="549272630">
          <w:marLeft w:val="480"/>
          <w:marRight w:val="0"/>
          <w:marTop w:val="0"/>
          <w:marBottom w:val="0"/>
          <w:divBdr>
            <w:top w:val="none" w:sz="0" w:space="0" w:color="auto"/>
            <w:left w:val="none" w:sz="0" w:space="0" w:color="auto"/>
            <w:bottom w:val="none" w:sz="0" w:space="0" w:color="auto"/>
            <w:right w:val="none" w:sz="0" w:space="0" w:color="auto"/>
          </w:divBdr>
        </w:div>
        <w:div w:id="585963583">
          <w:marLeft w:val="480"/>
          <w:marRight w:val="0"/>
          <w:marTop w:val="0"/>
          <w:marBottom w:val="0"/>
          <w:divBdr>
            <w:top w:val="none" w:sz="0" w:space="0" w:color="auto"/>
            <w:left w:val="none" w:sz="0" w:space="0" w:color="auto"/>
            <w:bottom w:val="none" w:sz="0" w:space="0" w:color="auto"/>
            <w:right w:val="none" w:sz="0" w:space="0" w:color="auto"/>
          </w:divBdr>
        </w:div>
        <w:div w:id="595288748">
          <w:marLeft w:val="480"/>
          <w:marRight w:val="0"/>
          <w:marTop w:val="0"/>
          <w:marBottom w:val="0"/>
          <w:divBdr>
            <w:top w:val="none" w:sz="0" w:space="0" w:color="auto"/>
            <w:left w:val="none" w:sz="0" w:space="0" w:color="auto"/>
            <w:bottom w:val="none" w:sz="0" w:space="0" w:color="auto"/>
            <w:right w:val="none" w:sz="0" w:space="0" w:color="auto"/>
          </w:divBdr>
        </w:div>
        <w:div w:id="605115927">
          <w:marLeft w:val="480"/>
          <w:marRight w:val="0"/>
          <w:marTop w:val="0"/>
          <w:marBottom w:val="0"/>
          <w:divBdr>
            <w:top w:val="none" w:sz="0" w:space="0" w:color="auto"/>
            <w:left w:val="none" w:sz="0" w:space="0" w:color="auto"/>
            <w:bottom w:val="none" w:sz="0" w:space="0" w:color="auto"/>
            <w:right w:val="none" w:sz="0" w:space="0" w:color="auto"/>
          </w:divBdr>
        </w:div>
        <w:div w:id="615332642">
          <w:marLeft w:val="480"/>
          <w:marRight w:val="0"/>
          <w:marTop w:val="0"/>
          <w:marBottom w:val="0"/>
          <w:divBdr>
            <w:top w:val="none" w:sz="0" w:space="0" w:color="auto"/>
            <w:left w:val="none" w:sz="0" w:space="0" w:color="auto"/>
            <w:bottom w:val="none" w:sz="0" w:space="0" w:color="auto"/>
            <w:right w:val="none" w:sz="0" w:space="0" w:color="auto"/>
          </w:divBdr>
        </w:div>
        <w:div w:id="639305826">
          <w:marLeft w:val="480"/>
          <w:marRight w:val="0"/>
          <w:marTop w:val="0"/>
          <w:marBottom w:val="0"/>
          <w:divBdr>
            <w:top w:val="none" w:sz="0" w:space="0" w:color="auto"/>
            <w:left w:val="none" w:sz="0" w:space="0" w:color="auto"/>
            <w:bottom w:val="none" w:sz="0" w:space="0" w:color="auto"/>
            <w:right w:val="none" w:sz="0" w:space="0" w:color="auto"/>
          </w:divBdr>
        </w:div>
        <w:div w:id="648050269">
          <w:marLeft w:val="480"/>
          <w:marRight w:val="0"/>
          <w:marTop w:val="0"/>
          <w:marBottom w:val="0"/>
          <w:divBdr>
            <w:top w:val="none" w:sz="0" w:space="0" w:color="auto"/>
            <w:left w:val="none" w:sz="0" w:space="0" w:color="auto"/>
            <w:bottom w:val="none" w:sz="0" w:space="0" w:color="auto"/>
            <w:right w:val="none" w:sz="0" w:space="0" w:color="auto"/>
          </w:divBdr>
        </w:div>
        <w:div w:id="681858919">
          <w:marLeft w:val="480"/>
          <w:marRight w:val="0"/>
          <w:marTop w:val="0"/>
          <w:marBottom w:val="0"/>
          <w:divBdr>
            <w:top w:val="none" w:sz="0" w:space="0" w:color="auto"/>
            <w:left w:val="none" w:sz="0" w:space="0" w:color="auto"/>
            <w:bottom w:val="none" w:sz="0" w:space="0" w:color="auto"/>
            <w:right w:val="none" w:sz="0" w:space="0" w:color="auto"/>
          </w:divBdr>
        </w:div>
        <w:div w:id="694817729">
          <w:marLeft w:val="480"/>
          <w:marRight w:val="0"/>
          <w:marTop w:val="0"/>
          <w:marBottom w:val="0"/>
          <w:divBdr>
            <w:top w:val="none" w:sz="0" w:space="0" w:color="auto"/>
            <w:left w:val="none" w:sz="0" w:space="0" w:color="auto"/>
            <w:bottom w:val="none" w:sz="0" w:space="0" w:color="auto"/>
            <w:right w:val="none" w:sz="0" w:space="0" w:color="auto"/>
          </w:divBdr>
        </w:div>
        <w:div w:id="749303935">
          <w:marLeft w:val="480"/>
          <w:marRight w:val="0"/>
          <w:marTop w:val="0"/>
          <w:marBottom w:val="0"/>
          <w:divBdr>
            <w:top w:val="none" w:sz="0" w:space="0" w:color="auto"/>
            <w:left w:val="none" w:sz="0" w:space="0" w:color="auto"/>
            <w:bottom w:val="none" w:sz="0" w:space="0" w:color="auto"/>
            <w:right w:val="none" w:sz="0" w:space="0" w:color="auto"/>
          </w:divBdr>
        </w:div>
        <w:div w:id="764961846">
          <w:marLeft w:val="480"/>
          <w:marRight w:val="0"/>
          <w:marTop w:val="0"/>
          <w:marBottom w:val="0"/>
          <w:divBdr>
            <w:top w:val="none" w:sz="0" w:space="0" w:color="auto"/>
            <w:left w:val="none" w:sz="0" w:space="0" w:color="auto"/>
            <w:bottom w:val="none" w:sz="0" w:space="0" w:color="auto"/>
            <w:right w:val="none" w:sz="0" w:space="0" w:color="auto"/>
          </w:divBdr>
        </w:div>
        <w:div w:id="818961424">
          <w:marLeft w:val="480"/>
          <w:marRight w:val="0"/>
          <w:marTop w:val="0"/>
          <w:marBottom w:val="0"/>
          <w:divBdr>
            <w:top w:val="none" w:sz="0" w:space="0" w:color="auto"/>
            <w:left w:val="none" w:sz="0" w:space="0" w:color="auto"/>
            <w:bottom w:val="none" w:sz="0" w:space="0" w:color="auto"/>
            <w:right w:val="none" w:sz="0" w:space="0" w:color="auto"/>
          </w:divBdr>
        </w:div>
        <w:div w:id="835650738">
          <w:marLeft w:val="480"/>
          <w:marRight w:val="0"/>
          <w:marTop w:val="0"/>
          <w:marBottom w:val="0"/>
          <w:divBdr>
            <w:top w:val="none" w:sz="0" w:space="0" w:color="auto"/>
            <w:left w:val="none" w:sz="0" w:space="0" w:color="auto"/>
            <w:bottom w:val="none" w:sz="0" w:space="0" w:color="auto"/>
            <w:right w:val="none" w:sz="0" w:space="0" w:color="auto"/>
          </w:divBdr>
        </w:div>
        <w:div w:id="842092186">
          <w:marLeft w:val="480"/>
          <w:marRight w:val="0"/>
          <w:marTop w:val="0"/>
          <w:marBottom w:val="0"/>
          <w:divBdr>
            <w:top w:val="none" w:sz="0" w:space="0" w:color="auto"/>
            <w:left w:val="none" w:sz="0" w:space="0" w:color="auto"/>
            <w:bottom w:val="none" w:sz="0" w:space="0" w:color="auto"/>
            <w:right w:val="none" w:sz="0" w:space="0" w:color="auto"/>
          </w:divBdr>
        </w:div>
        <w:div w:id="861820729">
          <w:marLeft w:val="480"/>
          <w:marRight w:val="0"/>
          <w:marTop w:val="0"/>
          <w:marBottom w:val="0"/>
          <w:divBdr>
            <w:top w:val="none" w:sz="0" w:space="0" w:color="auto"/>
            <w:left w:val="none" w:sz="0" w:space="0" w:color="auto"/>
            <w:bottom w:val="none" w:sz="0" w:space="0" w:color="auto"/>
            <w:right w:val="none" w:sz="0" w:space="0" w:color="auto"/>
          </w:divBdr>
        </w:div>
        <w:div w:id="910313899">
          <w:marLeft w:val="480"/>
          <w:marRight w:val="0"/>
          <w:marTop w:val="0"/>
          <w:marBottom w:val="0"/>
          <w:divBdr>
            <w:top w:val="none" w:sz="0" w:space="0" w:color="auto"/>
            <w:left w:val="none" w:sz="0" w:space="0" w:color="auto"/>
            <w:bottom w:val="none" w:sz="0" w:space="0" w:color="auto"/>
            <w:right w:val="none" w:sz="0" w:space="0" w:color="auto"/>
          </w:divBdr>
        </w:div>
        <w:div w:id="1051928047">
          <w:marLeft w:val="480"/>
          <w:marRight w:val="0"/>
          <w:marTop w:val="0"/>
          <w:marBottom w:val="0"/>
          <w:divBdr>
            <w:top w:val="none" w:sz="0" w:space="0" w:color="auto"/>
            <w:left w:val="none" w:sz="0" w:space="0" w:color="auto"/>
            <w:bottom w:val="none" w:sz="0" w:space="0" w:color="auto"/>
            <w:right w:val="none" w:sz="0" w:space="0" w:color="auto"/>
          </w:divBdr>
        </w:div>
        <w:div w:id="1093236424">
          <w:marLeft w:val="480"/>
          <w:marRight w:val="0"/>
          <w:marTop w:val="0"/>
          <w:marBottom w:val="0"/>
          <w:divBdr>
            <w:top w:val="none" w:sz="0" w:space="0" w:color="auto"/>
            <w:left w:val="none" w:sz="0" w:space="0" w:color="auto"/>
            <w:bottom w:val="none" w:sz="0" w:space="0" w:color="auto"/>
            <w:right w:val="none" w:sz="0" w:space="0" w:color="auto"/>
          </w:divBdr>
        </w:div>
        <w:div w:id="1095175099">
          <w:marLeft w:val="480"/>
          <w:marRight w:val="0"/>
          <w:marTop w:val="0"/>
          <w:marBottom w:val="0"/>
          <w:divBdr>
            <w:top w:val="none" w:sz="0" w:space="0" w:color="auto"/>
            <w:left w:val="none" w:sz="0" w:space="0" w:color="auto"/>
            <w:bottom w:val="none" w:sz="0" w:space="0" w:color="auto"/>
            <w:right w:val="none" w:sz="0" w:space="0" w:color="auto"/>
          </w:divBdr>
        </w:div>
        <w:div w:id="1123378273">
          <w:marLeft w:val="480"/>
          <w:marRight w:val="0"/>
          <w:marTop w:val="0"/>
          <w:marBottom w:val="0"/>
          <w:divBdr>
            <w:top w:val="none" w:sz="0" w:space="0" w:color="auto"/>
            <w:left w:val="none" w:sz="0" w:space="0" w:color="auto"/>
            <w:bottom w:val="none" w:sz="0" w:space="0" w:color="auto"/>
            <w:right w:val="none" w:sz="0" w:space="0" w:color="auto"/>
          </w:divBdr>
        </w:div>
        <w:div w:id="1135491601">
          <w:marLeft w:val="480"/>
          <w:marRight w:val="0"/>
          <w:marTop w:val="0"/>
          <w:marBottom w:val="0"/>
          <w:divBdr>
            <w:top w:val="none" w:sz="0" w:space="0" w:color="auto"/>
            <w:left w:val="none" w:sz="0" w:space="0" w:color="auto"/>
            <w:bottom w:val="none" w:sz="0" w:space="0" w:color="auto"/>
            <w:right w:val="none" w:sz="0" w:space="0" w:color="auto"/>
          </w:divBdr>
        </w:div>
        <w:div w:id="1154566490">
          <w:marLeft w:val="480"/>
          <w:marRight w:val="0"/>
          <w:marTop w:val="0"/>
          <w:marBottom w:val="0"/>
          <w:divBdr>
            <w:top w:val="none" w:sz="0" w:space="0" w:color="auto"/>
            <w:left w:val="none" w:sz="0" w:space="0" w:color="auto"/>
            <w:bottom w:val="none" w:sz="0" w:space="0" w:color="auto"/>
            <w:right w:val="none" w:sz="0" w:space="0" w:color="auto"/>
          </w:divBdr>
        </w:div>
        <w:div w:id="1167017621">
          <w:marLeft w:val="480"/>
          <w:marRight w:val="0"/>
          <w:marTop w:val="0"/>
          <w:marBottom w:val="0"/>
          <w:divBdr>
            <w:top w:val="none" w:sz="0" w:space="0" w:color="auto"/>
            <w:left w:val="none" w:sz="0" w:space="0" w:color="auto"/>
            <w:bottom w:val="none" w:sz="0" w:space="0" w:color="auto"/>
            <w:right w:val="none" w:sz="0" w:space="0" w:color="auto"/>
          </w:divBdr>
        </w:div>
        <w:div w:id="1205214450">
          <w:marLeft w:val="480"/>
          <w:marRight w:val="0"/>
          <w:marTop w:val="0"/>
          <w:marBottom w:val="0"/>
          <w:divBdr>
            <w:top w:val="none" w:sz="0" w:space="0" w:color="auto"/>
            <w:left w:val="none" w:sz="0" w:space="0" w:color="auto"/>
            <w:bottom w:val="none" w:sz="0" w:space="0" w:color="auto"/>
            <w:right w:val="none" w:sz="0" w:space="0" w:color="auto"/>
          </w:divBdr>
        </w:div>
        <w:div w:id="1235507901">
          <w:marLeft w:val="480"/>
          <w:marRight w:val="0"/>
          <w:marTop w:val="0"/>
          <w:marBottom w:val="0"/>
          <w:divBdr>
            <w:top w:val="none" w:sz="0" w:space="0" w:color="auto"/>
            <w:left w:val="none" w:sz="0" w:space="0" w:color="auto"/>
            <w:bottom w:val="none" w:sz="0" w:space="0" w:color="auto"/>
            <w:right w:val="none" w:sz="0" w:space="0" w:color="auto"/>
          </w:divBdr>
        </w:div>
        <w:div w:id="1258559163">
          <w:marLeft w:val="480"/>
          <w:marRight w:val="0"/>
          <w:marTop w:val="0"/>
          <w:marBottom w:val="0"/>
          <w:divBdr>
            <w:top w:val="none" w:sz="0" w:space="0" w:color="auto"/>
            <w:left w:val="none" w:sz="0" w:space="0" w:color="auto"/>
            <w:bottom w:val="none" w:sz="0" w:space="0" w:color="auto"/>
            <w:right w:val="none" w:sz="0" w:space="0" w:color="auto"/>
          </w:divBdr>
        </w:div>
        <w:div w:id="1278102536">
          <w:marLeft w:val="480"/>
          <w:marRight w:val="0"/>
          <w:marTop w:val="0"/>
          <w:marBottom w:val="0"/>
          <w:divBdr>
            <w:top w:val="none" w:sz="0" w:space="0" w:color="auto"/>
            <w:left w:val="none" w:sz="0" w:space="0" w:color="auto"/>
            <w:bottom w:val="none" w:sz="0" w:space="0" w:color="auto"/>
            <w:right w:val="none" w:sz="0" w:space="0" w:color="auto"/>
          </w:divBdr>
        </w:div>
        <w:div w:id="1284657256">
          <w:marLeft w:val="480"/>
          <w:marRight w:val="0"/>
          <w:marTop w:val="0"/>
          <w:marBottom w:val="0"/>
          <w:divBdr>
            <w:top w:val="none" w:sz="0" w:space="0" w:color="auto"/>
            <w:left w:val="none" w:sz="0" w:space="0" w:color="auto"/>
            <w:bottom w:val="none" w:sz="0" w:space="0" w:color="auto"/>
            <w:right w:val="none" w:sz="0" w:space="0" w:color="auto"/>
          </w:divBdr>
        </w:div>
        <w:div w:id="1306198688">
          <w:marLeft w:val="480"/>
          <w:marRight w:val="0"/>
          <w:marTop w:val="0"/>
          <w:marBottom w:val="0"/>
          <w:divBdr>
            <w:top w:val="none" w:sz="0" w:space="0" w:color="auto"/>
            <w:left w:val="none" w:sz="0" w:space="0" w:color="auto"/>
            <w:bottom w:val="none" w:sz="0" w:space="0" w:color="auto"/>
            <w:right w:val="none" w:sz="0" w:space="0" w:color="auto"/>
          </w:divBdr>
        </w:div>
        <w:div w:id="1331787979">
          <w:marLeft w:val="480"/>
          <w:marRight w:val="0"/>
          <w:marTop w:val="0"/>
          <w:marBottom w:val="0"/>
          <w:divBdr>
            <w:top w:val="none" w:sz="0" w:space="0" w:color="auto"/>
            <w:left w:val="none" w:sz="0" w:space="0" w:color="auto"/>
            <w:bottom w:val="none" w:sz="0" w:space="0" w:color="auto"/>
            <w:right w:val="none" w:sz="0" w:space="0" w:color="auto"/>
          </w:divBdr>
        </w:div>
        <w:div w:id="1337734306">
          <w:marLeft w:val="480"/>
          <w:marRight w:val="0"/>
          <w:marTop w:val="0"/>
          <w:marBottom w:val="0"/>
          <w:divBdr>
            <w:top w:val="none" w:sz="0" w:space="0" w:color="auto"/>
            <w:left w:val="none" w:sz="0" w:space="0" w:color="auto"/>
            <w:bottom w:val="none" w:sz="0" w:space="0" w:color="auto"/>
            <w:right w:val="none" w:sz="0" w:space="0" w:color="auto"/>
          </w:divBdr>
        </w:div>
        <w:div w:id="1422678333">
          <w:marLeft w:val="480"/>
          <w:marRight w:val="0"/>
          <w:marTop w:val="0"/>
          <w:marBottom w:val="0"/>
          <w:divBdr>
            <w:top w:val="none" w:sz="0" w:space="0" w:color="auto"/>
            <w:left w:val="none" w:sz="0" w:space="0" w:color="auto"/>
            <w:bottom w:val="none" w:sz="0" w:space="0" w:color="auto"/>
            <w:right w:val="none" w:sz="0" w:space="0" w:color="auto"/>
          </w:divBdr>
        </w:div>
        <w:div w:id="1423457423">
          <w:marLeft w:val="480"/>
          <w:marRight w:val="0"/>
          <w:marTop w:val="0"/>
          <w:marBottom w:val="0"/>
          <w:divBdr>
            <w:top w:val="none" w:sz="0" w:space="0" w:color="auto"/>
            <w:left w:val="none" w:sz="0" w:space="0" w:color="auto"/>
            <w:bottom w:val="none" w:sz="0" w:space="0" w:color="auto"/>
            <w:right w:val="none" w:sz="0" w:space="0" w:color="auto"/>
          </w:divBdr>
        </w:div>
        <w:div w:id="1429354775">
          <w:marLeft w:val="480"/>
          <w:marRight w:val="0"/>
          <w:marTop w:val="0"/>
          <w:marBottom w:val="0"/>
          <w:divBdr>
            <w:top w:val="none" w:sz="0" w:space="0" w:color="auto"/>
            <w:left w:val="none" w:sz="0" w:space="0" w:color="auto"/>
            <w:bottom w:val="none" w:sz="0" w:space="0" w:color="auto"/>
            <w:right w:val="none" w:sz="0" w:space="0" w:color="auto"/>
          </w:divBdr>
        </w:div>
        <w:div w:id="1440180087">
          <w:marLeft w:val="480"/>
          <w:marRight w:val="0"/>
          <w:marTop w:val="0"/>
          <w:marBottom w:val="0"/>
          <w:divBdr>
            <w:top w:val="none" w:sz="0" w:space="0" w:color="auto"/>
            <w:left w:val="none" w:sz="0" w:space="0" w:color="auto"/>
            <w:bottom w:val="none" w:sz="0" w:space="0" w:color="auto"/>
            <w:right w:val="none" w:sz="0" w:space="0" w:color="auto"/>
          </w:divBdr>
        </w:div>
        <w:div w:id="1649020377">
          <w:marLeft w:val="480"/>
          <w:marRight w:val="0"/>
          <w:marTop w:val="0"/>
          <w:marBottom w:val="0"/>
          <w:divBdr>
            <w:top w:val="none" w:sz="0" w:space="0" w:color="auto"/>
            <w:left w:val="none" w:sz="0" w:space="0" w:color="auto"/>
            <w:bottom w:val="none" w:sz="0" w:space="0" w:color="auto"/>
            <w:right w:val="none" w:sz="0" w:space="0" w:color="auto"/>
          </w:divBdr>
        </w:div>
        <w:div w:id="1670056384">
          <w:marLeft w:val="480"/>
          <w:marRight w:val="0"/>
          <w:marTop w:val="0"/>
          <w:marBottom w:val="0"/>
          <w:divBdr>
            <w:top w:val="none" w:sz="0" w:space="0" w:color="auto"/>
            <w:left w:val="none" w:sz="0" w:space="0" w:color="auto"/>
            <w:bottom w:val="none" w:sz="0" w:space="0" w:color="auto"/>
            <w:right w:val="none" w:sz="0" w:space="0" w:color="auto"/>
          </w:divBdr>
        </w:div>
        <w:div w:id="1792281562">
          <w:marLeft w:val="480"/>
          <w:marRight w:val="0"/>
          <w:marTop w:val="0"/>
          <w:marBottom w:val="0"/>
          <w:divBdr>
            <w:top w:val="none" w:sz="0" w:space="0" w:color="auto"/>
            <w:left w:val="none" w:sz="0" w:space="0" w:color="auto"/>
            <w:bottom w:val="none" w:sz="0" w:space="0" w:color="auto"/>
            <w:right w:val="none" w:sz="0" w:space="0" w:color="auto"/>
          </w:divBdr>
        </w:div>
        <w:div w:id="1905990258">
          <w:marLeft w:val="480"/>
          <w:marRight w:val="0"/>
          <w:marTop w:val="0"/>
          <w:marBottom w:val="0"/>
          <w:divBdr>
            <w:top w:val="none" w:sz="0" w:space="0" w:color="auto"/>
            <w:left w:val="none" w:sz="0" w:space="0" w:color="auto"/>
            <w:bottom w:val="none" w:sz="0" w:space="0" w:color="auto"/>
            <w:right w:val="none" w:sz="0" w:space="0" w:color="auto"/>
          </w:divBdr>
        </w:div>
        <w:div w:id="1939824942">
          <w:marLeft w:val="480"/>
          <w:marRight w:val="0"/>
          <w:marTop w:val="0"/>
          <w:marBottom w:val="0"/>
          <w:divBdr>
            <w:top w:val="none" w:sz="0" w:space="0" w:color="auto"/>
            <w:left w:val="none" w:sz="0" w:space="0" w:color="auto"/>
            <w:bottom w:val="none" w:sz="0" w:space="0" w:color="auto"/>
            <w:right w:val="none" w:sz="0" w:space="0" w:color="auto"/>
          </w:divBdr>
        </w:div>
        <w:div w:id="2016959363">
          <w:marLeft w:val="480"/>
          <w:marRight w:val="0"/>
          <w:marTop w:val="0"/>
          <w:marBottom w:val="0"/>
          <w:divBdr>
            <w:top w:val="none" w:sz="0" w:space="0" w:color="auto"/>
            <w:left w:val="none" w:sz="0" w:space="0" w:color="auto"/>
            <w:bottom w:val="none" w:sz="0" w:space="0" w:color="auto"/>
            <w:right w:val="none" w:sz="0" w:space="0" w:color="auto"/>
          </w:divBdr>
        </w:div>
        <w:div w:id="2026862882">
          <w:marLeft w:val="480"/>
          <w:marRight w:val="0"/>
          <w:marTop w:val="0"/>
          <w:marBottom w:val="0"/>
          <w:divBdr>
            <w:top w:val="none" w:sz="0" w:space="0" w:color="auto"/>
            <w:left w:val="none" w:sz="0" w:space="0" w:color="auto"/>
            <w:bottom w:val="none" w:sz="0" w:space="0" w:color="auto"/>
            <w:right w:val="none" w:sz="0" w:space="0" w:color="auto"/>
          </w:divBdr>
        </w:div>
        <w:div w:id="2046363498">
          <w:marLeft w:val="480"/>
          <w:marRight w:val="0"/>
          <w:marTop w:val="0"/>
          <w:marBottom w:val="0"/>
          <w:divBdr>
            <w:top w:val="none" w:sz="0" w:space="0" w:color="auto"/>
            <w:left w:val="none" w:sz="0" w:space="0" w:color="auto"/>
            <w:bottom w:val="none" w:sz="0" w:space="0" w:color="auto"/>
            <w:right w:val="none" w:sz="0" w:space="0" w:color="auto"/>
          </w:divBdr>
        </w:div>
        <w:div w:id="2057462482">
          <w:marLeft w:val="480"/>
          <w:marRight w:val="0"/>
          <w:marTop w:val="0"/>
          <w:marBottom w:val="0"/>
          <w:divBdr>
            <w:top w:val="none" w:sz="0" w:space="0" w:color="auto"/>
            <w:left w:val="none" w:sz="0" w:space="0" w:color="auto"/>
            <w:bottom w:val="none" w:sz="0" w:space="0" w:color="auto"/>
            <w:right w:val="none" w:sz="0" w:space="0" w:color="auto"/>
          </w:divBdr>
        </w:div>
        <w:div w:id="2080711261">
          <w:marLeft w:val="480"/>
          <w:marRight w:val="0"/>
          <w:marTop w:val="0"/>
          <w:marBottom w:val="0"/>
          <w:divBdr>
            <w:top w:val="none" w:sz="0" w:space="0" w:color="auto"/>
            <w:left w:val="none" w:sz="0" w:space="0" w:color="auto"/>
            <w:bottom w:val="none" w:sz="0" w:space="0" w:color="auto"/>
            <w:right w:val="none" w:sz="0" w:space="0" w:color="auto"/>
          </w:divBdr>
        </w:div>
        <w:div w:id="2124499090">
          <w:marLeft w:val="480"/>
          <w:marRight w:val="0"/>
          <w:marTop w:val="0"/>
          <w:marBottom w:val="0"/>
          <w:divBdr>
            <w:top w:val="none" w:sz="0" w:space="0" w:color="auto"/>
            <w:left w:val="none" w:sz="0" w:space="0" w:color="auto"/>
            <w:bottom w:val="none" w:sz="0" w:space="0" w:color="auto"/>
            <w:right w:val="none" w:sz="0" w:space="0" w:color="auto"/>
          </w:divBdr>
        </w:div>
        <w:div w:id="2131195577">
          <w:marLeft w:val="480"/>
          <w:marRight w:val="0"/>
          <w:marTop w:val="0"/>
          <w:marBottom w:val="0"/>
          <w:divBdr>
            <w:top w:val="none" w:sz="0" w:space="0" w:color="auto"/>
            <w:left w:val="none" w:sz="0" w:space="0" w:color="auto"/>
            <w:bottom w:val="none" w:sz="0" w:space="0" w:color="auto"/>
            <w:right w:val="none" w:sz="0" w:space="0" w:color="auto"/>
          </w:divBdr>
        </w:div>
      </w:divsChild>
    </w:div>
    <w:div w:id="954293378">
      <w:bodyDiv w:val="1"/>
      <w:marLeft w:val="0"/>
      <w:marRight w:val="0"/>
      <w:marTop w:val="0"/>
      <w:marBottom w:val="0"/>
      <w:divBdr>
        <w:top w:val="none" w:sz="0" w:space="0" w:color="auto"/>
        <w:left w:val="none" w:sz="0" w:space="0" w:color="auto"/>
        <w:bottom w:val="none" w:sz="0" w:space="0" w:color="auto"/>
        <w:right w:val="none" w:sz="0" w:space="0" w:color="auto"/>
      </w:divBdr>
    </w:div>
    <w:div w:id="954949210">
      <w:bodyDiv w:val="1"/>
      <w:marLeft w:val="0"/>
      <w:marRight w:val="0"/>
      <w:marTop w:val="0"/>
      <w:marBottom w:val="0"/>
      <w:divBdr>
        <w:top w:val="none" w:sz="0" w:space="0" w:color="auto"/>
        <w:left w:val="none" w:sz="0" w:space="0" w:color="auto"/>
        <w:bottom w:val="none" w:sz="0" w:space="0" w:color="auto"/>
        <w:right w:val="none" w:sz="0" w:space="0" w:color="auto"/>
      </w:divBdr>
    </w:div>
    <w:div w:id="970087342">
      <w:bodyDiv w:val="1"/>
      <w:marLeft w:val="0"/>
      <w:marRight w:val="0"/>
      <w:marTop w:val="0"/>
      <w:marBottom w:val="0"/>
      <w:divBdr>
        <w:top w:val="none" w:sz="0" w:space="0" w:color="auto"/>
        <w:left w:val="none" w:sz="0" w:space="0" w:color="auto"/>
        <w:bottom w:val="none" w:sz="0" w:space="0" w:color="auto"/>
        <w:right w:val="none" w:sz="0" w:space="0" w:color="auto"/>
      </w:divBdr>
    </w:div>
    <w:div w:id="970406949">
      <w:bodyDiv w:val="1"/>
      <w:marLeft w:val="0"/>
      <w:marRight w:val="0"/>
      <w:marTop w:val="0"/>
      <w:marBottom w:val="0"/>
      <w:divBdr>
        <w:top w:val="none" w:sz="0" w:space="0" w:color="auto"/>
        <w:left w:val="none" w:sz="0" w:space="0" w:color="auto"/>
        <w:bottom w:val="none" w:sz="0" w:space="0" w:color="auto"/>
        <w:right w:val="none" w:sz="0" w:space="0" w:color="auto"/>
      </w:divBdr>
    </w:div>
    <w:div w:id="970941529">
      <w:bodyDiv w:val="1"/>
      <w:marLeft w:val="0"/>
      <w:marRight w:val="0"/>
      <w:marTop w:val="0"/>
      <w:marBottom w:val="0"/>
      <w:divBdr>
        <w:top w:val="none" w:sz="0" w:space="0" w:color="auto"/>
        <w:left w:val="none" w:sz="0" w:space="0" w:color="auto"/>
        <w:bottom w:val="none" w:sz="0" w:space="0" w:color="auto"/>
        <w:right w:val="none" w:sz="0" w:space="0" w:color="auto"/>
      </w:divBdr>
    </w:div>
    <w:div w:id="979722818">
      <w:bodyDiv w:val="1"/>
      <w:marLeft w:val="0"/>
      <w:marRight w:val="0"/>
      <w:marTop w:val="0"/>
      <w:marBottom w:val="0"/>
      <w:divBdr>
        <w:top w:val="none" w:sz="0" w:space="0" w:color="auto"/>
        <w:left w:val="none" w:sz="0" w:space="0" w:color="auto"/>
        <w:bottom w:val="none" w:sz="0" w:space="0" w:color="auto"/>
        <w:right w:val="none" w:sz="0" w:space="0" w:color="auto"/>
      </w:divBdr>
    </w:div>
    <w:div w:id="983044197">
      <w:bodyDiv w:val="1"/>
      <w:marLeft w:val="0"/>
      <w:marRight w:val="0"/>
      <w:marTop w:val="0"/>
      <w:marBottom w:val="0"/>
      <w:divBdr>
        <w:top w:val="none" w:sz="0" w:space="0" w:color="auto"/>
        <w:left w:val="none" w:sz="0" w:space="0" w:color="auto"/>
        <w:bottom w:val="none" w:sz="0" w:space="0" w:color="auto"/>
        <w:right w:val="none" w:sz="0" w:space="0" w:color="auto"/>
      </w:divBdr>
      <w:divsChild>
        <w:div w:id="11273165">
          <w:marLeft w:val="480"/>
          <w:marRight w:val="0"/>
          <w:marTop w:val="0"/>
          <w:marBottom w:val="0"/>
          <w:divBdr>
            <w:top w:val="none" w:sz="0" w:space="0" w:color="auto"/>
            <w:left w:val="none" w:sz="0" w:space="0" w:color="auto"/>
            <w:bottom w:val="none" w:sz="0" w:space="0" w:color="auto"/>
            <w:right w:val="none" w:sz="0" w:space="0" w:color="auto"/>
          </w:divBdr>
        </w:div>
        <w:div w:id="60756005">
          <w:marLeft w:val="480"/>
          <w:marRight w:val="0"/>
          <w:marTop w:val="0"/>
          <w:marBottom w:val="0"/>
          <w:divBdr>
            <w:top w:val="none" w:sz="0" w:space="0" w:color="auto"/>
            <w:left w:val="none" w:sz="0" w:space="0" w:color="auto"/>
            <w:bottom w:val="none" w:sz="0" w:space="0" w:color="auto"/>
            <w:right w:val="none" w:sz="0" w:space="0" w:color="auto"/>
          </w:divBdr>
        </w:div>
        <w:div w:id="63993406">
          <w:marLeft w:val="480"/>
          <w:marRight w:val="0"/>
          <w:marTop w:val="0"/>
          <w:marBottom w:val="0"/>
          <w:divBdr>
            <w:top w:val="none" w:sz="0" w:space="0" w:color="auto"/>
            <w:left w:val="none" w:sz="0" w:space="0" w:color="auto"/>
            <w:bottom w:val="none" w:sz="0" w:space="0" w:color="auto"/>
            <w:right w:val="none" w:sz="0" w:space="0" w:color="auto"/>
          </w:divBdr>
        </w:div>
        <w:div w:id="114295394">
          <w:marLeft w:val="480"/>
          <w:marRight w:val="0"/>
          <w:marTop w:val="0"/>
          <w:marBottom w:val="0"/>
          <w:divBdr>
            <w:top w:val="none" w:sz="0" w:space="0" w:color="auto"/>
            <w:left w:val="none" w:sz="0" w:space="0" w:color="auto"/>
            <w:bottom w:val="none" w:sz="0" w:space="0" w:color="auto"/>
            <w:right w:val="none" w:sz="0" w:space="0" w:color="auto"/>
          </w:divBdr>
        </w:div>
        <w:div w:id="143742190">
          <w:marLeft w:val="480"/>
          <w:marRight w:val="0"/>
          <w:marTop w:val="0"/>
          <w:marBottom w:val="0"/>
          <w:divBdr>
            <w:top w:val="none" w:sz="0" w:space="0" w:color="auto"/>
            <w:left w:val="none" w:sz="0" w:space="0" w:color="auto"/>
            <w:bottom w:val="none" w:sz="0" w:space="0" w:color="auto"/>
            <w:right w:val="none" w:sz="0" w:space="0" w:color="auto"/>
          </w:divBdr>
        </w:div>
        <w:div w:id="207106350">
          <w:marLeft w:val="480"/>
          <w:marRight w:val="0"/>
          <w:marTop w:val="0"/>
          <w:marBottom w:val="0"/>
          <w:divBdr>
            <w:top w:val="none" w:sz="0" w:space="0" w:color="auto"/>
            <w:left w:val="none" w:sz="0" w:space="0" w:color="auto"/>
            <w:bottom w:val="none" w:sz="0" w:space="0" w:color="auto"/>
            <w:right w:val="none" w:sz="0" w:space="0" w:color="auto"/>
          </w:divBdr>
        </w:div>
        <w:div w:id="221987285">
          <w:marLeft w:val="480"/>
          <w:marRight w:val="0"/>
          <w:marTop w:val="0"/>
          <w:marBottom w:val="0"/>
          <w:divBdr>
            <w:top w:val="none" w:sz="0" w:space="0" w:color="auto"/>
            <w:left w:val="none" w:sz="0" w:space="0" w:color="auto"/>
            <w:bottom w:val="none" w:sz="0" w:space="0" w:color="auto"/>
            <w:right w:val="none" w:sz="0" w:space="0" w:color="auto"/>
          </w:divBdr>
        </w:div>
        <w:div w:id="265770798">
          <w:marLeft w:val="480"/>
          <w:marRight w:val="0"/>
          <w:marTop w:val="0"/>
          <w:marBottom w:val="0"/>
          <w:divBdr>
            <w:top w:val="none" w:sz="0" w:space="0" w:color="auto"/>
            <w:left w:val="none" w:sz="0" w:space="0" w:color="auto"/>
            <w:bottom w:val="none" w:sz="0" w:space="0" w:color="auto"/>
            <w:right w:val="none" w:sz="0" w:space="0" w:color="auto"/>
          </w:divBdr>
        </w:div>
        <w:div w:id="363405028">
          <w:marLeft w:val="480"/>
          <w:marRight w:val="0"/>
          <w:marTop w:val="0"/>
          <w:marBottom w:val="0"/>
          <w:divBdr>
            <w:top w:val="none" w:sz="0" w:space="0" w:color="auto"/>
            <w:left w:val="none" w:sz="0" w:space="0" w:color="auto"/>
            <w:bottom w:val="none" w:sz="0" w:space="0" w:color="auto"/>
            <w:right w:val="none" w:sz="0" w:space="0" w:color="auto"/>
          </w:divBdr>
        </w:div>
        <w:div w:id="373970849">
          <w:marLeft w:val="480"/>
          <w:marRight w:val="0"/>
          <w:marTop w:val="0"/>
          <w:marBottom w:val="0"/>
          <w:divBdr>
            <w:top w:val="none" w:sz="0" w:space="0" w:color="auto"/>
            <w:left w:val="none" w:sz="0" w:space="0" w:color="auto"/>
            <w:bottom w:val="none" w:sz="0" w:space="0" w:color="auto"/>
            <w:right w:val="none" w:sz="0" w:space="0" w:color="auto"/>
          </w:divBdr>
        </w:div>
        <w:div w:id="452987891">
          <w:marLeft w:val="480"/>
          <w:marRight w:val="0"/>
          <w:marTop w:val="0"/>
          <w:marBottom w:val="0"/>
          <w:divBdr>
            <w:top w:val="none" w:sz="0" w:space="0" w:color="auto"/>
            <w:left w:val="none" w:sz="0" w:space="0" w:color="auto"/>
            <w:bottom w:val="none" w:sz="0" w:space="0" w:color="auto"/>
            <w:right w:val="none" w:sz="0" w:space="0" w:color="auto"/>
          </w:divBdr>
        </w:div>
        <w:div w:id="482434467">
          <w:marLeft w:val="480"/>
          <w:marRight w:val="0"/>
          <w:marTop w:val="0"/>
          <w:marBottom w:val="0"/>
          <w:divBdr>
            <w:top w:val="none" w:sz="0" w:space="0" w:color="auto"/>
            <w:left w:val="none" w:sz="0" w:space="0" w:color="auto"/>
            <w:bottom w:val="none" w:sz="0" w:space="0" w:color="auto"/>
            <w:right w:val="none" w:sz="0" w:space="0" w:color="auto"/>
          </w:divBdr>
        </w:div>
        <w:div w:id="486479442">
          <w:marLeft w:val="480"/>
          <w:marRight w:val="0"/>
          <w:marTop w:val="0"/>
          <w:marBottom w:val="0"/>
          <w:divBdr>
            <w:top w:val="none" w:sz="0" w:space="0" w:color="auto"/>
            <w:left w:val="none" w:sz="0" w:space="0" w:color="auto"/>
            <w:bottom w:val="none" w:sz="0" w:space="0" w:color="auto"/>
            <w:right w:val="none" w:sz="0" w:space="0" w:color="auto"/>
          </w:divBdr>
        </w:div>
        <w:div w:id="498349835">
          <w:marLeft w:val="480"/>
          <w:marRight w:val="0"/>
          <w:marTop w:val="0"/>
          <w:marBottom w:val="0"/>
          <w:divBdr>
            <w:top w:val="none" w:sz="0" w:space="0" w:color="auto"/>
            <w:left w:val="none" w:sz="0" w:space="0" w:color="auto"/>
            <w:bottom w:val="none" w:sz="0" w:space="0" w:color="auto"/>
            <w:right w:val="none" w:sz="0" w:space="0" w:color="auto"/>
          </w:divBdr>
        </w:div>
        <w:div w:id="521936313">
          <w:marLeft w:val="480"/>
          <w:marRight w:val="0"/>
          <w:marTop w:val="0"/>
          <w:marBottom w:val="0"/>
          <w:divBdr>
            <w:top w:val="none" w:sz="0" w:space="0" w:color="auto"/>
            <w:left w:val="none" w:sz="0" w:space="0" w:color="auto"/>
            <w:bottom w:val="none" w:sz="0" w:space="0" w:color="auto"/>
            <w:right w:val="none" w:sz="0" w:space="0" w:color="auto"/>
          </w:divBdr>
        </w:div>
        <w:div w:id="659894686">
          <w:marLeft w:val="480"/>
          <w:marRight w:val="0"/>
          <w:marTop w:val="0"/>
          <w:marBottom w:val="0"/>
          <w:divBdr>
            <w:top w:val="none" w:sz="0" w:space="0" w:color="auto"/>
            <w:left w:val="none" w:sz="0" w:space="0" w:color="auto"/>
            <w:bottom w:val="none" w:sz="0" w:space="0" w:color="auto"/>
            <w:right w:val="none" w:sz="0" w:space="0" w:color="auto"/>
          </w:divBdr>
        </w:div>
        <w:div w:id="838421974">
          <w:marLeft w:val="480"/>
          <w:marRight w:val="0"/>
          <w:marTop w:val="0"/>
          <w:marBottom w:val="0"/>
          <w:divBdr>
            <w:top w:val="none" w:sz="0" w:space="0" w:color="auto"/>
            <w:left w:val="none" w:sz="0" w:space="0" w:color="auto"/>
            <w:bottom w:val="none" w:sz="0" w:space="0" w:color="auto"/>
            <w:right w:val="none" w:sz="0" w:space="0" w:color="auto"/>
          </w:divBdr>
        </w:div>
        <w:div w:id="844788152">
          <w:marLeft w:val="480"/>
          <w:marRight w:val="0"/>
          <w:marTop w:val="0"/>
          <w:marBottom w:val="0"/>
          <w:divBdr>
            <w:top w:val="none" w:sz="0" w:space="0" w:color="auto"/>
            <w:left w:val="none" w:sz="0" w:space="0" w:color="auto"/>
            <w:bottom w:val="none" w:sz="0" w:space="0" w:color="auto"/>
            <w:right w:val="none" w:sz="0" w:space="0" w:color="auto"/>
          </w:divBdr>
        </w:div>
        <w:div w:id="874972213">
          <w:marLeft w:val="480"/>
          <w:marRight w:val="0"/>
          <w:marTop w:val="0"/>
          <w:marBottom w:val="0"/>
          <w:divBdr>
            <w:top w:val="none" w:sz="0" w:space="0" w:color="auto"/>
            <w:left w:val="none" w:sz="0" w:space="0" w:color="auto"/>
            <w:bottom w:val="none" w:sz="0" w:space="0" w:color="auto"/>
            <w:right w:val="none" w:sz="0" w:space="0" w:color="auto"/>
          </w:divBdr>
        </w:div>
        <w:div w:id="949898591">
          <w:marLeft w:val="480"/>
          <w:marRight w:val="0"/>
          <w:marTop w:val="0"/>
          <w:marBottom w:val="0"/>
          <w:divBdr>
            <w:top w:val="none" w:sz="0" w:space="0" w:color="auto"/>
            <w:left w:val="none" w:sz="0" w:space="0" w:color="auto"/>
            <w:bottom w:val="none" w:sz="0" w:space="0" w:color="auto"/>
            <w:right w:val="none" w:sz="0" w:space="0" w:color="auto"/>
          </w:divBdr>
        </w:div>
        <w:div w:id="955331760">
          <w:marLeft w:val="480"/>
          <w:marRight w:val="0"/>
          <w:marTop w:val="0"/>
          <w:marBottom w:val="0"/>
          <w:divBdr>
            <w:top w:val="none" w:sz="0" w:space="0" w:color="auto"/>
            <w:left w:val="none" w:sz="0" w:space="0" w:color="auto"/>
            <w:bottom w:val="none" w:sz="0" w:space="0" w:color="auto"/>
            <w:right w:val="none" w:sz="0" w:space="0" w:color="auto"/>
          </w:divBdr>
        </w:div>
        <w:div w:id="968828304">
          <w:marLeft w:val="480"/>
          <w:marRight w:val="0"/>
          <w:marTop w:val="0"/>
          <w:marBottom w:val="0"/>
          <w:divBdr>
            <w:top w:val="none" w:sz="0" w:space="0" w:color="auto"/>
            <w:left w:val="none" w:sz="0" w:space="0" w:color="auto"/>
            <w:bottom w:val="none" w:sz="0" w:space="0" w:color="auto"/>
            <w:right w:val="none" w:sz="0" w:space="0" w:color="auto"/>
          </w:divBdr>
        </w:div>
        <w:div w:id="997882434">
          <w:marLeft w:val="480"/>
          <w:marRight w:val="0"/>
          <w:marTop w:val="0"/>
          <w:marBottom w:val="0"/>
          <w:divBdr>
            <w:top w:val="none" w:sz="0" w:space="0" w:color="auto"/>
            <w:left w:val="none" w:sz="0" w:space="0" w:color="auto"/>
            <w:bottom w:val="none" w:sz="0" w:space="0" w:color="auto"/>
            <w:right w:val="none" w:sz="0" w:space="0" w:color="auto"/>
          </w:divBdr>
        </w:div>
        <w:div w:id="1024789170">
          <w:marLeft w:val="480"/>
          <w:marRight w:val="0"/>
          <w:marTop w:val="0"/>
          <w:marBottom w:val="0"/>
          <w:divBdr>
            <w:top w:val="none" w:sz="0" w:space="0" w:color="auto"/>
            <w:left w:val="none" w:sz="0" w:space="0" w:color="auto"/>
            <w:bottom w:val="none" w:sz="0" w:space="0" w:color="auto"/>
            <w:right w:val="none" w:sz="0" w:space="0" w:color="auto"/>
          </w:divBdr>
        </w:div>
        <w:div w:id="1074159898">
          <w:marLeft w:val="480"/>
          <w:marRight w:val="0"/>
          <w:marTop w:val="0"/>
          <w:marBottom w:val="0"/>
          <w:divBdr>
            <w:top w:val="none" w:sz="0" w:space="0" w:color="auto"/>
            <w:left w:val="none" w:sz="0" w:space="0" w:color="auto"/>
            <w:bottom w:val="none" w:sz="0" w:space="0" w:color="auto"/>
            <w:right w:val="none" w:sz="0" w:space="0" w:color="auto"/>
          </w:divBdr>
        </w:div>
        <w:div w:id="1114327105">
          <w:marLeft w:val="480"/>
          <w:marRight w:val="0"/>
          <w:marTop w:val="0"/>
          <w:marBottom w:val="0"/>
          <w:divBdr>
            <w:top w:val="none" w:sz="0" w:space="0" w:color="auto"/>
            <w:left w:val="none" w:sz="0" w:space="0" w:color="auto"/>
            <w:bottom w:val="none" w:sz="0" w:space="0" w:color="auto"/>
            <w:right w:val="none" w:sz="0" w:space="0" w:color="auto"/>
          </w:divBdr>
        </w:div>
        <w:div w:id="1138844725">
          <w:marLeft w:val="480"/>
          <w:marRight w:val="0"/>
          <w:marTop w:val="0"/>
          <w:marBottom w:val="0"/>
          <w:divBdr>
            <w:top w:val="none" w:sz="0" w:space="0" w:color="auto"/>
            <w:left w:val="none" w:sz="0" w:space="0" w:color="auto"/>
            <w:bottom w:val="none" w:sz="0" w:space="0" w:color="auto"/>
            <w:right w:val="none" w:sz="0" w:space="0" w:color="auto"/>
          </w:divBdr>
        </w:div>
        <w:div w:id="1149974864">
          <w:marLeft w:val="480"/>
          <w:marRight w:val="0"/>
          <w:marTop w:val="0"/>
          <w:marBottom w:val="0"/>
          <w:divBdr>
            <w:top w:val="none" w:sz="0" w:space="0" w:color="auto"/>
            <w:left w:val="none" w:sz="0" w:space="0" w:color="auto"/>
            <w:bottom w:val="none" w:sz="0" w:space="0" w:color="auto"/>
            <w:right w:val="none" w:sz="0" w:space="0" w:color="auto"/>
          </w:divBdr>
        </w:div>
        <w:div w:id="1240747879">
          <w:marLeft w:val="480"/>
          <w:marRight w:val="0"/>
          <w:marTop w:val="0"/>
          <w:marBottom w:val="0"/>
          <w:divBdr>
            <w:top w:val="none" w:sz="0" w:space="0" w:color="auto"/>
            <w:left w:val="none" w:sz="0" w:space="0" w:color="auto"/>
            <w:bottom w:val="none" w:sz="0" w:space="0" w:color="auto"/>
            <w:right w:val="none" w:sz="0" w:space="0" w:color="auto"/>
          </w:divBdr>
        </w:div>
        <w:div w:id="1265723478">
          <w:marLeft w:val="480"/>
          <w:marRight w:val="0"/>
          <w:marTop w:val="0"/>
          <w:marBottom w:val="0"/>
          <w:divBdr>
            <w:top w:val="none" w:sz="0" w:space="0" w:color="auto"/>
            <w:left w:val="none" w:sz="0" w:space="0" w:color="auto"/>
            <w:bottom w:val="none" w:sz="0" w:space="0" w:color="auto"/>
            <w:right w:val="none" w:sz="0" w:space="0" w:color="auto"/>
          </w:divBdr>
        </w:div>
        <w:div w:id="1290088703">
          <w:marLeft w:val="480"/>
          <w:marRight w:val="0"/>
          <w:marTop w:val="0"/>
          <w:marBottom w:val="0"/>
          <w:divBdr>
            <w:top w:val="none" w:sz="0" w:space="0" w:color="auto"/>
            <w:left w:val="none" w:sz="0" w:space="0" w:color="auto"/>
            <w:bottom w:val="none" w:sz="0" w:space="0" w:color="auto"/>
            <w:right w:val="none" w:sz="0" w:space="0" w:color="auto"/>
          </w:divBdr>
        </w:div>
        <w:div w:id="1302729066">
          <w:marLeft w:val="480"/>
          <w:marRight w:val="0"/>
          <w:marTop w:val="0"/>
          <w:marBottom w:val="0"/>
          <w:divBdr>
            <w:top w:val="none" w:sz="0" w:space="0" w:color="auto"/>
            <w:left w:val="none" w:sz="0" w:space="0" w:color="auto"/>
            <w:bottom w:val="none" w:sz="0" w:space="0" w:color="auto"/>
            <w:right w:val="none" w:sz="0" w:space="0" w:color="auto"/>
          </w:divBdr>
        </w:div>
        <w:div w:id="1329820229">
          <w:marLeft w:val="480"/>
          <w:marRight w:val="0"/>
          <w:marTop w:val="0"/>
          <w:marBottom w:val="0"/>
          <w:divBdr>
            <w:top w:val="none" w:sz="0" w:space="0" w:color="auto"/>
            <w:left w:val="none" w:sz="0" w:space="0" w:color="auto"/>
            <w:bottom w:val="none" w:sz="0" w:space="0" w:color="auto"/>
            <w:right w:val="none" w:sz="0" w:space="0" w:color="auto"/>
          </w:divBdr>
        </w:div>
        <w:div w:id="1345277821">
          <w:marLeft w:val="480"/>
          <w:marRight w:val="0"/>
          <w:marTop w:val="0"/>
          <w:marBottom w:val="0"/>
          <w:divBdr>
            <w:top w:val="none" w:sz="0" w:space="0" w:color="auto"/>
            <w:left w:val="none" w:sz="0" w:space="0" w:color="auto"/>
            <w:bottom w:val="none" w:sz="0" w:space="0" w:color="auto"/>
            <w:right w:val="none" w:sz="0" w:space="0" w:color="auto"/>
          </w:divBdr>
        </w:div>
        <w:div w:id="1370490535">
          <w:marLeft w:val="480"/>
          <w:marRight w:val="0"/>
          <w:marTop w:val="0"/>
          <w:marBottom w:val="0"/>
          <w:divBdr>
            <w:top w:val="none" w:sz="0" w:space="0" w:color="auto"/>
            <w:left w:val="none" w:sz="0" w:space="0" w:color="auto"/>
            <w:bottom w:val="none" w:sz="0" w:space="0" w:color="auto"/>
            <w:right w:val="none" w:sz="0" w:space="0" w:color="auto"/>
          </w:divBdr>
        </w:div>
        <w:div w:id="1387026182">
          <w:marLeft w:val="480"/>
          <w:marRight w:val="0"/>
          <w:marTop w:val="0"/>
          <w:marBottom w:val="0"/>
          <w:divBdr>
            <w:top w:val="none" w:sz="0" w:space="0" w:color="auto"/>
            <w:left w:val="none" w:sz="0" w:space="0" w:color="auto"/>
            <w:bottom w:val="none" w:sz="0" w:space="0" w:color="auto"/>
            <w:right w:val="none" w:sz="0" w:space="0" w:color="auto"/>
          </w:divBdr>
        </w:div>
        <w:div w:id="1419789490">
          <w:marLeft w:val="480"/>
          <w:marRight w:val="0"/>
          <w:marTop w:val="0"/>
          <w:marBottom w:val="0"/>
          <w:divBdr>
            <w:top w:val="none" w:sz="0" w:space="0" w:color="auto"/>
            <w:left w:val="none" w:sz="0" w:space="0" w:color="auto"/>
            <w:bottom w:val="none" w:sz="0" w:space="0" w:color="auto"/>
            <w:right w:val="none" w:sz="0" w:space="0" w:color="auto"/>
          </w:divBdr>
        </w:div>
        <w:div w:id="1434714833">
          <w:marLeft w:val="480"/>
          <w:marRight w:val="0"/>
          <w:marTop w:val="0"/>
          <w:marBottom w:val="0"/>
          <w:divBdr>
            <w:top w:val="none" w:sz="0" w:space="0" w:color="auto"/>
            <w:left w:val="none" w:sz="0" w:space="0" w:color="auto"/>
            <w:bottom w:val="none" w:sz="0" w:space="0" w:color="auto"/>
            <w:right w:val="none" w:sz="0" w:space="0" w:color="auto"/>
          </w:divBdr>
        </w:div>
        <w:div w:id="1512915726">
          <w:marLeft w:val="480"/>
          <w:marRight w:val="0"/>
          <w:marTop w:val="0"/>
          <w:marBottom w:val="0"/>
          <w:divBdr>
            <w:top w:val="none" w:sz="0" w:space="0" w:color="auto"/>
            <w:left w:val="none" w:sz="0" w:space="0" w:color="auto"/>
            <w:bottom w:val="none" w:sz="0" w:space="0" w:color="auto"/>
            <w:right w:val="none" w:sz="0" w:space="0" w:color="auto"/>
          </w:divBdr>
        </w:div>
        <w:div w:id="1520006539">
          <w:marLeft w:val="480"/>
          <w:marRight w:val="0"/>
          <w:marTop w:val="0"/>
          <w:marBottom w:val="0"/>
          <w:divBdr>
            <w:top w:val="none" w:sz="0" w:space="0" w:color="auto"/>
            <w:left w:val="none" w:sz="0" w:space="0" w:color="auto"/>
            <w:bottom w:val="none" w:sz="0" w:space="0" w:color="auto"/>
            <w:right w:val="none" w:sz="0" w:space="0" w:color="auto"/>
          </w:divBdr>
        </w:div>
        <w:div w:id="1546409064">
          <w:marLeft w:val="480"/>
          <w:marRight w:val="0"/>
          <w:marTop w:val="0"/>
          <w:marBottom w:val="0"/>
          <w:divBdr>
            <w:top w:val="none" w:sz="0" w:space="0" w:color="auto"/>
            <w:left w:val="none" w:sz="0" w:space="0" w:color="auto"/>
            <w:bottom w:val="none" w:sz="0" w:space="0" w:color="auto"/>
            <w:right w:val="none" w:sz="0" w:space="0" w:color="auto"/>
          </w:divBdr>
        </w:div>
        <w:div w:id="1549414780">
          <w:marLeft w:val="480"/>
          <w:marRight w:val="0"/>
          <w:marTop w:val="0"/>
          <w:marBottom w:val="0"/>
          <w:divBdr>
            <w:top w:val="none" w:sz="0" w:space="0" w:color="auto"/>
            <w:left w:val="none" w:sz="0" w:space="0" w:color="auto"/>
            <w:bottom w:val="none" w:sz="0" w:space="0" w:color="auto"/>
            <w:right w:val="none" w:sz="0" w:space="0" w:color="auto"/>
          </w:divBdr>
        </w:div>
        <w:div w:id="1551070186">
          <w:marLeft w:val="480"/>
          <w:marRight w:val="0"/>
          <w:marTop w:val="0"/>
          <w:marBottom w:val="0"/>
          <w:divBdr>
            <w:top w:val="none" w:sz="0" w:space="0" w:color="auto"/>
            <w:left w:val="none" w:sz="0" w:space="0" w:color="auto"/>
            <w:bottom w:val="none" w:sz="0" w:space="0" w:color="auto"/>
            <w:right w:val="none" w:sz="0" w:space="0" w:color="auto"/>
          </w:divBdr>
        </w:div>
        <w:div w:id="1616133077">
          <w:marLeft w:val="480"/>
          <w:marRight w:val="0"/>
          <w:marTop w:val="0"/>
          <w:marBottom w:val="0"/>
          <w:divBdr>
            <w:top w:val="none" w:sz="0" w:space="0" w:color="auto"/>
            <w:left w:val="none" w:sz="0" w:space="0" w:color="auto"/>
            <w:bottom w:val="none" w:sz="0" w:space="0" w:color="auto"/>
            <w:right w:val="none" w:sz="0" w:space="0" w:color="auto"/>
          </w:divBdr>
        </w:div>
        <w:div w:id="1635137313">
          <w:marLeft w:val="480"/>
          <w:marRight w:val="0"/>
          <w:marTop w:val="0"/>
          <w:marBottom w:val="0"/>
          <w:divBdr>
            <w:top w:val="none" w:sz="0" w:space="0" w:color="auto"/>
            <w:left w:val="none" w:sz="0" w:space="0" w:color="auto"/>
            <w:bottom w:val="none" w:sz="0" w:space="0" w:color="auto"/>
            <w:right w:val="none" w:sz="0" w:space="0" w:color="auto"/>
          </w:divBdr>
        </w:div>
        <w:div w:id="1662469780">
          <w:marLeft w:val="480"/>
          <w:marRight w:val="0"/>
          <w:marTop w:val="0"/>
          <w:marBottom w:val="0"/>
          <w:divBdr>
            <w:top w:val="none" w:sz="0" w:space="0" w:color="auto"/>
            <w:left w:val="none" w:sz="0" w:space="0" w:color="auto"/>
            <w:bottom w:val="none" w:sz="0" w:space="0" w:color="auto"/>
            <w:right w:val="none" w:sz="0" w:space="0" w:color="auto"/>
          </w:divBdr>
        </w:div>
        <w:div w:id="1666084615">
          <w:marLeft w:val="480"/>
          <w:marRight w:val="0"/>
          <w:marTop w:val="0"/>
          <w:marBottom w:val="0"/>
          <w:divBdr>
            <w:top w:val="none" w:sz="0" w:space="0" w:color="auto"/>
            <w:left w:val="none" w:sz="0" w:space="0" w:color="auto"/>
            <w:bottom w:val="none" w:sz="0" w:space="0" w:color="auto"/>
            <w:right w:val="none" w:sz="0" w:space="0" w:color="auto"/>
          </w:divBdr>
        </w:div>
        <w:div w:id="1676616935">
          <w:marLeft w:val="480"/>
          <w:marRight w:val="0"/>
          <w:marTop w:val="0"/>
          <w:marBottom w:val="0"/>
          <w:divBdr>
            <w:top w:val="none" w:sz="0" w:space="0" w:color="auto"/>
            <w:left w:val="none" w:sz="0" w:space="0" w:color="auto"/>
            <w:bottom w:val="none" w:sz="0" w:space="0" w:color="auto"/>
            <w:right w:val="none" w:sz="0" w:space="0" w:color="auto"/>
          </w:divBdr>
        </w:div>
        <w:div w:id="1694500219">
          <w:marLeft w:val="480"/>
          <w:marRight w:val="0"/>
          <w:marTop w:val="0"/>
          <w:marBottom w:val="0"/>
          <w:divBdr>
            <w:top w:val="none" w:sz="0" w:space="0" w:color="auto"/>
            <w:left w:val="none" w:sz="0" w:space="0" w:color="auto"/>
            <w:bottom w:val="none" w:sz="0" w:space="0" w:color="auto"/>
            <w:right w:val="none" w:sz="0" w:space="0" w:color="auto"/>
          </w:divBdr>
        </w:div>
        <w:div w:id="1696348950">
          <w:marLeft w:val="480"/>
          <w:marRight w:val="0"/>
          <w:marTop w:val="0"/>
          <w:marBottom w:val="0"/>
          <w:divBdr>
            <w:top w:val="none" w:sz="0" w:space="0" w:color="auto"/>
            <w:left w:val="none" w:sz="0" w:space="0" w:color="auto"/>
            <w:bottom w:val="none" w:sz="0" w:space="0" w:color="auto"/>
            <w:right w:val="none" w:sz="0" w:space="0" w:color="auto"/>
          </w:divBdr>
        </w:div>
        <w:div w:id="1697388187">
          <w:marLeft w:val="480"/>
          <w:marRight w:val="0"/>
          <w:marTop w:val="0"/>
          <w:marBottom w:val="0"/>
          <w:divBdr>
            <w:top w:val="none" w:sz="0" w:space="0" w:color="auto"/>
            <w:left w:val="none" w:sz="0" w:space="0" w:color="auto"/>
            <w:bottom w:val="none" w:sz="0" w:space="0" w:color="auto"/>
            <w:right w:val="none" w:sz="0" w:space="0" w:color="auto"/>
          </w:divBdr>
        </w:div>
        <w:div w:id="1704208008">
          <w:marLeft w:val="480"/>
          <w:marRight w:val="0"/>
          <w:marTop w:val="0"/>
          <w:marBottom w:val="0"/>
          <w:divBdr>
            <w:top w:val="none" w:sz="0" w:space="0" w:color="auto"/>
            <w:left w:val="none" w:sz="0" w:space="0" w:color="auto"/>
            <w:bottom w:val="none" w:sz="0" w:space="0" w:color="auto"/>
            <w:right w:val="none" w:sz="0" w:space="0" w:color="auto"/>
          </w:divBdr>
        </w:div>
        <w:div w:id="1771126847">
          <w:marLeft w:val="480"/>
          <w:marRight w:val="0"/>
          <w:marTop w:val="0"/>
          <w:marBottom w:val="0"/>
          <w:divBdr>
            <w:top w:val="none" w:sz="0" w:space="0" w:color="auto"/>
            <w:left w:val="none" w:sz="0" w:space="0" w:color="auto"/>
            <w:bottom w:val="none" w:sz="0" w:space="0" w:color="auto"/>
            <w:right w:val="none" w:sz="0" w:space="0" w:color="auto"/>
          </w:divBdr>
        </w:div>
        <w:div w:id="1796559333">
          <w:marLeft w:val="480"/>
          <w:marRight w:val="0"/>
          <w:marTop w:val="0"/>
          <w:marBottom w:val="0"/>
          <w:divBdr>
            <w:top w:val="none" w:sz="0" w:space="0" w:color="auto"/>
            <w:left w:val="none" w:sz="0" w:space="0" w:color="auto"/>
            <w:bottom w:val="none" w:sz="0" w:space="0" w:color="auto"/>
            <w:right w:val="none" w:sz="0" w:space="0" w:color="auto"/>
          </w:divBdr>
        </w:div>
        <w:div w:id="1918049395">
          <w:marLeft w:val="480"/>
          <w:marRight w:val="0"/>
          <w:marTop w:val="0"/>
          <w:marBottom w:val="0"/>
          <w:divBdr>
            <w:top w:val="none" w:sz="0" w:space="0" w:color="auto"/>
            <w:left w:val="none" w:sz="0" w:space="0" w:color="auto"/>
            <w:bottom w:val="none" w:sz="0" w:space="0" w:color="auto"/>
            <w:right w:val="none" w:sz="0" w:space="0" w:color="auto"/>
          </w:divBdr>
        </w:div>
        <w:div w:id="1963994248">
          <w:marLeft w:val="480"/>
          <w:marRight w:val="0"/>
          <w:marTop w:val="0"/>
          <w:marBottom w:val="0"/>
          <w:divBdr>
            <w:top w:val="none" w:sz="0" w:space="0" w:color="auto"/>
            <w:left w:val="none" w:sz="0" w:space="0" w:color="auto"/>
            <w:bottom w:val="none" w:sz="0" w:space="0" w:color="auto"/>
            <w:right w:val="none" w:sz="0" w:space="0" w:color="auto"/>
          </w:divBdr>
        </w:div>
        <w:div w:id="1980109830">
          <w:marLeft w:val="480"/>
          <w:marRight w:val="0"/>
          <w:marTop w:val="0"/>
          <w:marBottom w:val="0"/>
          <w:divBdr>
            <w:top w:val="none" w:sz="0" w:space="0" w:color="auto"/>
            <w:left w:val="none" w:sz="0" w:space="0" w:color="auto"/>
            <w:bottom w:val="none" w:sz="0" w:space="0" w:color="auto"/>
            <w:right w:val="none" w:sz="0" w:space="0" w:color="auto"/>
          </w:divBdr>
        </w:div>
        <w:div w:id="2086872089">
          <w:marLeft w:val="480"/>
          <w:marRight w:val="0"/>
          <w:marTop w:val="0"/>
          <w:marBottom w:val="0"/>
          <w:divBdr>
            <w:top w:val="none" w:sz="0" w:space="0" w:color="auto"/>
            <w:left w:val="none" w:sz="0" w:space="0" w:color="auto"/>
            <w:bottom w:val="none" w:sz="0" w:space="0" w:color="auto"/>
            <w:right w:val="none" w:sz="0" w:space="0" w:color="auto"/>
          </w:divBdr>
        </w:div>
        <w:div w:id="2101245232">
          <w:marLeft w:val="480"/>
          <w:marRight w:val="0"/>
          <w:marTop w:val="0"/>
          <w:marBottom w:val="0"/>
          <w:divBdr>
            <w:top w:val="none" w:sz="0" w:space="0" w:color="auto"/>
            <w:left w:val="none" w:sz="0" w:space="0" w:color="auto"/>
            <w:bottom w:val="none" w:sz="0" w:space="0" w:color="auto"/>
            <w:right w:val="none" w:sz="0" w:space="0" w:color="auto"/>
          </w:divBdr>
        </w:div>
      </w:divsChild>
    </w:div>
    <w:div w:id="990407745">
      <w:bodyDiv w:val="1"/>
      <w:marLeft w:val="0"/>
      <w:marRight w:val="0"/>
      <w:marTop w:val="0"/>
      <w:marBottom w:val="0"/>
      <w:divBdr>
        <w:top w:val="none" w:sz="0" w:space="0" w:color="auto"/>
        <w:left w:val="none" w:sz="0" w:space="0" w:color="auto"/>
        <w:bottom w:val="none" w:sz="0" w:space="0" w:color="auto"/>
        <w:right w:val="none" w:sz="0" w:space="0" w:color="auto"/>
      </w:divBdr>
    </w:div>
    <w:div w:id="991448700">
      <w:bodyDiv w:val="1"/>
      <w:marLeft w:val="0"/>
      <w:marRight w:val="0"/>
      <w:marTop w:val="0"/>
      <w:marBottom w:val="0"/>
      <w:divBdr>
        <w:top w:val="none" w:sz="0" w:space="0" w:color="auto"/>
        <w:left w:val="none" w:sz="0" w:space="0" w:color="auto"/>
        <w:bottom w:val="none" w:sz="0" w:space="0" w:color="auto"/>
        <w:right w:val="none" w:sz="0" w:space="0" w:color="auto"/>
      </w:divBdr>
    </w:div>
    <w:div w:id="1007169931">
      <w:bodyDiv w:val="1"/>
      <w:marLeft w:val="0"/>
      <w:marRight w:val="0"/>
      <w:marTop w:val="0"/>
      <w:marBottom w:val="0"/>
      <w:divBdr>
        <w:top w:val="none" w:sz="0" w:space="0" w:color="auto"/>
        <w:left w:val="none" w:sz="0" w:space="0" w:color="auto"/>
        <w:bottom w:val="none" w:sz="0" w:space="0" w:color="auto"/>
        <w:right w:val="none" w:sz="0" w:space="0" w:color="auto"/>
      </w:divBdr>
    </w:div>
    <w:div w:id="1007974605">
      <w:bodyDiv w:val="1"/>
      <w:marLeft w:val="0"/>
      <w:marRight w:val="0"/>
      <w:marTop w:val="0"/>
      <w:marBottom w:val="0"/>
      <w:divBdr>
        <w:top w:val="none" w:sz="0" w:space="0" w:color="auto"/>
        <w:left w:val="none" w:sz="0" w:space="0" w:color="auto"/>
        <w:bottom w:val="none" w:sz="0" w:space="0" w:color="auto"/>
        <w:right w:val="none" w:sz="0" w:space="0" w:color="auto"/>
      </w:divBdr>
    </w:div>
    <w:div w:id="1010764184">
      <w:bodyDiv w:val="1"/>
      <w:marLeft w:val="0"/>
      <w:marRight w:val="0"/>
      <w:marTop w:val="0"/>
      <w:marBottom w:val="0"/>
      <w:divBdr>
        <w:top w:val="none" w:sz="0" w:space="0" w:color="auto"/>
        <w:left w:val="none" w:sz="0" w:space="0" w:color="auto"/>
        <w:bottom w:val="none" w:sz="0" w:space="0" w:color="auto"/>
        <w:right w:val="none" w:sz="0" w:space="0" w:color="auto"/>
      </w:divBdr>
    </w:div>
    <w:div w:id="1013266144">
      <w:bodyDiv w:val="1"/>
      <w:marLeft w:val="0"/>
      <w:marRight w:val="0"/>
      <w:marTop w:val="0"/>
      <w:marBottom w:val="0"/>
      <w:divBdr>
        <w:top w:val="none" w:sz="0" w:space="0" w:color="auto"/>
        <w:left w:val="none" w:sz="0" w:space="0" w:color="auto"/>
        <w:bottom w:val="none" w:sz="0" w:space="0" w:color="auto"/>
        <w:right w:val="none" w:sz="0" w:space="0" w:color="auto"/>
      </w:divBdr>
    </w:div>
    <w:div w:id="1014841121">
      <w:bodyDiv w:val="1"/>
      <w:marLeft w:val="0"/>
      <w:marRight w:val="0"/>
      <w:marTop w:val="0"/>
      <w:marBottom w:val="0"/>
      <w:divBdr>
        <w:top w:val="none" w:sz="0" w:space="0" w:color="auto"/>
        <w:left w:val="none" w:sz="0" w:space="0" w:color="auto"/>
        <w:bottom w:val="none" w:sz="0" w:space="0" w:color="auto"/>
        <w:right w:val="none" w:sz="0" w:space="0" w:color="auto"/>
      </w:divBdr>
    </w:div>
    <w:div w:id="1018655110">
      <w:bodyDiv w:val="1"/>
      <w:marLeft w:val="0"/>
      <w:marRight w:val="0"/>
      <w:marTop w:val="0"/>
      <w:marBottom w:val="0"/>
      <w:divBdr>
        <w:top w:val="none" w:sz="0" w:space="0" w:color="auto"/>
        <w:left w:val="none" w:sz="0" w:space="0" w:color="auto"/>
        <w:bottom w:val="none" w:sz="0" w:space="0" w:color="auto"/>
        <w:right w:val="none" w:sz="0" w:space="0" w:color="auto"/>
      </w:divBdr>
    </w:div>
    <w:div w:id="1021083066">
      <w:bodyDiv w:val="1"/>
      <w:marLeft w:val="0"/>
      <w:marRight w:val="0"/>
      <w:marTop w:val="0"/>
      <w:marBottom w:val="0"/>
      <w:divBdr>
        <w:top w:val="none" w:sz="0" w:space="0" w:color="auto"/>
        <w:left w:val="none" w:sz="0" w:space="0" w:color="auto"/>
        <w:bottom w:val="none" w:sz="0" w:space="0" w:color="auto"/>
        <w:right w:val="none" w:sz="0" w:space="0" w:color="auto"/>
      </w:divBdr>
    </w:div>
    <w:div w:id="1023820794">
      <w:bodyDiv w:val="1"/>
      <w:marLeft w:val="0"/>
      <w:marRight w:val="0"/>
      <w:marTop w:val="0"/>
      <w:marBottom w:val="0"/>
      <w:divBdr>
        <w:top w:val="none" w:sz="0" w:space="0" w:color="auto"/>
        <w:left w:val="none" w:sz="0" w:space="0" w:color="auto"/>
        <w:bottom w:val="none" w:sz="0" w:space="0" w:color="auto"/>
        <w:right w:val="none" w:sz="0" w:space="0" w:color="auto"/>
      </w:divBdr>
      <w:divsChild>
        <w:div w:id="49808981">
          <w:marLeft w:val="480"/>
          <w:marRight w:val="0"/>
          <w:marTop w:val="0"/>
          <w:marBottom w:val="0"/>
          <w:divBdr>
            <w:top w:val="none" w:sz="0" w:space="0" w:color="auto"/>
            <w:left w:val="none" w:sz="0" w:space="0" w:color="auto"/>
            <w:bottom w:val="none" w:sz="0" w:space="0" w:color="auto"/>
            <w:right w:val="none" w:sz="0" w:space="0" w:color="auto"/>
          </w:divBdr>
        </w:div>
        <w:div w:id="57441048">
          <w:marLeft w:val="480"/>
          <w:marRight w:val="0"/>
          <w:marTop w:val="0"/>
          <w:marBottom w:val="0"/>
          <w:divBdr>
            <w:top w:val="none" w:sz="0" w:space="0" w:color="auto"/>
            <w:left w:val="none" w:sz="0" w:space="0" w:color="auto"/>
            <w:bottom w:val="none" w:sz="0" w:space="0" w:color="auto"/>
            <w:right w:val="none" w:sz="0" w:space="0" w:color="auto"/>
          </w:divBdr>
        </w:div>
        <w:div w:id="77293392">
          <w:marLeft w:val="480"/>
          <w:marRight w:val="0"/>
          <w:marTop w:val="0"/>
          <w:marBottom w:val="0"/>
          <w:divBdr>
            <w:top w:val="none" w:sz="0" w:space="0" w:color="auto"/>
            <w:left w:val="none" w:sz="0" w:space="0" w:color="auto"/>
            <w:bottom w:val="none" w:sz="0" w:space="0" w:color="auto"/>
            <w:right w:val="none" w:sz="0" w:space="0" w:color="auto"/>
          </w:divBdr>
        </w:div>
        <w:div w:id="102650949">
          <w:marLeft w:val="480"/>
          <w:marRight w:val="0"/>
          <w:marTop w:val="0"/>
          <w:marBottom w:val="0"/>
          <w:divBdr>
            <w:top w:val="none" w:sz="0" w:space="0" w:color="auto"/>
            <w:left w:val="none" w:sz="0" w:space="0" w:color="auto"/>
            <w:bottom w:val="none" w:sz="0" w:space="0" w:color="auto"/>
            <w:right w:val="none" w:sz="0" w:space="0" w:color="auto"/>
          </w:divBdr>
        </w:div>
        <w:div w:id="178157792">
          <w:marLeft w:val="480"/>
          <w:marRight w:val="0"/>
          <w:marTop w:val="0"/>
          <w:marBottom w:val="0"/>
          <w:divBdr>
            <w:top w:val="none" w:sz="0" w:space="0" w:color="auto"/>
            <w:left w:val="none" w:sz="0" w:space="0" w:color="auto"/>
            <w:bottom w:val="none" w:sz="0" w:space="0" w:color="auto"/>
            <w:right w:val="none" w:sz="0" w:space="0" w:color="auto"/>
          </w:divBdr>
        </w:div>
        <w:div w:id="199054392">
          <w:marLeft w:val="480"/>
          <w:marRight w:val="0"/>
          <w:marTop w:val="0"/>
          <w:marBottom w:val="0"/>
          <w:divBdr>
            <w:top w:val="none" w:sz="0" w:space="0" w:color="auto"/>
            <w:left w:val="none" w:sz="0" w:space="0" w:color="auto"/>
            <w:bottom w:val="none" w:sz="0" w:space="0" w:color="auto"/>
            <w:right w:val="none" w:sz="0" w:space="0" w:color="auto"/>
          </w:divBdr>
        </w:div>
        <w:div w:id="327103673">
          <w:marLeft w:val="480"/>
          <w:marRight w:val="0"/>
          <w:marTop w:val="0"/>
          <w:marBottom w:val="0"/>
          <w:divBdr>
            <w:top w:val="none" w:sz="0" w:space="0" w:color="auto"/>
            <w:left w:val="none" w:sz="0" w:space="0" w:color="auto"/>
            <w:bottom w:val="none" w:sz="0" w:space="0" w:color="auto"/>
            <w:right w:val="none" w:sz="0" w:space="0" w:color="auto"/>
          </w:divBdr>
        </w:div>
        <w:div w:id="367025484">
          <w:marLeft w:val="480"/>
          <w:marRight w:val="0"/>
          <w:marTop w:val="0"/>
          <w:marBottom w:val="0"/>
          <w:divBdr>
            <w:top w:val="none" w:sz="0" w:space="0" w:color="auto"/>
            <w:left w:val="none" w:sz="0" w:space="0" w:color="auto"/>
            <w:bottom w:val="none" w:sz="0" w:space="0" w:color="auto"/>
            <w:right w:val="none" w:sz="0" w:space="0" w:color="auto"/>
          </w:divBdr>
        </w:div>
        <w:div w:id="584189515">
          <w:marLeft w:val="480"/>
          <w:marRight w:val="0"/>
          <w:marTop w:val="0"/>
          <w:marBottom w:val="0"/>
          <w:divBdr>
            <w:top w:val="none" w:sz="0" w:space="0" w:color="auto"/>
            <w:left w:val="none" w:sz="0" w:space="0" w:color="auto"/>
            <w:bottom w:val="none" w:sz="0" w:space="0" w:color="auto"/>
            <w:right w:val="none" w:sz="0" w:space="0" w:color="auto"/>
          </w:divBdr>
        </w:div>
        <w:div w:id="624579870">
          <w:marLeft w:val="480"/>
          <w:marRight w:val="0"/>
          <w:marTop w:val="0"/>
          <w:marBottom w:val="0"/>
          <w:divBdr>
            <w:top w:val="none" w:sz="0" w:space="0" w:color="auto"/>
            <w:left w:val="none" w:sz="0" w:space="0" w:color="auto"/>
            <w:bottom w:val="none" w:sz="0" w:space="0" w:color="auto"/>
            <w:right w:val="none" w:sz="0" w:space="0" w:color="auto"/>
          </w:divBdr>
        </w:div>
        <w:div w:id="649597648">
          <w:marLeft w:val="480"/>
          <w:marRight w:val="0"/>
          <w:marTop w:val="0"/>
          <w:marBottom w:val="0"/>
          <w:divBdr>
            <w:top w:val="none" w:sz="0" w:space="0" w:color="auto"/>
            <w:left w:val="none" w:sz="0" w:space="0" w:color="auto"/>
            <w:bottom w:val="none" w:sz="0" w:space="0" w:color="auto"/>
            <w:right w:val="none" w:sz="0" w:space="0" w:color="auto"/>
          </w:divBdr>
        </w:div>
        <w:div w:id="716320640">
          <w:marLeft w:val="480"/>
          <w:marRight w:val="0"/>
          <w:marTop w:val="0"/>
          <w:marBottom w:val="0"/>
          <w:divBdr>
            <w:top w:val="none" w:sz="0" w:space="0" w:color="auto"/>
            <w:left w:val="none" w:sz="0" w:space="0" w:color="auto"/>
            <w:bottom w:val="none" w:sz="0" w:space="0" w:color="auto"/>
            <w:right w:val="none" w:sz="0" w:space="0" w:color="auto"/>
          </w:divBdr>
        </w:div>
        <w:div w:id="768082192">
          <w:marLeft w:val="480"/>
          <w:marRight w:val="0"/>
          <w:marTop w:val="0"/>
          <w:marBottom w:val="0"/>
          <w:divBdr>
            <w:top w:val="none" w:sz="0" w:space="0" w:color="auto"/>
            <w:left w:val="none" w:sz="0" w:space="0" w:color="auto"/>
            <w:bottom w:val="none" w:sz="0" w:space="0" w:color="auto"/>
            <w:right w:val="none" w:sz="0" w:space="0" w:color="auto"/>
          </w:divBdr>
        </w:div>
        <w:div w:id="768935360">
          <w:marLeft w:val="480"/>
          <w:marRight w:val="0"/>
          <w:marTop w:val="0"/>
          <w:marBottom w:val="0"/>
          <w:divBdr>
            <w:top w:val="none" w:sz="0" w:space="0" w:color="auto"/>
            <w:left w:val="none" w:sz="0" w:space="0" w:color="auto"/>
            <w:bottom w:val="none" w:sz="0" w:space="0" w:color="auto"/>
            <w:right w:val="none" w:sz="0" w:space="0" w:color="auto"/>
          </w:divBdr>
        </w:div>
        <w:div w:id="778647040">
          <w:marLeft w:val="480"/>
          <w:marRight w:val="0"/>
          <w:marTop w:val="0"/>
          <w:marBottom w:val="0"/>
          <w:divBdr>
            <w:top w:val="none" w:sz="0" w:space="0" w:color="auto"/>
            <w:left w:val="none" w:sz="0" w:space="0" w:color="auto"/>
            <w:bottom w:val="none" w:sz="0" w:space="0" w:color="auto"/>
            <w:right w:val="none" w:sz="0" w:space="0" w:color="auto"/>
          </w:divBdr>
        </w:div>
        <w:div w:id="786855480">
          <w:marLeft w:val="480"/>
          <w:marRight w:val="0"/>
          <w:marTop w:val="0"/>
          <w:marBottom w:val="0"/>
          <w:divBdr>
            <w:top w:val="none" w:sz="0" w:space="0" w:color="auto"/>
            <w:left w:val="none" w:sz="0" w:space="0" w:color="auto"/>
            <w:bottom w:val="none" w:sz="0" w:space="0" w:color="auto"/>
            <w:right w:val="none" w:sz="0" w:space="0" w:color="auto"/>
          </w:divBdr>
        </w:div>
        <w:div w:id="854466608">
          <w:marLeft w:val="480"/>
          <w:marRight w:val="0"/>
          <w:marTop w:val="0"/>
          <w:marBottom w:val="0"/>
          <w:divBdr>
            <w:top w:val="none" w:sz="0" w:space="0" w:color="auto"/>
            <w:left w:val="none" w:sz="0" w:space="0" w:color="auto"/>
            <w:bottom w:val="none" w:sz="0" w:space="0" w:color="auto"/>
            <w:right w:val="none" w:sz="0" w:space="0" w:color="auto"/>
          </w:divBdr>
        </w:div>
        <w:div w:id="937711202">
          <w:marLeft w:val="480"/>
          <w:marRight w:val="0"/>
          <w:marTop w:val="0"/>
          <w:marBottom w:val="0"/>
          <w:divBdr>
            <w:top w:val="none" w:sz="0" w:space="0" w:color="auto"/>
            <w:left w:val="none" w:sz="0" w:space="0" w:color="auto"/>
            <w:bottom w:val="none" w:sz="0" w:space="0" w:color="auto"/>
            <w:right w:val="none" w:sz="0" w:space="0" w:color="auto"/>
          </w:divBdr>
        </w:div>
        <w:div w:id="977303287">
          <w:marLeft w:val="480"/>
          <w:marRight w:val="0"/>
          <w:marTop w:val="0"/>
          <w:marBottom w:val="0"/>
          <w:divBdr>
            <w:top w:val="none" w:sz="0" w:space="0" w:color="auto"/>
            <w:left w:val="none" w:sz="0" w:space="0" w:color="auto"/>
            <w:bottom w:val="none" w:sz="0" w:space="0" w:color="auto"/>
            <w:right w:val="none" w:sz="0" w:space="0" w:color="auto"/>
          </w:divBdr>
        </w:div>
        <w:div w:id="1099058885">
          <w:marLeft w:val="480"/>
          <w:marRight w:val="0"/>
          <w:marTop w:val="0"/>
          <w:marBottom w:val="0"/>
          <w:divBdr>
            <w:top w:val="none" w:sz="0" w:space="0" w:color="auto"/>
            <w:left w:val="none" w:sz="0" w:space="0" w:color="auto"/>
            <w:bottom w:val="none" w:sz="0" w:space="0" w:color="auto"/>
            <w:right w:val="none" w:sz="0" w:space="0" w:color="auto"/>
          </w:divBdr>
        </w:div>
        <w:div w:id="1113400392">
          <w:marLeft w:val="480"/>
          <w:marRight w:val="0"/>
          <w:marTop w:val="0"/>
          <w:marBottom w:val="0"/>
          <w:divBdr>
            <w:top w:val="none" w:sz="0" w:space="0" w:color="auto"/>
            <w:left w:val="none" w:sz="0" w:space="0" w:color="auto"/>
            <w:bottom w:val="none" w:sz="0" w:space="0" w:color="auto"/>
            <w:right w:val="none" w:sz="0" w:space="0" w:color="auto"/>
          </w:divBdr>
        </w:div>
        <w:div w:id="1141967021">
          <w:marLeft w:val="480"/>
          <w:marRight w:val="0"/>
          <w:marTop w:val="0"/>
          <w:marBottom w:val="0"/>
          <w:divBdr>
            <w:top w:val="none" w:sz="0" w:space="0" w:color="auto"/>
            <w:left w:val="none" w:sz="0" w:space="0" w:color="auto"/>
            <w:bottom w:val="none" w:sz="0" w:space="0" w:color="auto"/>
            <w:right w:val="none" w:sz="0" w:space="0" w:color="auto"/>
          </w:divBdr>
        </w:div>
        <w:div w:id="1213496677">
          <w:marLeft w:val="480"/>
          <w:marRight w:val="0"/>
          <w:marTop w:val="0"/>
          <w:marBottom w:val="0"/>
          <w:divBdr>
            <w:top w:val="none" w:sz="0" w:space="0" w:color="auto"/>
            <w:left w:val="none" w:sz="0" w:space="0" w:color="auto"/>
            <w:bottom w:val="none" w:sz="0" w:space="0" w:color="auto"/>
            <w:right w:val="none" w:sz="0" w:space="0" w:color="auto"/>
          </w:divBdr>
        </w:div>
        <w:div w:id="1213544119">
          <w:marLeft w:val="480"/>
          <w:marRight w:val="0"/>
          <w:marTop w:val="0"/>
          <w:marBottom w:val="0"/>
          <w:divBdr>
            <w:top w:val="none" w:sz="0" w:space="0" w:color="auto"/>
            <w:left w:val="none" w:sz="0" w:space="0" w:color="auto"/>
            <w:bottom w:val="none" w:sz="0" w:space="0" w:color="auto"/>
            <w:right w:val="none" w:sz="0" w:space="0" w:color="auto"/>
          </w:divBdr>
        </w:div>
        <w:div w:id="1221356517">
          <w:marLeft w:val="480"/>
          <w:marRight w:val="0"/>
          <w:marTop w:val="0"/>
          <w:marBottom w:val="0"/>
          <w:divBdr>
            <w:top w:val="none" w:sz="0" w:space="0" w:color="auto"/>
            <w:left w:val="none" w:sz="0" w:space="0" w:color="auto"/>
            <w:bottom w:val="none" w:sz="0" w:space="0" w:color="auto"/>
            <w:right w:val="none" w:sz="0" w:space="0" w:color="auto"/>
          </w:divBdr>
        </w:div>
        <w:div w:id="1254163163">
          <w:marLeft w:val="480"/>
          <w:marRight w:val="0"/>
          <w:marTop w:val="0"/>
          <w:marBottom w:val="0"/>
          <w:divBdr>
            <w:top w:val="none" w:sz="0" w:space="0" w:color="auto"/>
            <w:left w:val="none" w:sz="0" w:space="0" w:color="auto"/>
            <w:bottom w:val="none" w:sz="0" w:space="0" w:color="auto"/>
            <w:right w:val="none" w:sz="0" w:space="0" w:color="auto"/>
          </w:divBdr>
        </w:div>
        <w:div w:id="1281957624">
          <w:marLeft w:val="480"/>
          <w:marRight w:val="0"/>
          <w:marTop w:val="0"/>
          <w:marBottom w:val="0"/>
          <w:divBdr>
            <w:top w:val="none" w:sz="0" w:space="0" w:color="auto"/>
            <w:left w:val="none" w:sz="0" w:space="0" w:color="auto"/>
            <w:bottom w:val="none" w:sz="0" w:space="0" w:color="auto"/>
            <w:right w:val="none" w:sz="0" w:space="0" w:color="auto"/>
          </w:divBdr>
        </w:div>
        <w:div w:id="1351175359">
          <w:marLeft w:val="480"/>
          <w:marRight w:val="0"/>
          <w:marTop w:val="0"/>
          <w:marBottom w:val="0"/>
          <w:divBdr>
            <w:top w:val="none" w:sz="0" w:space="0" w:color="auto"/>
            <w:left w:val="none" w:sz="0" w:space="0" w:color="auto"/>
            <w:bottom w:val="none" w:sz="0" w:space="0" w:color="auto"/>
            <w:right w:val="none" w:sz="0" w:space="0" w:color="auto"/>
          </w:divBdr>
        </w:div>
        <w:div w:id="1366903956">
          <w:marLeft w:val="480"/>
          <w:marRight w:val="0"/>
          <w:marTop w:val="0"/>
          <w:marBottom w:val="0"/>
          <w:divBdr>
            <w:top w:val="none" w:sz="0" w:space="0" w:color="auto"/>
            <w:left w:val="none" w:sz="0" w:space="0" w:color="auto"/>
            <w:bottom w:val="none" w:sz="0" w:space="0" w:color="auto"/>
            <w:right w:val="none" w:sz="0" w:space="0" w:color="auto"/>
          </w:divBdr>
        </w:div>
        <w:div w:id="1403719392">
          <w:marLeft w:val="480"/>
          <w:marRight w:val="0"/>
          <w:marTop w:val="0"/>
          <w:marBottom w:val="0"/>
          <w:divBdr>
            <w:top w:val="none" w:sz="0" w:space="0" w:color="auto"/>
            <w:left w:val="none" w:sz="0" w:space="0" w:color="auto"/>
            <w:bottom w:val="none" w:sz="0" w:space="0" w:color="auto"/>
            <w:right w:val="none" w:sz="0" w:space="0" w:color="auto"/>
          </w:divBdr>
        </w:div>
        <w:div w:id="1407730501">
          <w:marLeft w:val="480"/>
          <w:marRight w:val="0"/>
          <w:marTop w:val="0"/>
          <w:marBottom w:val="0"/>
          <w:divBdr>
            <w:top w:val="none" w:sz="0" w:space="0" w:color="auto"/>
            <w:left w:val="none" w:sz="0" w:space="0" w:color="auto"/>
            <w:bottom w:val="none" w:sz="0" w:space="0" w:color="auto"/>
            <w:right w:val="none" w:sz="0" w:space="0" w:color="auto"/>
          </w:divBdr>
        </w:div>
        <w:div w:id="1434475418">
          <w:marLeft w:val="480"/>
          <w:marRight w:val="0"/>
          <w:marTop w:val="0"/>
          <w:marBottom w:val="0"/>
          <w:divBdr>
            <w:top w:val="none" w:sz="0" w:space="0" w:color="auto"/>
            <w:left w:val="none" w:sz="0" w:space="0" w:color="auto"/>
            <w:bottom w:val="none" w:sz="0" w:space="0" w:color="auto"/>
            <w:right w:val="none" w:sz="0" w:space="0" w:color="auto"/>
          </w:divBdr>
        </w:div>
        <w:div w:id="1435978954">
          <w:marLeft w:val="480"/>
          <w:marRight w:val="0"/>
          <w:marTop w:val="0"/>
          <w:marBottom w:val="0"/>
          <w:divBdr>
            <w:top w:val="none" w:sz="0" w:space="0" w:color="auto"/>
            <w:left w:val="none" w:sz="0" w:space="0" w:color="auto"/>
            <w:bottom w:val="none" w:sz="0" w:space="0" w:color="auto"/>
            <w:right w:val="none" w:sz="0" w:space="0" w:color="auto"/>
          </w:divBdr>
        </w:div>
        <w:div w:id="1488941503">
          <w:marLeft w:val="480"/>
          <w:marRight w:val="0"/>
          <w:marTop w:val="0"/>
          <w:marBottom w:val="0"/>
          <w:divBdr>
            <w:top w:val="none" w:sz="0" w:space="0" w:color="auto"/>
            <w:left w:val="none" w:sz="0" w:space="0" w:color="auto"/>
            <w:bottom w:val="none" w:sz="0" w:space="0" w:color="auto"/>
            <w:right w:val="none" w:sz="0" w:space="0" w:color="auto"/>
          </w:divBdr>
        </w:div>
        <w:div w:id="1526478464">
          <w:marLeft w:val="480"/>
          <w:marRight w:val="0"/>
          <w:marTop w:val="0"/>
          <w:marBottom w:val="0"/>
          <w:divBdr>
            <w:top w:val="none" w:sz="0" w:space="0" w:color="auto"/>
            <w:left w:val="none" w:sz="0" w:space="0" w:color="auto"/>
            <w:bottom w:val="none" w:sz="0" w:space="0" w:color="auto"/>
            <w:right w:val="none" w:sz="0" w:space="0" w:color="auto"/>
          </w:divBdr>
        </w:div>
        <w:div w:id="1585188419">
          <w:marLeft w:val="480"/>
          <w:marRight w:val="0"/>
          <w:marTop w:val="0"/>
          <w:marBottom w:val="0"/>
          <w:divBdr>
            <w:top w:val="none" w:sz="0" w:space="0" w:color="auto"/>
            <w:left w:val="none" w:sz="0" w:space="0" w:color="auto"/>
            <w:bottom w:val="none" w:sz="0" w:space="0" w:color="auto"/>
            <w:right w:val="none" w:sz="0" w:space="0" w:color="auto"/>
          </w:divBdr>
        </w:div>
        <w:div w:id="1610549224">
          <w:marLeft w:val="480"/>
          <w:marRight w:val="0"/>
          <w:marTop w:val="0"/>
          <w:marBottom w:val="0"/>
          <w:divBdr>
            <w:top w:val="none" w:sz="0" w:space="0" w:color="auto"/>
            <w:left w:val="none" w:sz="0" w:space="0" w:color="auto"/>
            <w:bottom w:val="none" w:sz="0" w:space="0" w:color="auto"/>
            <w:right w:val="none" w:sz="0" w:space="0" w:color="auto"/>
          </w:divBdr>
        </w:div>
        <w:div w:id="1638336718">
          <w:marLeft w:val="480"/>
          <w:marRight w:val="0"/>
          <w:marTop w:val="0"/>
          <w:marBottom w:val="0"/>
          <w:divBdr>
            <w:top w:val="none" w:sz="0" w:space="0" w:color="auto"/>
            <w:left w:val="none" w:sz="0" w:space="0" w:color="auto"/>
            <w:bottom w:val="none" w:sz="0" w:space="0" w:color="auto"/>
            <w:right w:val="none" w:sz="0" w:space="0" w:color="auto"/>
          </w:divBdr>
        </w:div>
        <w:div w:id="1660887561">
          <w:marLeft w:val="480"/>
          <w:marRight w:val="0"/>
          <w:marTop w:val="0"/>
          <w:marBottom w:val="0"/>
          <w:divBdr>
            <w:top w:val="none" w:sz="0" w:space="0" w:color="auto"/>
            <w:left w:val="none" w:sz="0" w:space="0" w:color="auto"/>
            <w:bottom w:val="none" w:sz="0" w:space="0" w:color="auto"/>
            <w:right w:val="none" w:sz="0" w:space="0" w:color="auto"/>
          </w:divBdr>
        </w:div>
        <w:div w:id="1683245306">
          <w:marLeft w:val="480"/>
          <w:marRight w:val="0"/>
          <w:marTop w:val="0"/>
          <w:marBottom w:val="0"/>
          <w:divBdr>
            <w:top w:val="none" w:sz="0" w:space="0" w:color="auto"/>
            <w:left w:val="none" w:sz="0" w:space="0" w:color="auto"/>
            <w:bottom w:val="none" w:sz="0" w:space="0" w:color="auto"/>
            <w:right w:val="none" w:sz="0" w:space="0" w:color="auto"/>
          </w:divBdr>
        </w:div>
        <w:div w:id="1712999505">
          <w:marLeft w:val="480"/>
          <w:marRight w:val="0"/>
          <w:marTop w:val="0"/>
          <w:marBottom w:val="0"/>
          <w:divBdr>
            <w:top w:val="none" w:sz="0" w:space="0" w:color="auto"/>
            <w:left w:val="none" w:sz="0" w:space="0" w:color="auto"/>
            <w:bottom w:val="none" w:sz="0" w:space="0" w:color="auto"/>
            <w:right w:val="none" w:sz="0" w:space="0" w:color="auto"/>
          </w:divBdr>
        </w:div>
        <w:div w:id="1743332143">
          <w:marLeft w:val="480"/>
          <w:marRight w:val="0"/>
          <w:marTop w:val="0"/>
          <w:marBottom w:val="0"/>
          <w:divBdr>
            <w:top w:val="none" w:sz="0" w:space="0" w:color="auto"/>
            <w:left w:val="none" w:sz="0" w:space="0" w:color="auto"/>
            <w:bottom w:val="none" w:sz="0" w:space="0" w:color="auto"/>
            <w:right w:val="none" w:sz="0" w:space="0" w:color="auto"/>
          </w:divBdr>
        </w:div>
        <w:div w:id="1781219274">
          <w:marLeft w:val="480"/>
          <w:marRight w:val="0"/>
          <w:marTop w:val="0"/>
          <w:marBottom w:val="0"/>
          <w:divBdr>
            <w:top w:val="none" w:sz="0" w:space="0" w:color="auto"/>
            <w:left w:val="none" w:sz="0" w:space="0" w:color="auto"/>
            <w:bottom w:val="none" w:sz="0" w:space="0" w:color="auto"/>
            <w:right w:val="none" w:sz="0" w:space="0" w:color="auto"/>
          </w:divBdr>
        </w:div>
        <w:div w:id="1835804424">
          <w:marLeft w:val="480"/>
          <w:marRight w:val="0"/>
          <w:marTop w:val="0"/>
          <w:marBottom w:val="0"/>
          <w:divBdr>
            <w:top w:val="none" w:sz="0" w:space="0" w:color="auto"/>
            <w:left w:val="none" w:sz="0" w:space="0" w:color="auto"/>
            <w:bottom w:val="none" w:sz="0" w:space="0" w:color="auto"/>
            <w:right w:val="none" w:sz="0" w:space="0" w:color="auto"/>
          </w:divBdr>
        </w:div>
        <w:div w:id="1860508782">
          <w:marLeft w:val="480"/>
          <w:marRight w:val="0"/>
          <w:marTop w:val="0"/>
          <w:marBottom w:val="0"/>
          <w:divBdr>
            <w:top w:val="none" w:sz="0" w:space="0" w:color="auto"/>
            <w:left w:val="none" w:sz="0" w:space="0" w:color="auto"/>
            <w:bottom w:val="none" w:sz="0" w:space="0" w:color="auto"/>
            <w:right w:val="none" w:sz="0" w:space="0" w:color="auto"/>
          </w:divBdr>
        </w:div>
        <w:div w:id="1880586708">
          <w:marLeft w:val="480"/>
          <w:marRight w:val="0"/>
          <w:marTop w:val="0"/>
          <w:marBottom w:val="0"/>
          <w:divBdr>
            <w:top w:val="none" w:sz="0" w:space="0" w:color="auto"/>
            <w:left w:val="none" w:sz="0" w:space="0" w:color="auto"/>
            <w:bottom w:val="none" w:sz="0" w:space="0" w:color="auto"/>
            <w:right w:val="none" w:sz="0" w:space="0" w:color="auto"/>
          </w:divBdr>
        </w:div>
        <w:div w:id="1911889531">
          <w:marLeft w:val="480"/>
          <w:marRight w:val="0"/>
          <w:marTop w:val="0"/>
          <w:marBottom w:val="0"/>
          <w:divBdr>
            <w:top w:val="none" w:sz="0" w:space="0" w:color="auto"/>
            <w:left w:val="none" w:sz="0" w:space="0" w:color="auto"/>
            <w:bottom w:val="none" w:sz="0" w:space="0" w:color="auto"/>
            <w:right w:val="none" w:sz="0" w:space="0" w:color="auto"/>
          </w:divBdr>
        </w:div>
        <w:div w:id="1953825964">
          <w:marLeft w:val="480"/>
          <w:marRight w:val="0"/>
          <w:marTop w:val="0"/>
          <w:marBottom w:val="0"/>
          <w:divBdr>
            <w:top w:val="none" w:sz="0" w:space="0" w:color="auto"/>
            <w:left w:val="none" w:sz="0" w:space="0" w:color="auto"/>
            <w:bottom w:val="none" w:sz="0" w:space="0" w:color="auto"/>
            <w:right w:val="none" w:sz="0" w:space="0" w:color="auto"/>
          </w:divBdr>
        </w:div>
        <w:div w:id="2008744372">
          <w:marLeft w:val="480"/>
          <w:marRight w:val="0"/>
          <w:marTop w:val="0"/>
          <w:marBottom w:val="0"/>
          <w:divBdr>
            <w:top w:val="none" w:sz="0" w:space="0" w:color="auto"/>
            <w:left w:val="none" w:sz="0" w:space="0" w:color="auto"/>
            <w:bottom w:val="none" w:sz="0" w:space="0" w:color="auto"/>
            <w:right w:val="none" w:sz="0" w:space="0" w:color="auto"/>
          </w:divBdr>
        </w:div>
        <w:div w:id="2022123084">
          <w:marLeft w:val="480"/>
          <w:marRight w:val="0"/>
          <w:marTop w:val="0"/>
          <w:marBottom w:val="0"/>
          <w:divBdr>
            <w:top w:val="none" w:sz="0" w:space="0" w:color="auto"/>
            <w:left w:val="none" w:sz="0" w:space="0" w:color="auto"/>
            <w:bottom w:val="none" w:sz="0" w:space="0" w:color="auto"/>
            <w:right w:val="none" w:sz="0" w:space="0" w:color="auto"/>
          </w:divBdr>
        </w:div>
        <w:div w:id="2059011941">
          <w:marLeft w:val="480"/>
          <w:marRight w:val="0"/>
          <w:marTop w:val="0"/>
          <w:marBottom w:val="0"/>
          <w:divBdr>
            <w:top w:val="none" w:sz="0" w:space="0" w:color="auto"/>
            <w:left w:val="none" w:sz="0" w:space="0" w:color="auto"/>
            <w:bottom w:val="none" w:sz="0" w:space="0" w:color="auto"/>
            <w:right w:val="none" w:sz="0" w:space="0" w:color="auto"/>
          </w:divBdr>
        </w:div>
        <w:div w:id="2060856198">
          <w:marLeft w:val="480"/>
          <w:marRight w:val="0"/>
          <w:marTop w:val="0"/>
          <w:marBottom w:val="0"/>
          <w:divBdr>
            <w:top w:val="none" w:sz="0" w:space="0" w:color="auto"/>
            <w:left w:val="none" w:sz="0" w:space="0" w:color="auto"/>
            <w:bottom w:val="none" w:sz="0" w:space="0" w:color="auto"/>
            <w:right w:val="none" w:sz="0" w:space="0" w:color="auto"/>
          </w:divBdr>
        </w:div>
        <w:div w:id="2077589278">
          <w:marLeft w:val="480"/>
          <w:marRight w:val="0"/>
          <w:marTop w:val="0"/>
          <w:marBottom w:val="0"/>
          <w:divBdr>
            <w:top w:val="none" w:sz="0" w:space="0" w:color="auto"/>
            <w:left w:val="none" w:sz="0" w:space="0" w:color="auto"/>
            <w:bottom w:val="none" w:sz="0" w:space="0" w:color="auto"/>
            <w:right w:val="none" w:sz="0" w:space="0" w:color="auto"/>
          </w:divBdr>
        </w:div>
      </w:divsChild>
    </w:div>
    <w:div w:id="1024405199">
      <w:bodyDiv w:val="1"/>
      <w:marLeft w:val="0"/>
      <w:marRight w:val="0"/>
      <w:marTop w:val="0"/>
      <w:marBottom w:val="0"/>
      <w:divBdr>
        <w:top w:val="none" w:sz="0" w:space="0" w:color="auto"/>
        <w:left w:val="none" w:sz="0" w:space="0" w:color="auto"/>
        <w:bottom w:val="none" w:sz="0" w:space="0" w:color="auto"/>
        <w:right w:val="none" w:sz="0" w:space="0" w:color="auto"/>
      </w:divBdr>
    </w:div>
    <w:div w:id="1037238999">
      <w:bodyDiv w:val="1"/>
      <w:marLeft w:val="0"/>
      <w:marRight w:val="0"/>
      <w:marTop w:val="0"/>
      <w:marBottom w:val="0"/>
      <w:divBdr>
        <w:top w:val="none" w:sz="0" w:space="0" w:color="auto"/>
        <w:left w:val="none" w:sz="0" w:space="0" w:color="auto"/>
        <w:bottom w:val="none" w:sz="0" w:space="0" w:color="auto"/>
        <w:right w:val="none" w:sz="0" w:space="0" w:color="auto"/>
      </w:divBdr>
    </w:div>
    <w:div w:id="1040739388">
      <w:bodyDiv w:val="1"/>
      <w:marLeft w:val="0"/>
      <w:marRight w:val="0"/>
      <w:marTop w:val="0"/>
      <w:marBottom w:val="0"/>
      <w:divBdr>
        <w:top w:val="none" w:sz="0" w:space="0" w:color="auto"/>
        <w:left w:val="none" w:sz="0" w:space="0" w:color="auto"/>
        <w:bottom w:val="none" w:sz="0" w:space="0" w:color="auto"/>
        <w:right w:val="none" w:sz="0" w:space="0" w:color="auto"/>
      </w:divBdr>
    </w:div>
    <w:div w:id="1045179950">
      <w:bodyDiv w:val="1"/>
      <w:marLeft w:val="0"/>
      <w:marRight w:val="0"/>
      <w:marTop w:val="0"/>
      <w:marBottom w:val="0"/>
      <w:divBdr>
        <w:top w:val="none" w:sz="0" w:space="0" w:color="auto"/>
        <w:left w:val="none" w:sz="0" w:space="0" w:color="auto"/>
        <w:bottom w:val="none" w:sz="0" w:space="0" w:color="auto"/>
        <w:right w:val="none" w:sz="0" w:space="0" w:color="auto"/>
      </w:divBdr>
    </w:div>
    <w:div w:id="1047296710">
      <w:bodyDiv w:val="1"/>
      <w:marLeft w:val="0"/>
      <w:marRight w:val="0"/>
      <w:marTop w:val="0"/>
      <w:marBottom w:val="0"/>
      <w:divBdr>
        <w:top w:val="none" w:sz="0" w:space="0" w:color="auto"/>
        <w:left w:val="none" w:sz="0" w:space="0" w:color="auto"/>
        <w:bottom w:val="none" w:sz="0" w:space="0" w:color="auto"/>
        <w:right w:val="none" w:sz="0" w:space="0" w:color="auto"/>
      </w:divBdr>
    </w:div>
    <w:div w:id="1048843123">
      <w:bodyDiv w:val="1"/>
      <w:marLeft w:val="0"/>
      <w:marRight w:val="0"/>
      <w:marTop w:val="0"/>
      <w:marBottom w:val="0"/>
      <w:divBdr>
        <w:top w:val="none" w:sz="0" w:space="0" w:color="auto"/>
        <w:left w:val="none" w:sz="0" w:space="0" w:color="auto"/>
        <w:bottom w:val="none" w:sz="0" w:space="0" w:color="auto"/>
        <w:right w:val="none" w:sz="0" w:space="0" w:color="auto"/>
      </w:divBdr>
    </w:div>
    <w:div w:id="1050349841">
      <w:bodyDiv w:val="1"/>
      <w:marLeft w:val="0"/>
      <w:marRight w:val="0"/>
      <w:marTop w:val="0"/>
      <w:marBottom w:val="0"/>
      <w:divBdr>
        <w:top w:val="none" w:sz="0" w:space="0" w:color="auto"/>
        <w:left w:val="none" w:sz="0" w:space="0" w:color="auto"/>
        <w:bottom w:val="none" w:sz="0" w:space="0" w:color="auto"/>
        <w:right w:val="none" w:sz="0" w:space="0" w:color="auto"/>
      </w:divBdr>
    </w:div>
    <w:div w:id="1060246261">
      <w:bodyDiv w:val="1"/>
      <w:marLeft w:val="0"/>
      <w:marRight w:val="0"/>
      <w:marTop w:val="0"/>
      <w:marBottom w:val="0"/>
      <w:divBdr>
        <w:top w:val="none" w:sz="0" w:space="0" w:color="auto"/>
        <w:left w:val="none" w:sz="0" w:space="0" w:color="auto"/>
        <w:bottom w:val="none" w:sz="0" w:space="0" w:color="auto"/>
        <w:right w:val="none" w:sz="0" w:space="0" w:color="auto"/>
      </w:divBdr>
    </w:div>
    <w:div w:id="1061365519">
      <w:bodyDiv w:val="1"/>
      <w:marLeft w:val="0"/>
      <w:marRight w:val="0"/>
      <w:marTop w:val="0"/>
      <w:marBottom w:val="0"/>
      <w:divBdr>
        <w:top w:val="none" w:sz="0" w:space="0" w:color="auto"/>
        <w:left w:val="none" w:sz="0" w:space="0" w:color="auto"/>
        <w:bottom w:val="none" w:sz="0" w:space="0" w:color="auto"/>
        <w:right w:val="none" w:sz="0" w:space="0" w:color="auto"/>
      </w:divBdr>
    </w:div>
    <w:div w:id="1063139997">
      <w:bodyDiv w:val="1"/>
      <w:marLeft w:val="0"/>
      <w:marRight w:val="0"/>
      <w:marTop w:val="0"/>
      <w:marBottom w:val="0"/>
      <w:divBdr>
        <w:top w:val="none" w:sz="0" w:space="0" w:color="auto"/>
        <w:left w:val="none" w:sz="0" w:space="0" w:color="auto"/>
        <w:bottom w:val="none" w:sz="0" w:space="0" w:color="auto"/>
        <w:right w:val="none" w:sz="0" w:space="0" w:color="auto"/>
      </w:divBdr>
    </w:div>
    <w:div w:id="1065564262">
      <w:bodyDiv w:val="1"/>
      <w:marLeft w:val="0"/>
      <w:marRight w:val="0"/>
      <w:marTop w:val="0"/>
      <w:marBottom w:val="0"/>
      <w:divBdr>
        <w:top w:val="none" w:sz="0" w:space="0" w:color="auto"/>
        <w:left w:val="none" w:sz="0" w:space="0" w:color="auto"/>
        <w:bottom w:val="none" w:sz="0" w:space="0" w:color="auto"/>
        <w:right w:val="none" w:sz="0" w:space="0" w:color="auto"/>
      </w:divBdr>
    </w:div>
    <w:div w:id="1067655621">
      <w:bodyDiv w:val="1"/>
      <w:marLeft w:val="0"/>
      <w:marRight w:val="0"/>
      <w:marTop w:val="0"/>
      <w:marBottom w:val="0"/>
      <w:divBdr>
        <w:top w:val="none" w:sz="0" w:space="0" w:color="auto"/>
        <w:left w:val="none" w:sz="0" w:space="0" w:color="auto"/>
        <w:bottom w:val="none" w:sz="0" w:space="0" w:color="auto"/>
        <w:right w:val="none" w:sz="0" w:space="0" w:color="auto"/>
      </w:divBdr>
    </w:div>
    <w:div w:id="1079517479">
      <w:bodyDiv w:val="1"/>
      <w:marLeft w:val="0"/>
      <w:marRight w:val="0"/>
      <w:marTop w:val="0"/>
      <w:marBottom w:val="0"/>
      <w:divBdr>
        <w:top w:val="none" w:sz="0" w:space="0" w:color="auto"/>
        <w:left w:val="none" w:sz="0" w:space="0" w:color="auto"/>
        <w:bottom w:val="none" w:sz="0" w:space="0" w:color="auto"/>
        <w:right w:val="none" w:sz="0" w:space="0" w:color="auto"/>
      </w:divBdr>
    </w:div>
    <w:div w:id="1079521736">
      <w:bodyDiv w:val="1"/>
      <w:marLeft w:val="0"/>
      <w:marRight w:val="0"/>
      <w:marTop w:val="0"/>
      <w:marBottom w:val="0"/>
      <w:divBdr>
        <w:top w:val="none" w:sz="0" w:space="0" w:color="auto"/>
        <w:left w:val="none" w:sz="0" w:space="0" w:color="auto"/>
        <w:bottom w:val="none" w:sz="0" w:space="0" w:color="auto"/>
        <w:right w:val="none" w:sz="0" w:space="0" w:color="auto"/>
      </w:divBdr>
    </w:div>
    <w:div w:id="1095054628">
      <w:bodyDiv w:val="1"/>
      <w:marLeft w:val="0"/>
      <w:marRight w:val="0"/>
      <w:marTop w:val="0"/>
      <w:marBottom w:val="0"/>
      <w:divBdr>
        <w:top w:val="none" w:sz="0" w:space="0" w:color="auto"/>
        <w:left w:val="none" w:sz="0" w:space="0" w:color="auto"/>
        <w:bottom w:val="none" w:sz="0" w:space="0" w:color="auto"/>
        <w:right w:val="none" w:sz="0" w:space="0" w:color="auto"/>
      </w:divBdr>
    </w:div>
    <w:div w:id="1098140286">
      <w:bodyDiv w:val="1"/>
      <w:marLeft w:val="0"/>
      <w:marRight w:val="0"/>
      <w:marTop w:val="0"/>
      <w:marBottom w:val="0"/>
      <w:divBdr>
        <w:top w:val="none" w:sz="0" w:space="0" w:color="auto"/>
        <w:left w:val="none" w:sz="0" w:space="0" w:color="auto"/>
        <w:bottom w:val="none" w:sz="0" w:space="0" w:color="auto"/>
        <w:right w:val="none" w:sz="0" w:space="0" w:color="auto"/>
      </w:divBdr>
      <w:divsChild>
        <w:div w:id="18431467">
          <w:marLeft w:val="480"/>
          <w:marRight w:val="0"/>
          <w:marTop w:val="0"/>
          <w:marBottom w:val="0"/>
          <w:divBdr>
            <w:top w:val="none" w:sz="0" w:space="0" w:color="auto"/>
            <w:left w:val="none" w:sz="0" w:space="0" w:color="auto"/>
            <w:bottom w:val="none" w:sz="0" w:space="0" w:color="auto"/>
            <w:right w:val="none" w:sz="0" w:space="0" w:color="auto"/>
          </w:divBdr>
        </w:div>
        <w:div w:id="49502282">
          <w:marLeft w:val="480"/>
          <w:marRight w:val="0"/>
          <w:marTop w:val="0"/>
          <w:marBottom w:val="0"/>
          <w:divBdr>
            <w:top w:val="none" w:sz="0" w:space="0" w:color="auto"/>
            <w:left w:val="none" w:sz="0" w:space="0" w:color="auto"/>
            <w:bottom w:val="none" w:sz="0" w:space="0" w:color="auto"/>
            <w:right w:val="none" w:sz="0" w:space="0" w:color="auto"/>
          </w:divBdr>
        </w:div>
        <w:div w:id="51201810">
          <w:marLeft w:val="480"/>
          <w:marRight w:val="0"/>
          <w:marTop w:val="0"/>
          <w:marBottom w:val="0"/>
          <w:divBdr>
            <w:top w:val="none" w:sz="0" w:space="0" w:color="auto"/>
            <w:left w:val="none" w:sz="0" w:space="0" w:color="auto"/>
            <w:bottom w:val="none" w:sz="0" w:space="0" w:color="auto"/>
            <w:right w:val="none" w:sz="0" w:space="0" w:color="auto"/>
          </w:divBdr>
        </w:div>
        <w:div w:id="63111773">
          <w:marLeft w:val="480"/>
          <w:marRight w:val="0"/>
          <w:marTop w:val="0"/>
          <w:marBottom w:val="0"/>
          <w:divBdr>
            <w:top w:val="none" w:sz="0" w:space="0" w:color="auto"/>
            <w:left w:val="none" w:sz="0" w:space="0" w:color="auto"/>
            <w:bottom w:val="none" w:sz="0" w:space="0" w:color="auto"/>
            <w:right w:val="none" w:sz="0" w:space="0" w:color="auto"/>
          </w:divBdr>
        </w:div>
        <w:div w:id="84427907">
          <w:marLeft w:val="480"/>
          <w:marRight w:val="0"/>
          <w:marTop w:val="0"/>
          <w:marBottom w:val="0"/>
          <w:divBdr>
            <w:top w:val="none" w:sz="0" w:space="0" w:color="auto"/>
            <w:left w:val="none" w:sz="0" w:space="0" w:color="auto"/>
            <w:bottom w:val="none" w:sz="0" w:space="0" w:color="auto"/>
            <w:right w:val="none" w:sz="0" w:space="0" w:color="auto"/>
          </w:divBdr>
        </w:div>
        <w:div w:id="138957143">
          <w:marLeft w:val="480"/>
          <w:marRight w:val="0"/>
          <w:marTop w:val="0"/>
          <w:marBottom w:val="0"/>
          <w:divBdr>
            <w:top w:val="none" w:sz="0" w:space="0" w:color="auto"/>
            <w:left w:val="none" w:sz="0" w:space="0" w:color="auto"/>
            <w:bottom w:val="none" w:sz="0" w:space="0" w:color="auto"/>
            <w:right w:val="none" w:sz="0" w:space="0" w:color="auto"/>
          </w:divBdr>
        </w:div>
        <w:div w:id="194655143">
          <w:marLeft w:val="480"/>
          <w:marRight w:val="0"/>
          <w:marTop w:val="0"/>
          <w:marBottom w:val="0"/>
          <w:divBdr>
            <w:top w:val="none" w:sz="0" w:space="0" w:color="auto"/>
            <w:left w:val="none" w:sz="0" w:space="0" w:color="auto"/>
            <w:bottom w:val="none" w:sz="0" w:space="0" w:color="auto"/>
            <w:right w:val="none" w:sz="0" w:space="0" w:color="auto"/>
          </w:divBdr>
        </w:div>
        <w:div w:id="219630483">
          <w:marLeft w:val="480"/>
          <w:marRight w:val="0"/>
          <w:marTop w:val="0"/>
          <w:marBottom w:val="0"/>
          <w:divBdr>
            <w:top w:val="none" w:sz="0" w:space="0" w:color="auto"/>
            <w:left w:val="none" w:sz="0" w:space="0" w:color="auto"/>
            <w:bottom w:val="none" w:sz="0" w:space="0" w:color="auto"/>
            <w:right w:val="none" w:sz="0" w:space="0" w:color="auto"/>
          </w:divBdr>
        </w:div>
        <w:div w:id="262735127">
          <w:marLeft w:val="480"/>
          <w:marRight w:val="0"/>
          <w:marTop w:val="0"/>
          <w:marBottom w:val="0"/>
          <w:divBdr>
            <w:top w:val="none" w:sz="0" w:space="0" w:color="auto"/>
            <w:left w:val="none" w:sz="0" w:space="0" w:color="auto"/>
            <w:bottom w:val="none" w:sz="0" w:space="0" w:color="auto"/>
            <w:right w:val="none" w:sz="0" w:space="0" w:color="auto"/>
          </w:divBdr>
        </w:div>
        <w:div w:id="294679311">
          <w:marLeft w:val="480"/>
          <w:marRight w:val="0"/>
          <w:marTop w:val="0"/>
          <w:marBottom w:val="0"/>
          <w:divBdr>
            <w:top w:val="none" w:sz="0" w:space="0" w:color="auto"/>
            <w:left w:val="none" w:sz="0" w:space="0" w:color="auto"/>
            <w:bottom w:val="none" w:sz="0" w:space="0" w:color="auto"/>
            <w:right w:val="none" w:sz="0" w:space="0" w:color="auto"/>
          </w:divBdr>
        </w:div>
        <w:div w:id="341978725">
          <w:marLeft w:val="480"/>
          <w:marRight w:val="0"/>
          <w:marTop w:val="0"/>
          <w:marBottom w:val="0"/>
          <w:divBdr>
            <w:top w:val="none" w:sz="0" w:space="0" w:color="auto"/>
            <w:left w:val="none" w:sz="0" w:space="0" w:color="auto"/>
            <w:bottom w:val="none" w:sz="0" w:space="0" w:color="auto"/>
            <w:right w:val="none" w:sz="0" w:space="0" w:color="auto"/>
          </w:divBdr>
        </w:div>
        <w:div w:id="407073774">
          <w:marLeft w:val="480"/>
          <w:marRight w:val="0"/>
          <w:marTop w:val="0"/>
          <w:marBottom w:val="0"/>
          <w:divBdr>
            <w:top w:val="none" w:sz="0" w:space="0" w:color="auto"/>
            <w:left w:val="none" w:sz="0" w:space="0" w:color="auto"/>
            <w:bottom w:val="none" w:sz="0" w:space="0" w:color="auto"/>
            <w:right w:val="none" w:sz="0" w:space="0" w:color="auto"/>
          </w:divBdr>
        </w:div>
        <w:div w:id="419954928">
          <w:marLeft w:val="480"/>
          <w:marRight w:val="0"/>
          <w:marTop w:val="0"/>
          <w:marBottom w:val="0"/>
          <w:divBdr>
            <w:top w:val="none" w:sz="0" w:space="0" w:color="auto"/>
            <w:left w:val="none" w:sz="0" w:space="0" w:color="auto"/>
            <w:bottom w:val="none" w:sz="0" w:space="0" w:color="auto"/>
            <w:right w:val="none" w:sz="0" w:space="0" w:color="auto"/>
          </w:divBdr>
        </w:div>
        <w:div w:id="489716062">
          <w:marLeft w:val="480"/>
          <w:marRight w:val="0"/>
          <w:marTop w:val="0"/>
          <w:marBottom w:val="0"/>
          <w:divBdr>
            <w:top w:val="none" w:sz="0" w:space="0" w:color="auto"/>
            <w:left w:val="none" w:sz="0" w:space="0" w:color="auto"/>
            <w:bottom w:val="none" w:sz="0" w:space="0" w:color="auto"/>
            <w:right w:val="none" w:sz="0" w:space="0" w:color="auto"/>
          </w:divBdr>
        </w:div>
        <w:div w:id="493497426">
          <w:marLeft w:val="480"/>
          <w:marRight w:val="0"/>
          <w:marTop w:val="0"/>
          <w:marBottom w:val="0"/>
          <w:divBdr>
            <w:top w:val="none" w:sz="0" w:space="0" w:color="auto"/>
            <w:left w:val="none" w:sz="0" w:space="0" w:color="auto"/>
            <w:bottom w:val="none" w:sz="0" w:space="0" w:color="auto"/>
            <w:right w:val="none" w:sz="0" w:space="0" w:color="auto"/>
          </w:divBdr>
        </w:div>
        <w:div w:id="496657084">
          <w:marLeft w:val="480"/>
          <w:marRight w:val="0"/>
          <w:marTop w:val="0"/>
          <w:marBottom w:val="0"/>
          <w:divBdr>
            <w:top w:val="none" w:sz="0" w:space="0" w:color="auto"/>
            <w:left w:val="none" w:sz="0" w:space="0" w:color="auto"/>
            <w:bottom w:val="none" w:sz="0" w:space="0" w:color="auto"/>
            <w:right w:val="none" w:sz="0" w:space="0" w:color="auto"/>
          </w:divBdr>
        </w:div>
        <w:div w:id="570311071">
          <w:marLeft w:val="480"/>
          <w:marRight w:val="0"/>
          <w:marTop w:val="0"/>
          <w:marBottom w:val="0"/>
          <w:divBdr>
            <w:top w:val="none" w:sz="0" w:space="0" w:color="auto"/>
            <w:left w:val="none" w:sz="0" w:space="0" w:color="auto"/>
            <w:bottom w:val="none" w:sz="0" w:space="0" w:color="auto"/>
            <w:right w:val="none" w:sz="0" w:space="0" w:color="auto"/>
          </w:divBdr>
        </w:div>
        <w:div w:id="661664884">
          <w:marLeft w:val="480"/>
          <w:marRight w:val="0"/>
          <w:marTop w:val="0"/>
          <w:marBottom w:val="0"/>
          <w:divBdr>
            <w:top w:val="none" w:sz="0" w:space="0" w:color="auto"/>
            <w:left w:val="none" w:sz="0" w:space="0" w:color="auto"/>
            <w:bottom w:val="none" w:sz="0" w:space="0" w:color="auto"/>
            <w:right w:val="none" w:sz="0" w:space="0" w:color="auto"/>
          </w:divBdr>
        </w:div>
        <w:div w:id="688681965">
          <w:marLeft w:val="480"/>
          <w:marRight w:val="0"/>
          <w:marTop w:val="0"/>
          <w:marBottom w:val="0"/>
          <w:divBdr>
            <w:top w:val="none" w:sz="0" w:space="0" w:color="auto"/>
            <w:left w:val="none" w:sz="0" w:space="0" w:color="auto"/>
            <w:bottom w:val="none" w:sz="0" w:space="0" w:color="auto"/>
            <w:right w:val="none" w:sz="0" w:space="0" w:color="auto"/>
          </w:divBdr>
        </w:div>
        <w:div w:id="694113474">
          <w:marLeft w:val="480"/>
          <w:marRight w:val="0"/>
          <w:marTop w:val="0"/>
          <w:marBottom w:val="0"/>
          <w:divBdr>
            <w:top w:val="none" w:sz="0" w:space="0" w:color="auto"/>
            <w:left w:val="none" w:sz="0" w:space="0" w:color="auto"/>
            <w:bottom w:val="none" w:sz="0" w:space="0" w:color="auto"/>
            <w:right w:val="none" w:sz="0" w:space="0" w:color="auto"/>
          </w:divBdr>
        </w:div>
        <w:div w:id="703944994">
          <w:marLeft w:val="480"/>
          <w:marRight w:val="0"/>
          <w:marTop w:val="0"/>
          <w:marBottom w:val="0"/>
          <w:divBdr>
            <w:top w:val="none" w:sz="0" w:space="0" w:color="auto"/>
            <w:left w:val="none" w:sz="0" w:space="0" w:color="auto"/>
            <w:bottom w:val="none" w:sz="0" w:space="0" w:color="auto"/>
            <w:right w:val="none" w:sz="0" w:space="0" w:color="auto"/>
          </w:divBdr>
        </w:div>
        <w:div w:id="739330139">
          <w:marLeft w:val="480"/>
          <w:marRight w:val="0"/>
          <w:marTop w:val="0"/>
          <w:marBottom w:val="0"/>
          <w:divBdr>
            <w:top w:val="none" w:sz="0" w:space="0" w:color="auto"/>
            <w:left w:val="none" w:sz="0" w:space="0" w:color="auto"/>
            <w:bottom w:val="none" w:sz="0" w:space="0" w:color="auto"/>
            <w:right w:val="none" w:sz="0" w:space="0" w:color="auto"/>
          </w:divBdr>
        </w:div>
        <w:div w:id="850145102">
          <w:marLeft w:val="480"/>
          <w:marRight w:val="0"/>
          <w:marTop w:val="0"/>
          <w:marBottom w:val="0"/>
          <w:divBdr>
            <w:top w:val="none" w:sz="0" w:space="0" w:color="auto"/>
            <w:left w:val="none" w:sz="0" w:space="0" w:color="auto"/>
            <w:bottom w:val="none" w:sz="0" w:space="0" w:color="auto"/>
            <w:right w:val="none" w:sz="0" w:space="0" w:color="auto"/>
          </w:divBdr>
        </w:div>
        <w:div w:id="883172898">
          <w:marLeft w:val="480"/>
          <w:marRight w:val="0"/>
          <w:marTop w:val="0"/>
          <w:marBottom w:val="0"/>
          <w:divBdr>
            <w:top w:val="none" w:sz="0" w:space="0" w:color="auto"/>
            <w:left w:val="none" w:sz="0" w:space="0" w:color="auto"/>
            <w:bottom w:val="none" w:sz="0" w:space="0" w:color="auto"/>
            <w:right w:val="none" w:sz="0" w:space="0" w:color="auto"/>
          </w:divBdr>
        </w:div>
        <w:div w:id="948589649">
          <w:marLeft w:val="480"/>
          <w:marRight w:val="0"/>
          <w:marTop w:val="0"/>
          <w:marBottom w:val="0"/>
          <w:divBdr>
            <w:top w:val="none" w:sz="0" w:space="0" w:color="auto"/>
            <w:left w:val="none" w:sz="0" w:space="0" w:color="auto"/>
            <w:bottom w:val="none" w:sz="0" w:space="0" w:color="auto"/>
            <w:right w:val="none" w:sz="0" w:space="0" w:color="auto"/>
          </w:divBdr>
        </w:div>
        <w:div w:id="977344730">
          <w:marLeft w:val="480"/>
          <w:marRight w:val="0"/>
          <w:marTop w:val="0"/>
          <w:marBottom w:val="0"/>
          <w:divBdr>
            <w:top w:val="none" w:sz="0" w:space="0" w:color="auto"/>
            <w:left w:val="none" w:sz="0" w:space="0" w:color="auto"/>
            <w:bottom w:val="none" w:sz="0" w:space="0" w:color="auto"/>
            <w:right w:val="none" w:sz="0" w:space="0" w:color="auto"/>
          </w:divBdr>
        </w:div>
        <w:div w:id="1068577394">
          <w:marLeft w:val="480"/>
          <w:marRight w:val="0"/>
          <w:marTop w:val="0"/>
          <w:marBottom w:val="0"/>
          <w:divBdr>
            <w:top w:val="none" w:sz="0" w:space="0" w:color="auto"/>
            <w:left w:val="none" w:sz="0" w:space="0" w:color="auto"/>
            <w:bottom w:val="none" w:sz="0" w:space="0" w:color="auto"/>
            <w:right w:val="none" w:sz="0" w:space="0" w:color="auto"/>
          </w:divBdr>
        </w:div>
        <w:div w:id="1072042735">
          <w:marLeft w:val="480"/>
          <w:marRight w:val="0"/>
          <w:marTop w:val="0"/>
          <w:marBottom w:val="0"/>
          <w:divBdr>
            <w:top w:val="none" w:sz="0" w:space="0" w:color="auto"/>
            <w:left w:val="none" w:sz="0" w:space="0" w:color="auto"/>
            <w:bottom w:val="none" w:sz="0" w:space="0" w:color="auto"/>
            <w:right w:val="none" w:sz="0" w:space="0" w:color="auto"/>
          </w:divBdr>
        </w:div>
        <w:div w:id="1167015970">
          <w:marLeft w:val="480"/>
          <w:marRight w:val="0"/>
          <w:marTop w:val="0"/>
          <w:marBottom w:val="0"/>
          <w:divBdr>
            <w:top w:val="none" w:sz="0" w:space="0" w:color="auto"/>
            <w:left w:val="none" w:sz="0" w:space="0" w:color="auto"/>
            <w:bottom w:val="none" w:sz="0" w:space="0" w:color="auto"/>
            <w:right w:val="none" w:sz="0" w:space="0" w:color="auto"/>
          </w:divBdr>
        </w:div>
        <w:div w:id="1250427103">
          <w:marLeft w:val="480"/>
          <w:marRight w:val="0"/>
          <w:marTop w:val="0"/>
          <w:marBottom w:val="0"/>
          <w:divBdr>
            <w:top w:val="none" w:sz="0" w:space="0" w:color="auto"/>
            <w:left w:val="none" w:sz="0" w:space="0" w:color="auto"/>
            <w:bottom w:val="none" w:sz="0" w:space="0" w:color="auto"/>
            <w:right w:val="none" w:sz="0" w:space="0" w:color="auto"/>
          </w:divBdr>
        </w:div>
        <w:div w:id="1258755111">
          <w:marLeft w:val="480"/>
          <w:marRight w:val="0"/>
          <w:marTop w:val="0"/>
          <w:marBottom w:val="0"/>
          <w:divBdr>
            <w:top w:val="none" w:sz="0" w:space="0" w:color="auto"/>
            <w:left w:val="none" w:sz="0" w:space="0" w:color="auto"/>
            <w:bottom w:val="none" w:sz="0" w:space="0" w:color="auto"/>
            <w:right w:val="none" w:sz="0" w:space="0" w:color="auto"/>
          </w:divBdr>
        </w:div>
        <w:div w:id="1283266942">
          <w:marLeft w:val="480"/>
          <w:marRight w:val="0"/>
          <w:marTop w:val="0"/>
          <w:marBottom w:val="0"/>
          <w:divBdr>
            <w:top w:val="none" w:sz="0" w:space="0" w:color="auto"/>
            <w:left w:val="none" w:sz="0" w:space="0" w:color="auto"/>
            <w:bottom w:val="none" w:sz="0" w:space="0" w:color="auto"/>
            <w:right w:val="none" w:sz="0" w:space="0" w:color="auto"/>
          </w:divBdr>
        </w:div>
        <w:div w:id="1326781017">
          <w:marLeft w:val="480"/>
          <w:marRight w:val="0"/>
          <w:marTop w:val="0"/>
          <w:marBottom w:val="0"/>
          <w:divBdr>
            <w:top w:val="none" w:sz="0" w:space="0" w:color="auto"/>
            <w:left w:val="none" w:sz="0" w:space="0" w:color="auto"/>
            <w:bottom w:val="none" w:sz="0" w:space="0" w:color="auto"/>
            <w:right w:val="none" w:sz="0" w:space="0" w:color="auto"/>
          </w:divBdr>
        </w:div>
        <w:div w:id="1350522357">
          <w:marLeft w:val="480"/>
          <w:marRight w:val="0"/>
          <w:marTop w:val="0"/>
          <w:marBottom w:val="0"/>
          <w:divBdr>
            <w:top w:val="none" w:sz="0" w:space="0" w:color="auto"/>
            <w:left w:val="none" w:sz="0" w:space="0" w:color="auto"/>
            <w:bottom w:val="none" w:sz="0" w:space="0" w:color="auto"/>
            <w:right w:val="none" w:sz="0" w:space="0" w:color="auto"/>
          </w:divBdr>
        </w:div>
        <w:div w:id="1440948081">
          <w:marLeft w:val="480"/>
          <w:marRight w:val="0"/>
          <w:marTop w:val="0"/>
          <w:marBottom w:val="0"/>
          <w:divBdr>
            <w:top w:val="none" w:sz="0" w:space="0" w:color="auto"/>
            <w:left w:val="none" w:sz="0" w:space="0" w:color="auto"/>
            <w:bottom w:val="none" w:sz="0" w:space="0" w:color="auto"/>
            <w:right w:val="none" w:sz="0" w:space="0" w:color="auto"/>
          </w:divBdr>
        </w:div>
        <w:div w:id="1484664822">
          <w:marLeft w:val="480"/>
          <w:marRight w:val="0"/>
          <w:marTop w:val="0"/>
          <w:marBottom w:val="0"/>
          <w:divBdr>
            <w:top w:val="none" w:sz="0" w:space="0" w:color="auto"/>
            <w:left w:val="none" w:sz="0" w:space="0" w:color="auto"/>
            <w:bottom w:val="none" w:sz="0" w:space="0" w:color="auto"/>
            <w:right w:val="none" w:sz="0" w:space="0" w:color="auto"/>
          </w:divBdr>
        </w:div>
        <w:div w:id="1579746117">
          <w:marLeft w:val="480"/>
          <w:marRight w:val="0"/>
          <w:marTop w:val="0"/>
          <w:marBottom w:val="0"/>
          <w:divBdr>
            <w:top w:val="none" w:sz="0" w:space="0" w:color="auto"/>
            <w:left w:val="none" w:sz="0" w:space="0" w:color="auto"/>
            <w:bottom w:val="none" w:sz="0" w:space="0" w:color="auto"/>
            <w:right w:val="none" w:sz="0" w:space="0" w:color="auto"/>
          </w:divBdr>
        </w:div>
        <w:div w:id="1695644935">
          <w:marLeft w:val="480"/>
          <w:marRight w:val="0"/>
          <w:marTop w:val="0"/>
          <w:marBottom w:val="0"/>
          <w:divBdr>
            <w:top w:val="none" w:sz="0" w:space="0" w:color="auto"/>
            <w:left w:val="none" w:sz="0" w:space="0" w:color="auto"/>
            <w:bottom w:val="none" w:sz="0" w:space="0" w:color="auto"/>
            <w:right w:val="none" w:sz="0" w:space="0" w:color="auto"/>
          </w:divBdr>
        </w:div>
        <w:div w:id="1711832756">
          <w:marLeft w:val="480"/>
          <w:marRight w:val="0"/>
          <w:marTop w:val="0"/>
          <w:marBottom w:val="0"/>
          <w:divBdr>
            <w:top w:val="none" w:sz="0" w:space="0" w:color="auto"/>
            <w:left w:val="none" w:sz="0" w:space="0" w:color="auto"/>
            <w:bottom w:val="none" w:sz="0" w:space="0" w:color="auto"/>
            <w:right w:val="none" w:sz="0" w:space="0" w:color="auto"/>
          </w:divBdr>
        </w:div>
        <w:div w:id="1763064578">
          <w:marLeft w:val="480"/>
          <w:marRight w:val="0"/>
          <w:marTop w:val="0"/>
          <w:marBottom w:val="0"/>
          <w:divBdr>
            <w:top w:val="none" w:sz="0" w:space="0" w:color="auto"/>
            <w:left w:val="none" w:sz="0" w:space="0" w:color="auto"/>
            <w:bottom w:val="none" w:sz="0" w:space="0" w:color="auto"/>
            <w:right w:val="none" w:sz="0" w:space="0" w:color="auto"/>
          </w:divBdr>
        </w:div>
        <w:div w:id="1769543488">
          <w:marLeft w:val="480"/>
          <w:marRight w:val="0"/>
          <w:marTop w:val="0"/>
          <w:marBottom w:val="0"/>
          <w:divBdr>
            <w:top w:val="none" w:sz="0" w:space="0" w:color="auto"/>
            <w:left w:val="none" w:sz="0" w:space="0" w:color="auto"/>
            <w:bottom w:val="none" w:sz="0" w:space="0" w:color="auto"/>
            <w:right w:val="none" w:sz="0" w:space="0" w:color="auto"/>
          </w:divBdr>
        </w:div>
        <w:div w:id="1782844188">
          <w:marLeft w:val="480"/>
          <w:marRight w:val="0"/>
          <w:marTop w:val="0"/>
          <w:marBottom w:val="0"/>
          <w:divBdr>
            <w:top w:val="none" w:sz="0" w:space="0" w:color="auto"/>
            <w:left w:val="none" w:sz="0" w:space="0" w:color="auto"/>
            <w:bottom w:val="none" w:sz="0" w:space="0" w:color="auto"/>
            <w:right w:val="none" w:sz="0" w:space="0" w:color="auto"/>
          </w:divBdr>
        </w:div>
        <w:div w:id="1786774124">
          <w:marLeft w:val="480"/>
          <w:marRight w:val="0"/>
          <w:marTop w:val="0"/>
          <w:marBottom w:val="0"/>
          <w:divBdr>
            <w:top w:val="none" w:sz="0" w:space="0" w:color="auto"/>
            <w:left w:val="none" w:sz="0" w:space="0" w:color="auto"/>
            <w:bottom w:val="none" w:sz="0" w:space="0" w:color="auto"/>
            <w:right w:val="none" w:sz="0" w:space="0" w:color="auto"/>
          </w:divBdr>
        </w:div>
        <w:div w:id="1814713356">
          <w:marLeft w:val="480"/>
          <w:marRight w:val="0"/>
          <w:marTop w:val="0"/>
          <w:marBottom w:val="0"/>
          <w:divBdr>
            <w:top w:val="none" w:sz="0" w:space="0" w:color="auto"/>
            <w:left w:val="none" w:sz="0" w:space="0" w:color="auto"/>
            <w:bottom w:val="none" w:sz="0" w:space="0" w:color="auto"/>
            <w:right w:val="none" w:sz="0" w:space="0" w:color="auto"/>
          </w:divBdr>
        </w:div>
        <w:div w:id="1846047732">
          <w:marLeft w:val="480"/>
          <w:marRight w:val="0"/>
          <w:marTop w:val="0"/>
          <w:marBottom w:val="0"/>
          <w:divBdr>
            <w:top w:val="none" w:sz="0" w:space="0" w:color="auto"/>
            <w:left w:val="none" w:sz="0" w:space="0" w:color="auto"/>
            <w:bottom w:val="none" w:sz="0" w:space="0" w:color="auto"/>
            <w:right w:val="none" w:sz="0" w:space="0" w:color="auto"/>
          </w:divBdr>
        </w:div>
        <w:div w:id="1855338343">
          <w:marLeft w:val="480"/>
          <w:marRight w:val="0"/>
          <w:marTop w:val="0"/>
          <w:marBottom w:val="0"/>
          <w:divBdr>
            <w:top w:val="none" w:sz="0" w:space="0" w:color="auto"/>
            <w:left w:val="none" w:sz="0" w:space="0" w:color="auto"/>
            <w:bottom w:val="none" w:sz="0" w:space="0" w:color="auto"/>
            <w:right w:val="none" w:sz="0" w:space="0" w:color="auto"/>
          </w:divBdr>
        </w:div>
        <w:div w:id="1883787207">
          <w:marLeft w:val="480"/>
          <w:marRight w:val="0"/>
          <w:marTop w:val="0"/>
          <w:marBottom w:val="0"/>
          <w:divBdr>
            <w:top w:val="none" w:sz="0" w:space="0" w:color="auto"/>
            <w:left w:val="none" w:sz="0" w:space="0" w:color="auto"/>
            <w:bottom w:val="none" w:sz="0" w:space="0" w:color="auto"/>
            <w:right w:val="none" w:sz="0" w:space="0" w:color="auto"/>
          </w:divBdr>
        </w:div>
        <w:div w:id="1898279789">
          <w:marLeft w:val="480"/>
          <w:marRight w:val="0"/>
          <w:marTop w:val="0"/>
          <w:marBottom w:val="0"/>
          <w:divBdr>
            <w:top w:val="none" w:sz="0" w:space="0" w:color="auto"/>
            <w:left w:val="none" w:sz="0" w:space="0" w:color="auto"/>
            <w:bottom w:val="none" w:sz="0" w:space="0" w:color="auto"/>
            <w:right w:val="none" w:sz="0" w:space="0" w:color="auto"/>
          </w:divBdr>
        </w:div>
        <w:div w:id="1956862106">
          <w:marLeft w:val="480"/>
          <w:marRight w:val="0"/>
          <w:marTop w:val="0"/>
          <w:marBottom w:val="0"/>
          <w:divBdr>
            <w:top w:val="none" w:sz="0" w:space="0" w:color="auto"/>
            <w:left w:val="none" w:sz="0" w:space="0" w:color="auto"/>
            <w:bottom w:val="none" w:sz="0" w:space="0" w:color="auto"/>
            <w:right w:val="none" w:sz="0" w:space="0" w:color="auto"/>
          </w:divBdr>
        </w:div>
        <w:div w:id="1958676860">
          <w:marLeft w:val="480"/>
          <w:marRight w:val="0"/>
          <w:marTop w:val="0"/>
          <w:marBottom w:val="0"/>
          <w:divBdr>
            <w:top w:val="none" w:sz="0" w:space="0" w:color="auto"/>
            <w:left w:val="none" w:sz="0" w:space="0" w:color="auto"/>
            <w:bottom w:val="none" w:sz="0" w:space="0" w:color="auto"/>
            <w:right w:val="none" w:sz="0" w:space="0" w:color="auto"/>
          </w:divBdr>
        </w:div>
        <w:div w:id="1965888288">
          <w:marLeft w:val="480"/>
          <w:marRight w:val="0"/>
          <w:marTop w:val="0"/>
          <w:marBottom w:val="0"/>
          <w:divBdr>
            <w:top w:val="none" w:sz="0" w:space="0" w:color="auto"/>
            <w:left w:val="none" w:sz="0" w:space="0" w:color="auto"/>
            <w:bottom w:val="none" w:sz="0" w:space="0" w:color="auto"/>
            <w:right w:val="none" w:sz="0" w:space="0" w:color="auto"/>
          </w:divBdr>
        </w:div>
        <w:div w:id="1968928819">
          <w:marLeft w:val="480"/>
          <w:marRight w:val="0"/>
          <w:marTop w:val="0"/>
          <w:marBottom w:val="0"/>
          <w:divBdr>
            <w:top w:val="none" w:sz="0" w:space="0" w:color="auto"/>
            <w:left w:val="none" w:sz="0" w:space="0" w:color="auto"/>
            <w:bottom w:val="none" w:sz="0" w:space="0" w:color="auto"/>
            <w:right w:val="none" w:sz="0" w:space="0" w:color="auto"/>
          </w:divBdr>
        </w:div>
        <w:div w:id="1975060342">
          <w:marLeft w:val="480"/>
          <w:marRight w:val="0"/>
          <w:marTop w:val="0"/>
          <w:marBottom w:val="0"/>
          <w:divBdr>
            <w:top w:val="none" w:sz="0" w:space="0" w:color="auto"/>
            <w:left w:val="none" w:sz="0" w:space="0" w:color="auto"/>
            <w:bottom w:val="none" w:sz="0" w:space="0" w:color="auto"/>
            <w:right w:val="none" w:sz="0" w:space="0" w:color="auto"/>
          </w:divBdr>
        </w:div>
        <w:div w:id="2040743477">
          <w:marLeft w:val="480"/>
          <w:marRight w:val="0"/>
          <w:marTop w:val="0"/>
          <w:marBottom w:val="0"/>
          <w:divBdr>
            <w:top w:val="none" w:sz="0" w:space="0" w:color="auto"/>
            <w:left w:val="none" w:sz="0" w:space="0" w:color="auto"/>
            <w:bottom w:val="none" w:sz="0" w:space="0" w:color="auto"/>
            <w:right w:val="none" w:sz="0" w:space="0" w:color="auto"/>
          </w:divBdr>
        </w:div>
        <w:div w:id="2046983198">
          <w:marLeft w:val="480"/>
          <w:marRight w:val="0"/>
          <w:marTop w:val="0"/>
          <w:marBottom w:val="0"/>
          <w:divBdr>
            <w:top w:val="none" w:sz="0" w:space="0" w:color="auto"/>
            <w:left w:val="none" w:sz="0" w:space="0" w:color="auto"/>
            <w:bottom w:val="none" w:sz="0" w:space="0" w:color="auto"/>
            <w:right w:val="none" w:sz="0" w:space="0" w:color="auto"/>
          </w:divBdr>
        </w:div>
        <w:div w:id="2049866639">
          <w:marLeft w:val="480"/>
          <w:marRight w:val="0"/>
          <w:marTop w:val="0"/>
          <w:marBottom w:val="0"/>
          <w:divBdr>
            <w:top w:val="none" w:sz="0" w:space="0" w:color="auto"/>
            <w:left w:val="none" w:sz="0" w:space="0" w:color="auto"/>
            <w:bottom w:val="none" w:sz="0" w:space="0" w:color="auto"/>
            <w:right w:val="none" w:sz="0" w:space="0" w:color="auto"/>
          </w:divBdr>
        </w:div>
        <w:div w:id="2089233148">
          <w:marLeft w:val="480"/>
          <w:marRight w:val="0"/>
          <w:marTop w:val="0"/>
          <w:marBottom w:val="0"/>
          <w:divBdr>
            <w:top w:val="none" w:sz="0" w:space="0" w:color="auto"/>
            <w:left w:val="none" w:sz="0" w:space="0" w:color="auto"/>
            <w:bottom w:val="none" w:sz="0" w:space="0" w:color="auto"/>
            <w:right w:val="none" w:sz="0" w:space="0" w:color="auto"/>
          </w:divBdr>
        </w:div>
        <w:div w:id="2106920060">
          <w:marLeft w:val="480"/>
          <w:marRight w:val="0"/>
          <w:marTop w:val="0"/>
          <w:marBottom w:val="0"/>
          <w:divBdr>
            <w:top w:val="none" w:sz="0" w:space="0" w:color="auto"/>
            <w:left w:val="none" w:sz="0" w:space="0" w:color="auto"/>
            <w:bottom w:val="none" w:sz="0" w:space="0" w:color="auto"/>
            <w:right w:val="none" w:sz="0" w:space="0" w:color="auto"/>
          </w:divBdr>
        </w:div>
      </w:divsChild>
    </w:div>
    <w:div w:id="1099107746">
      <w:bodyDiv w:val="1"/>
      <w:marLeft w:val="0"/>
      <w:marRight w:val="0"/>
      <w:marTop w:val="0"/>
      <w:marBottom w:val="0"/>
      <w:divBdr>
        <w:top w:val="none" w:sz="0" w:space="0" w:color="auto"/>
        <w:left w:val="none" w:sz="0" w:space="0" w:color="auto"/>
        <w:bottom w:val="none" w:sz="0" w:space="0" w:color="auto"/>
        <w:right w:val="none" w:sz="0" w:space="0" w:color="auto"/>
      </w:divBdr>
    </w:div>
    <w:div w:id="1100418249">
      <w:bodyDiv w:val="1"/>
      <w:marLeft w:val="0"/>
      <w:marRight w:val="0"/>
      <w:marTop w:val="0"/>
      <w:marBottom w:val="0"/>
      <w:divBdr>
        <w:top w:val="none" w:sz="0" w:space="0" w:color="auto"/>
        <w:left w:val="none" w:sz="0" w:space="0" w:color="auto"/>
        <w:bottom w:val="none" w:sz="0" w:space="0" w:color="auto"/>
        <w:right w:val="none" w:sz="0" w:space="0" w:color="auto"/>
      </w:divBdr>
    </w:div>
    <w:div w:id="1103454480">
      <w:bodyDiv w:val="1"/>
      <w:marLeft w:val="0"/>
      <w:marRight w:val="0"/>
      <w:marTop w:val="0"/>
      <w:marBottom w:val="0"/>
      <w:divBdr>
        <w:top w:val="none" w:sz="0" w:space="0" w:color="auto"/>
        <w:left w:val="none" w:sz="0" w:space="0" w:color="auto"/>
        <w:bottom w:val="none" w:sz="0" w:space="0" w:color="auto"/>
        <w:right w:val="none" w:sz="0" w:space="0" w:color="auto"/>
      </w:divBdr>
    </w:div>
    <w:div w:id="1105536498">
      <w:bodyDiv w:val="1"/>
      <w:marLeft w:val="0"/>
      <w:marRight w:val="0"/>
      <w:marTop w:val="0"/>
      <w:marBottom w:val="0"/>
      <w:divBdr>
        <w:top w:val="none" w:sz="0" w:space="0" w:color="auto"/>
        <w:left w:val="none" w:sz="0" w:space="0" w:color="auto"/>
        <w:bottom w:val="none" w:sz="0" w:space="0" w:color="auto"/>
        <w:right w:val="none" w:sz="0" w:space="0" w:color="auto"/>
      </w:divBdr>
      <w:divsChild>
        <w:div w:id="75632601">
          <w:marLeft w:val="480"/>
          <w:marRight w:val="0"/>
          <w:marTop w:val="0"/>
          <w:marBottom w:val="0"/>
          <w:divBdr>
            <w:top w:val="none" w:sz="0" w:space="0" w:color="auto"/>
            <w:left w:val="none" w:sz="0" w:space="0" w:color="auto"/>
            <w:bottom w:val="none" w:sz="0" w:space="0" w:color="auto"/>
            <w:right w:val="none" w:sz="0" w:space="0" w:color="auto"/>
          </w:divBdr>
        </w:div>
        <w:div w:id="82184750">
          <w:marLeft w:val="480"/>
          <w:marRight w:val="0"/>
          <w:marTop w:val="0"/>
          <w:marBottom w:val="0"/>
          <w:divBdr>
            <w:top w:val="none" w:sz="0" w:space="0" w:color="auto"/>
            <w:left w:val="none" w:sz="0" w:space="0" w:color="auto"/>
            <w:bottom w:val="none" w:sz="0" w:space="0" w:color="auto"/>
            <w:right w:val="none" w:sz="0" w:space="0" w:color="auto"/>
          </w:divBdr>
        </w:div>
        <w:div w:id="88553099">
          <w:marLeft w:val="480"/>
          <w:marRight w:val="0"/>
          <w:marTop w:val="0"/>
          <w:marBottom w:val="0"/>
          <w:divBdr>
            <w:top w:val="none" w:sz="0" w:space="0" w:color="auto"/>
            <w:left w:val="none" w:sz="0" w:space="0" w:color="auto"/>
            <w:bottom w:val="none" w:sz="0" w:space="0" w:color="auto"/>
            <w:right w:val="none" w:sz="0" w:space="0" w:color="auto"/>
          </w:divBdr>
        </w:div>
        <w:div w:id="97453416">
          <w:marLeft w:val="480"/>
          <w:marRight w:val="0"/>
          <w:marTop w:val="0"/>
          <w:marBottom w:val="0"/>
          <w:divBdr>
            <w:top w:val="none" w:sz="0" w:space="0" w:color="auto"/>
            <w:left w:val="none" w:sz="0" w:space="0" w:color="auto"/>
            <w:bottom w:val="none" w:sz="0" w:space="0" w:color="auto"/>
            <w:right w:val="none" w:sz="0" w:space="0" w:color="auto"/>
          </w:divBdr>
        </w:div>
        <w:div w:id="97875549">
          <w:marLeft w:val="480"/>
          <w:marRight w:val="0"/>
          <w:marTop w:val="0"/>
          <w:marBottom w:val="0"/>
          <w:divBdr>
            <w:top w:val="none" w:sz="0" w:space="0" w:color="auto"/>
            <w:left w:val="none" w:sz="0" w:space="0" w:color="auto"/>
            <w:bottom w:val="none" w:sz="0" w:space="0" w:color="auto"/>
            <w:right w:val="none" w:sz="0" w:space="0" w:color="auto"/>
          </w:divBdr>
        </w:div>
        <w:div w:id="107042883">
          <w:marLeft w:val="480"/>
          <w:marRight w:val="0"/>
          <w:marTop w:val="0"/>
          <w:marBottom w:val="0"/>
          <w:divBdr>
            <w:top w:val="none" w:sz="0" w:space="0" w:color="auto"/>
            <w:left w:val="none" w:sz="0" w:space="0" w:color="auto"/>
            <w:bottom w:val="none" w:sz="0" w:space="0" w:color="auto"/>
            <w:right w:val="none" w:sz="0" w:space="0" w:color="auto"/>
          </w:divBdr>
        </w:div>
        <w:div w:id="140194488">
          <w:marLeft w:val="480"/>
          <w:marRight w:val="0"/>
          <w:marTop w:val="0"/>
          <w:marBottom w:val="0"/>
          <w:divBdr>
            <w:top w:val="none" w:sz="0" w:space="0" w:color="auto"/>
            <w:left w:val="none" w:sz="0" w:space="0" w:color="auto"/>
            <w:bottom w:val="none" w:sz="0" w:space="0" w:color="auto"/>
            <w:right w:val="none" w:sz="0" w:space="0" w:color="auto"/>
          </w:divBdr>
        </w:div>
        <w:div w:id="185606210">
          <w:marLeft w:val="480"/>
          <w:marRight w:val="0"/>
          <w:marTop w:val="0"/>
          <w:marBottom w:val="0"/>
          <w:divBdr>
            <w:top w:val="none" w:sz="0" w:space="0" w:color="auto"/>
            <w:left w:val="none" w:sz="0" w:space="0" w:color="auto"/>
            <w:bottom w:val="none" w:sz="0" w:space="0" w:color="auto"/>
            <w:right w:val="none" w:sz="0" w:space="0" w:color="auto"/>
          </w:divBdr>
        </w:div>
        <w:div w:id="217133348">
          <w:marLeft w:val="480"/>
          <w:marRight w:val="0"/>
          <w:marTop w:val="0"/>
          <w:marBottom w:val="0"/>
          <w:divBdr>
            <w:top w:val="none" w:sz="0" w:space="0" w:color="auto"/>
            <w:left w:val="none" w:sz="0" w:space="0" w:color="auto"/>
            <w:bottom w:val="none" w:sz="0" w:space="0" w:color="auto"/>
            <w:right w:val="none" w:sz="0" w:space="0" w:color="auto"/>
          </w:divBdr>
        </w:div>
        <w:div w:id="238255479">
          <w:marLeft w:val="480"/>
          <w:marRight w:val="0"/>
          <w:marTop w:val="0"/>
          <w:marBottom w:val="0"/>
          <w:divBdr>
            <w:top w:val="none" w:sz="0" w:space="0" w:color="auto"/>
            <w:left w:val="none" w:sz="0" w:space="0" w:color="auto"/>
            <w:bottom w:val="none" w:sz="0" w:space="0" w:color="auto"/>
            <w:right w:val="none" w:sz="0" w:space="0" w:color="auto"/>
          </w:divBdr>
        </w:div>
        <w:div w:id="258368379">
          <w:marLeft w:val="480"/>
          <w:marRight w:val="0"/>
          <w:marTop w:val="0"/>
          <w:marBottom w:val="0"/>
          <w:divBdr>
            <w:top w:val="none" w:sz="0" w:space="0" w:color="auto"/>
            <w:left w:val="none" w:sz="0" w:space="0" w:color="auto"/>
            <w:bottom w:val="none" w:sz="0" w:space="0" w:color="auto"/>
            <w:right w:val="none" w:sz="0" w:space="0" w:color="auto"/>
          </w:divBdr>
        </w:div>
        <w:div w:id="264851213">
          <w:marLeft w:val="480"/>
          <w:marRight w:val="0"/>
          <w:marTop w:val="0"/>
          <w:marBottom w:val="0"/>
          <w:divBdr>
            <w:top w:val="none" w:sz="0" w:space="0" w:color="auto"/>
            <w:left w:val="none" w:sz="0" w:space="0" w:color="auto"/>
            <w:bottom w:val="none" w:sz="0" w:space="0" w:color="auto"/>
            <w:right w:val="none" w:sz="0" w:space="0" w:color="auto"/>
          </w:divBdr>
        </w:div>
        <w:div w:id="296032437">
          <w:marLeft w:val="480"/>
          <w:marRight w:val="0"/>
          <w:marTop w:val="0"/>
          <w:marBottom w:val="0"/>
          <w:divBdr>
            <w:top w:val="none" w:sz="0" w:space="0" w:color="auto"/>
            <w:left w:val="none" w:sz="0" w:space="0" w:color="auto"/>
            <w:bottom w:val="none" w:sz="0" w:space="0" w:color="auto"/>
            <w:right w:val="none" w:sz="0" w:space="0" w:color="auto"/>
          </w:divBdr>
        </w:div>
        <w:div w:id="326322695">
          <w:marLeft w:val="480"/>
          <w:marRight w:val="0"/>
          <w:marTop w:val="0"/>
          <w:marBottom w:val="0"/>
          <w:divBdr>
            <w:top w:val="none" w:sz="0" w:space="0" w:color="auto"/>
            <w:left w:val="none" w:sz="0" w:space="0" w:color="auto"/>
            <w:bottom w:val="none" w:sz="0" w:space="0" w:color="auto"/>
            <w:right w:val="none" w:sz="0" w:space="0" w:color="auto"/>
          </w:divBdr>
        </w:div>
        <w:div w:id="356347334">
          <w:marLeft w:val="480"/>
          <w:marRight w:val="0"/>
          <w:marTop w:val="0"/>
          <w:marBottom w:val="0"/>
          <w:divBdr>
            <w:top w:val="none" w:sz="0" w:space="0" w:color="auto"/>
            <w:left w:val="none" w:sz="0" w:space="0" w:color="auto"/>
            <w:bottom w:val="none" w:sz="0" w:space="0" w:color="auto"/>
            <w:right w:val="none" w:sz="0" w:space="0" w:color="auto"/>
          </w:divBdr>
        </w:div>
        <w:div w:id="431047675">
          <w:marLeft w:val="480"/>
          <w:marRight w:val="0"/>
          <w:marTop w:val="0"/>
          <w:marBottom w:val="0"/>
          <w:divBdr>
            <w:top w:val="none" w:sz="0" w:space="0" w:color="auto"/>
            <w:left w:val="none" w:sz="0" w:space="0" w:color="auto"/>
            <w:bottom w:val="none" w:sz="0" w:space="0" w:color="auto"/>
            <w:right w:val="none" w:sz="0" w:space="0" w:color="auto"/>
          </w:divBdr>
        </w:div>
        <w:div w:id="437456899">
          <w:marLeft w:val="480"/>
          <w:marRight w:val="0"/>
          <w:marTop w:val="0"/>
          <w:marBottom w:val="0"/>
          <w:divBdr>
            <w:top w:val="none" w:sz="0" w:space="0" w:color="auto"/>
            <w:left w:val="none" w:sz="0" w:space="0" w:color="auto"/>
            <w:bottom w:val="none" w:sz="0" w:space="0" w:color="auto"/>
            <w:right w:val="none" w:sz="0" w:space="0" w:color="auto"/>
          </w:divBdr>
        </w:div>
        <w:div w:id="505052239">
          <w:marLeft w:val="480"/>
          <w:marRight w:val="0"/>
          <w:marTop w:val="0"/>
          <w:marBottom w:val="0"/>
          <w:divBdr>
            <w:top w:val="none" w:sz="0" w:space="0" w:color="auto"/>
            <w:left w:val="none" w:sz="0" w:space="0" w:color="auto"/>
            <w:bottom w:val="none" w:sz="0" w:space="0" w:color="auto"/>
            <w:right w:val="none" w:sz="0" w:space="0" w:color="auto"/>
          </w:divBdr>
        </w:div>
        <w:div w:id="645820209">
          <w:marLeft w:val="480"/>
          <w:marRight w:val="0"/>
          <w:marTop w:val="0"/>
          <w:marBottom w:val="0"/>
          <w:divBdr>
            <w:top w:val="none" w:sz="0" w:space="0" w:color="auto"/>
            <w:left w:val="none" w:sz="0" w:space="0" w:color="auto"/>
            <w:bottom w:val="none" w:sz="0" w:space="0" w:color="auto"/>
            <w:right w:val="none" w:sz="0" w:space="0" w:color="auto"/>
          </w:divBdr>
        </w:div>
        <w:div w:id="884676847">
          <w:marLeft w:val="480"/>
          <w:marRight w:val="0"/>
          <w:marTop w:val="0"/>
          <w:marBottom w:val="0"/>
          <w:divBdr>
            <w:top w:val="none" w:sz="0" w:space="0" w:color="auto"/>
            <w:left w:val="none" w:sz="0" w:space="0" w:color="auto"/>
            <w:bottom w:val="none" w:sz="0" w:space="0" w:color="auto"/>
            <w:right w:val="none" w:sz="0" w:space="0" w:color="auto"/>
          </w:divBdr>
        </w:div>
        <w:div w:id="915167167">
          <w:marLeft w:val="480"/>
          <w:marRight w:val="0"/>
          <w:marTop w:val="0"/>
          <w:marBottom w:val="0"/>
          <w:divBdr>
            <w:top w:val="none" w:sz="0" w:space="0" w:color="auto"/>
            <w:left w:val="none" w:sz="0" w:space="0" w:color="auto"/>
            <w:bottom w:val="none" w:sz="0" w:space="0" w:color="auto"/>
            <w:right w:val="none" w:sz="0" w:space="0" w:color="auto"/>
          </w:divBdr>
        </w:div>
        <w:div w:id="932057838">
          <w:marLeft w:val="480"/>
          <w:marRight w:val="0"/>
          <w:marTop w:val="0"/>
          <w:marBottom w:val="0"/>
          <w:divBdr>
            <w:top w:val="none" w:sz="0" w:space="0" w:color="auto"/>
            <w:left w:val="none" w:sz="0" w:space="0" w:color="auto"/>
            <w:bottom w:val="none" w:sz="0" w:space="0" w:color="auto"/>
            <w:right w:val="none" w:sz="0" w:space="0" w:color="auto"/>
          </w:divBdr>
        </w:div>
        <w:div w:id="1011105306">
          <w:marLeft w:val="480"/>
          <w:marRight w:val="0"/>
          <w:marTop w:val="0"/>
          <w:marBottom w:val="0"/>
          <w:divBdr>
            <w:top w:val="none" w:sz="0" w:space="0" w:color="auto"/>
            <w:left w:val="none" w:sz="0" w:space="0" w:color="auto"/>
            <w:bottom w:val="none" w:sz="0" w:space="0" w:color="auto"/>
            <w:right w:val="none" w:sz="0" w:space="0" w:color="auto"/>
          </w:divBdr>
        </w:div>
        <w:div w:id="1016267235">
          <w:marLeft w:val="480"/>
          <w:marRight w:val="0"/>
          <w:marTop w:val="0"/>
          <w:marBottom w:val="0"/>
          <w:divBdr>
            <w:top w:val="none" w:sz="0" w:space="0" w:color="auto"/>
            <w:left w:val="none" w:sz="0" w:space="0" w:color="auto"/>
            <w:bottom w:val="none" w:sz="0" w:space="0" w:color="auto"/>
            <w:right w:val="none" w:sz="0" w:space="0" w:color="auto"/>
          </w:divBdr>
        </w:div>
        <w:div w:id="1022778873">
          <w:marLeft w:val="480"/>
          <w:marRight w:val="0"/>
          <w:marTop w:val="0"/>
          <w:marBottom w:val="0"/>
          <w:divBdr>
            <w:top w:val="none" w:sz="0" w:space="0" w:color="auto"/>
            <w:left w:val="none" w:sz="0" w:space="0" w:color="auto"/>
            <w:bottom w:val="none" w:sz="0" w:space="0" w:color="auto"/>
            <w:right w:val="none" w:sz="0" w:space="0" w:color="auto"/>
          </w:divBdr>
        </w:div>
        <w:div w:id="1037196069">
          <w:marLeft w:val="480"/>
          <w:marRight w:val="0"/>
          <w:marTop w:val="0"/>
          <w:marBottom w:val="0"/>
          <w:divBdr>
            <w:top w:val="none" w:sz="0" w:space="0" w:color="auto"/>
            <w:left w:val="none" w:sz="0" w:space="0" w:color="auto"/>
            <w:bottom w:val="none" w:sz="0" w:space="0" w:color="auto"/>
            <w:right w:val="none" w:sz="0" w:space="0" w:color="auto"/>
          </w:divBdr>
        </w:div>
        <w:div w:id="1040284459">
          <w:marLeft w:val="480"/>
          <w:marRight w:val="0"/>
          <w:marTop w:val="0"/>
          <w:marBottom w:val="0"/>
          <w:divBdr>
            <w:top w:val="none" w:sz="0" w:space="0" w:color="auto"/>
            <w:left w:val="none" w:sz="0" w:space="0" w:color="auto"/>
            <w:bottom w:val="none" w:sz="0" w:space="0" w:color="auto"/>
            <w:right w:val="none" w:sz="0" w:space="0" w:color="auto"/>
          </w:divBdr>
        </w:div>
        <w:div w:id="1091048103">
          <w:marLeft w:val="480"/>
          <w:marRight w:val="0"/>
          <w:marTop w:val="0"/>
          <w:marBottom w:val="0"/>
          <w:divBdr>
            <w:top w:val="none" w:sz="0" w:space="0" w:color="auto"/>
            <w:left w:val="none" w:sz="0" w:space="0" w:color="auto"/>
            <w:bottom w:val="none" w:sz="0" w:space="0" w:color="auto"/>
            <w:right w:val="none" w:sz="0" w:space="0" w:color="auto"/>
          </w:divBdr>
        </w:div>
        <w:div w:id="1111631248">
          <w:marLeft w:val="480"/>
          <w:marRight w:val="0"/>
          <w:marTop w:val="0"/>
          <w:marBottom w:val="0"/>
          <w:divBdr>
            <w:top w:val="none" w:sz="0" w:space="0" w:color="auto"/>
            <w:left w:val="none" w:sz="0" w:space="0" w:color="auto"/>
            <w:bottom w:val="none" w:sz="0" w:space="0" w:color="auto"/>
            <w:right w:val="none" w:sz="0" w:space="0" w:color="auto"/>
          </w:divBdr>
        </w:div>
        <w:div w:id="1117603626">
          <w:marLeft w:val="480"/>
          <w:marRight w:val="0"/>
          <w:marTop w:val="0"/>
          <w:marBottom w:val="0"/>
          <w:divBdr>
            <w:top w:val="none" w:sz="0" w:space="0" w:color="auto"/>
            <w:left w:val="none" w:sz="0" w:space="0" w:color="auto"/>
            <w:bottom w:val="none" w:sz="0" w:space="0" w:color="auto"/>
            <w:right w:val="none" w:sz="0" w:space="0" w:color="auto"/>
          </w:divBdr>
        </w:div>
        <w:div w:id="1139806107">
          <w:marLeft w:val="480"/>
          <w:marRight w:val="0"/>
          <w:marTop w:val="0"/>
          <w:marBottom w:val="0"/>
          <w:divBdr>
            <w:top w:val="none" w:sz="0" w:space="0" w:color="auto"/>
            <w:left w:val="none" w:sz="0" w:space="0" w:color="auto"/>
            <w:bottom w:val="none" w:sz="0" w:space="0" w:color="auto"/>
            <w:right w:val="none" w:sz="0" w:space="0" w:color="auto"/>
          </w:divBdr>
        </w:div>
        <w:div w:id="1148715980">
          <w:marLeft w:val="480"/>
          <w:marRight w:val="0"/>
          <w:marTop w:val="0"/>
          <w:marBottom w:val="0"/>
          <w:divBdr>
            <w:top w:val="none" w:sz="0" w:space="0" w:color="auto"/>
            <w:left w:val="none" w:sz="0" w:space="0" w:color="auto"/>
            <w:bottom w:val="none" w:sz="0" w:space="0" w:color="auto"/>
            <w:right w:val="none" w:sz="0" w:space="0" w:color="auto"/>
          </w:divBdr>
        </w:div>
        <w:div w:id="1154492208">
          <w:marLeft w:val="480"/>
          <w:marRight w:val="0"/>
          <w:marTop w:val="0"/>
          <w:marBottom w:val="0"/>
          <w:divBdr>
            <w:top w:val="none" w:sz="0" w:space="0" w:color="auto"/>
            <w:left w:val="none" w:sz="0" w:space="0" w:color="auto"/>
            <w:bottom w:val="none" w:sz="0" w:space="0" w:color="auto"/>
            <w:right w:val="none" w:sz="0" w:space="0" w:color="auto"/>
          </w:divBdr>
        </w:div>
        <w:div w:id="1197544509">
          <w:marLeft w:val="480"/>
          <w:marRight w:val="0"/>
          <w:marTop w:val="0"/>
          <w:marBottom w:val="0"/>
          <w:divBdr>
            <w:top w:val="none" w:sz="0" w:space="0" w:color="auto"/>
            <w:left w:val="none" w:sz="0" w:space="0" w:color="auto"/>
            <w:bottom w:val="none" w:sz="0" w:space="0" w:color="auto"/>
            <w:right w:val="none" w:sz="0" w:space="0" w:color="auto"/>
          </w:divBdr>
        </w:div>
        <w:div w:id="1250428825">
          <w:marLeft w:val="480"/>
          <w:marRight w:val="0"/>
          <w:marTop w:val="0"/>
          <w:marBottom w:val="0"/>
          <w:divBdr>
            <w:top w:val="none" w:sz="0" w:space="0" w:color="auto"/>
            <w:left w:val="none" w:sz="0" w:space="0" w:color="auto"/>
            <w:bottom w:val="none" w:sz="0" w:space="0" w:color="auto"/>
            <w:right w:val="none" w:sz="0" w:space="0" w:color="auto"/>
          </w:divBdr>
        </w:div>
        <w:div w:id="1267344489">
          <w:marLeft w:val="480"/>
          <w:marRight w:val="0"/>
          <w:marTop w:val="0"/>
          <w:marBottom w:val="0"/>
          <w:divBdr>
            <w:top w:val="none" w:sz="0" w:space="0" w:color="auto"/>
            <w:left w:val="none" w:sz="0" w:space="0" w:color="auto"/>
            <w:bottom w:val="none" w:sz="0" w:space="0" w:color="auto"/>
            <w:right w:val="none" w:sz="0" w:space="0" w:color="auto"/>
          </w:divBdr>
        </w:div>
        <w:div w:id="1277832412">
          <w:marLeft w:val="480"/>
          <w:marRight w:val="0"/>
          <w:marTop w:val="0"/>
          <w:marBottom w:val="0"/>
          <w:divBdr>
            <w:top w:val="none" w:sz="0" w:space="0" w:color="auto"/>
            <w:left w:val="none" w:sz="0" w:space="0" w:color="auto"/>
            <w:bottom w:val="none" w:sz="0" w:space="0" w:color="auto"/>
            <w:right w:val="none" w:sz="0" w:space="0" w:color="auto"/>
          </w:divBdr>
        </w:div>
        <w:div w:id="1359357948">
          <w:marLeft w:val="480"/>
          <w:marRight w:val="0"/>
          <w:marTop w:val="0"/>
          <w:marBottom w:val="0"/>
          <w:divBdr>
            <w:top w:val="none" w:sz="0" w:space="0" w:color="auto"/>
            <w:left w:val="none" w:sz="0" w:space="0" w:color="auto"/>
            <w:bottom w:val="none" w:sz="0" w:space="0" w:color="auto"/>
            <w:right w:val="none" w:sz="0" w:space="0" w:color="auto"/>
          </w:divBdr>
        </w:div>
        <w:div w:id="1401707760">
          <w:marLeft w:val="480"/>
          <w:marRight w:val="0"/>
          <w:marTop w:val="0"/>
          <w:marBottom w:val="0"/>
          <w:divBdr>
            <w:top w:val="none" w:sz="0" w:space="0" w:color="auto"/>
            <w:left w:val="none" w:sz="0" w:space="0" w:color="auto"/>
            <w:bottom w:val="none" w:sz="0" w:space="0" w:color="auto"/>
            <w:right w:val="none" w:sz="0" w:space="0" w:color="auto"/>
          </w:divBdr>
        </w:div>
        <w:div w:id="1444108296">
          <w:marLeft w:val="480"/>
          <w:marRight w:val="0"/>
          <w:marTop w:val="0"/>
          <w:marBottom w:val="0"/>
          <w:divBdr>
            <w:top w:val="none" w:sz="0" w:space="0" w:color="auto"/>
            <w:left w:val="none" w:sz="0" w:space="0" w:color="auto"/>
            <w:bottom w:val="none" w:sz="0" w:space="0" w:color="auto"/>
            <w:right w:val="none" w:sz="0" w:space="0" w:color="auto"/>
          </w:divBdr>
        </w:div>
        <w:div w:id="1458180709">
          <w:marLeft w:val="480"/>
          <w:marRight w:val="0"/>
          <w:marTop w:val="0"/>
          <w:marBottom w:val="0"/>
          <w:divBdr>
            <w:top w:val="none" w:sz="0" w:space="0" w:color="auto"/>
            <w:left w:val="none" w:sz="0" w:space="0" w:color="auto"/>
            <w:bottom w:val="none" w:sz="0" w:space="0" w:color="auto"/>
            <w:right w:val="none" w:sz="0" w:space="0" w:color="auto"/>
          </w:divBdr>
        </w:div>
        <w:div w:id="1484665573">
          <w:marLeft w:val="480"/>
          <w:marRight w:val="0"/>
          <w:marTop w:val="0"/>
          <w:marBottom w:val="0"/>
          <w:divBdr>
            <w:top w:val="none" w:sz="0" w:space="0" w:color="auto"/>
            <w:left w:val="none" w:sz="0" w:space="0" w:color="auto"/>
            <w:bottom w:val="none" w:sz="0" w:space="0" w:color="auto"/>
            <w:right w:val="none" w:sz="0" w:space="0" w:color="auto"/>
          </w:divBdr>
        </w:div>
        <w:div w:id="1498576650">
          <w:marLeft w:val="480"/>
          <w:marRight w:val="0"/>
          <w:marTop w:val="0"/>
          <w:marBottom w:val="0"/>
          <w:divBdr>
            <w:top w:val="none" w:sz="0" w:space="0" w:color="auto"/>
            <w:left w:val="none" w:sz="0" w:space="0" w:color="auto"/>
            <w:bottom w:val="none" w:sz="0" w:space="0" w:color="auto"/>
            <w:right w:val="none" w:sz="0" w:space="0" w:color="auto"/>
          </w:divBdr>
        </w:div>
        <w:div w:id="1508907499">
          <w:marLeft w:val="480"/>
          <w:marRight w:val="0"/>
          <w:marTop w:val="0"/>
          <w:marBottom w:val="0"/>
          <w:divBdr>
            <w:top w:val="none" w:sz="0" w:space="0" w:color="auto"/>
            <w:left w:val="none" w:sz="0" w:space="0" w:color="auto"/>
            <w:bottom w:val="none" w:sz="0" w:space="0" w:color="auto"/>
            <w:right w:val="none" w:sz="0" w:space="0" w:color="auto"/>
          </w:divBdr>
        </w:div>
        <w:div w:id="1513953844">
          <w:marLeft w:val="480"/>
          <w:marRight w:val="0"/>
          <w:marTop w:val="0"/>
          <w:marBottom w:val="0"/>
          <w:divBdr>
            <w:top w:val="none" w:sz="0" w:space="0" w:color="auto"/>
            <w:left w:val="none" w:sz="0" w:space="0" w:color="auto"/>
            <w:bottom w:val="none" w:sz="0" w:space="0" w:color="auto"/>
            <w:right w:val="none" w:sz="0" w:space="0" w:color="auto"/>
          </w:divBdr>
        </w:div>
        <w:div w:id="1617709710">
          <w:marLeft w:val="480"/>
          <w:marRight w:val="0"/>
          <w:marTop w:val="0"/>
          <w:marBottom w:val="0"/>
          <w:divBdr>
            <w:top w:val="none" w:sz="0" w:space="0" w:color="auto"/>
            <w:left w:val="none" w:sz="0" w:space="0" w:color="auto"/>
            <w:bottom w:val="none" w:sz="0" w:space="0" w:color="auto"/>
            <w:right w:val="none" w:sz="0" w:space="0" w:color="auto"/>
          </w:divBdr>
        </w:div>
        <w:div w:id="1635792643">
          <w:marLeft w:val="480"/>
          <w:marRight w:val="0"/>
          <w:marTop w:val="0"/>
          <w:marBottom w:val="0"/>
          <w:divBdr>
            <w:top w:val="none" w:sz="0" w:space="0" w:color="auto"/>
            <w:left w:val="none" w:sz="0" w:space="0" w:color="auto"/>
            <w:bottom w:val="none" w:sz="0" w:space="0" w:color="auto"/>
            <w:right w:val="none" w:sz="0" w:space="0" w:color="auto"/>
          </w:divBdr>
        </w:div>
        <w:div w:id="1650092688">
          <w:marLeft w:val="480"/>
          <w:marRight w:val="0"/>
          <w:marTop w:val="0"/>
          <w:marBottom w:val="0"/>
          <w:divBdr>
            <w:top w:val="none" w:sz="0" w:space="0" w:color="auto"/>
            <w:left w:val="none" w:sz="0" w:space="0" w:color="auto"/>
            <w:bottom w:val="none" w:sz="0" w:space="0" w:color="auto"/>
            <w:right w:val="none" w:sz="0" w:space="0" w:color="auto"/>
          </w:divBdr>
        </w:div>
        <w:div w:id="1736735461">
          <w:marLeft w:val="480"/>
          <w:marRight w:val="0"/>
          <w:marTop w:val="0"/>
          <w:marBottom w:val="0"/>
          <w:divBdr>
            <w:top w:val="none" w:sz="0" w:space="0" w:color="auto"/>
            <w:left w:val="none" w:sz="0" w:space="0" w:color="auto"/>
            <w:bottom w:val="none" w:sz="0" w:space="0" w:color="auto"/>
            <w:right w:val="none" w:sz="0" w:space="0" w:color="auto"/>
          </w:divBdr>
        </w:div>
        <w:div w:id="1743411734">
          <w:marLeft w:val="480"/>
          <w:marRight w:val="0"/>
          <w:marTop w:val="0"/>
          <w:marBottom w:val="0"/>
          <w:divBdr>
            <w:top w:val="none" w:sz="0" w:space="0" w:color="auto"/>
            <w:left w:val="none" w:sz="0" w:space="0" w:color="auto"/>
            <w:bottom w:val="none" w:sz="0" w:space="0" w:color="auto"/>
            <w:right w:val="none" w:sz="0" w:space="0" w:color="auto"/>
          </w:divBdr>
        </w:div>
        <w:div w:id="1752727116">
          <w:marLeft w:val="480"/>
          <w:marRight w:val="0"/>
          <w:marTop w:val="0"/>
          <w:marBottom w:val="0"/>
          <w:divBdr>
            <w:top w:val="none" w:sz="0" w:space="0" w:color="auto"/>
            <w:left w:val="none" w:sz="0" w:space="0" w:color="auto"/>
            <w:bottom w:val="none" w:sz="0" w:space="0" w:color="auto"/>
            <w:right w:val="none" w:sz="0" w:space="0" w:color="auto"/>
          </w:divBdr>
        </w:div>
        <w:div w:id="1758669632">
          <w:marLeft w:val="480"/>
          <w:marRight w:val="0"/>
          <w:marTop w:val="0"/>
          <w:marBottom w:val="0"/>
          <w:divBdr>
            <w:top w:val="none" w:sz="0" w:space="0" w:color="auto"/>
            <w:left w:val="none" w:sz="0" w:space="0" w:color="auto"/>
            <w:bottom w:val="none" w:sz="0" w:space="0" w:color="auto"/>
            <w:right w:val="none" w:sz="0" w:space="0" w:color="auto"/>
          </w:divBdr>
        </w:div>
        <w:div w:id="1792630532">
          <w:marLeft w:val="480"/>
          <w:marRight w:val="0"/>
          <w:marTop w:val="0"/>
          <w:marBottom w:val="0"/>
          <w:divBdr>
            <w:top w:val="none" w:sz="0" w:space="0" w:color="auto"/>
            <w:left w:val="none" w:sz="0" w:space="0" w:color="auto"/>
            <w:bottom w:val="none" w:sz="0" w:space="0" w:color="auto"/>
            <w:right w:val="none" w:sz="0" w:space="0" w:color="auto"/>
          </w:divBdr>
        </w:div>
        <w:div w:id="1829176702">
          <w:marLeft w:val="480"/>
          <w:marRight w:val="0"/>
          <w:marTop w:val="0"/>
          <w:marBottom w:val="0"/>
          <w:divBdr>
            <w:top w:val="none" w:sz="0" w:space="0" w:color="auto"/>
            <w:left w:val="none" w:sz="0" w:space="0" w:color="auto"/>
            <w:bottom w:val="none" w:sz="0" w:space="0" w:color="auto"/>
            <w:right w:val="none" w:sz="0" w:space="0" w:color="auto"/>
          </w:divBdr>
        </w:div>
        <w:div w:id="1830706559">
          <w:marLeft w:val="480"/>
          <w:marRight w:val="0"/>
          <w:marTop w:val="0"/>
          <w:marBottom w:val="0"/>
          <w:divBdr>
            <w:top w:val="none" w:sz="0" w:space="0" w:color="auto"/>
            <w:left w:val="none" w:sz="0" w:space="0" w:color="auto"/>
            <w:bottom w:val="none" w:sz="0" w:space="0" w:color="auto"/>
            <w:right w:val="none" w:sz="0" w:space="0" w:color="auto"/>
          </w:divBdr>
        </w:div>
        <w:div w:id="1874264706">
          <w:marLeft w:val="480"/>
          <w:marRight w:val="0"/>
          <w:marTop w:val="0"/>
          <w:marBottom w:val="0"/>
          <w:divBdr>
            <w:top w:val="none" w:sz="0" w:space="0" w:color="auto"/>
            <w:left w:val="none" w:sz="0" w:space="0" w:color="auto"/>
            <w:bottom w:val="none" w:sz="0" w:space="0" w:color="auto"/>
            <w:right w:val="none" w:sz="0" w:space="0" w:color="auto"/>
          </w:divBdr>
        </w:div>
        <w:div w:id="1932615298">
          <w:marLeft w:val="480"/>
          <w:marRight w:val="0"/>
          <w:marTop w:val="0"/>
          <w:marBottom w:val="0"/>
          <w:divBdr>
            <w:top w:val="none" w:sz="0" w:space="0" w:color="auto"/>
            <w:left w:val="none" w:sz="0" w:space="0" w:color="auto"/>
            <w:bottom w:val="none" w:sz="0" w:space="0" w:color="auto"/>
            <w:right w:val="none" w:sz="0" w:space="0" w:color="auto"/>
          </w:divBdr>
        </w:div>
        <w:div w:id="1941179306">
          <w:marLeft w:val="480"/>
          <w:marRight w:val="0"/>
          <w:marTop w:val="0"/>
          <w:marBottom w:val="0"/>
          <w:divBdr>
            <w:top w:val="none" w:sz="0" w:space="0" w:color="auto"/>
            <w:left w:val="none" w:sz="0" w:space="0" w:color="auto"/>
            <w:bottom w:val="none" w:sz="0" w:space="0" w:color="auto"/>
            <w:right w:val="none" w:sz="0" w:space="0" w:color="auto"/>
          </w:divBdr>
        </w:div>
        <w:div w:id="1981685328">
          <w:marLeft w:val="480"/>
          <w:marRight w:val="0"/>
          <w:marTop w:val="0"/>
          <w:marBottom w:val="0"/>
          <w:divBdr>
            <w:top w:val="none" w:sz="0" w:space="0" w:color="auto"/>
            <w:left w:val="none" w:sz="0" w:space="0" w:color="auto"/>
            <w:bottom w:val="none" w:sz="0" w:space="0" w:color="auto"/>
            <w:right w:val="none" w:sz="0" w:space="0" w:color="auto"/>
          </w:divBdr>
        </w:div>
        <w:div w:id="2055739218">
          <w:marLeft w:val="480"/>
          <w:marRight w:val="0"/>
          <w:marTop w:val="0"/>
          <w:marBottom w:val="0"/>
          <w:divBdr>
            <w:top w:val="none" w:sz="0" w:space="0" w:color="auto"/>
            <w:left w:val="none" w:sz="0" w:space="0" w:color="auto"/>
            <w:bottom w:val="none" w:sz="0" w:space="0" w:color="auto"/>
            <w:right w:val="none" w:sz="0" w:space="0" w:color="auto"/>
          </w:divBdr>
        </w:div>
        <w:div w:id="2078477949">
          <w:marLeft w:val="480"/>
          <w:marRight w:val="0"/>
          <w:marTop w:val="0"/>
          <w:marBottom w:val="0"/>
          <w:divBdr>
            <w:top w:val="none" w:sz="0" w:space="0" w:color="auto"/>
            <w:left w:val="none" w:sz="0" w:space="0" w:color="auto"/>
            <w:bottom w:val="none" w:sz="0" w:space="0" w:color="auto"/>
            <w:right w:val="none" w:sz="0" w:space="0" w:color="auto"/>
          </w:divBdr>
        </w:div>
        <w:div w:id="2112124821">
          <w:marLeft w:val="480"/>
          <w:marRight w:val="0"/>
          <w:marTop w:val="0"/>
          <w:marBottom w:val="0"/>
          <w:divBdr>
            <w:top w:val="none" w:sz="0" w:space="0" w:color="auto"/>
            <w:left w:val="none" w:sz="0" w:space="0" w:color="auto"/>
            <w:bottom w:val="none" w:sz="0" w:space="0" w:color="auto"/>
            <w:right w:val="none" w:sz="0" w:space="0" w:color="auto"/>
          </w:divBdr>
        </w:div>
      </w:divsChild>
    </w:div>
    <w:div w:id="1110517034">
      <w:bodyDiv w:val="1"/>
      <w:marLeft w:val="0"/>
      <w:marRight w:val="0"/>
      <w:marTop w:val="0"/>
      <w:marBottom w:val="0"/>
      <w:divBdr>
        <w:top w:val="none" w:sz="0" w:space="0" w:color="auto"/>
        <w:left w:val="none" w:sz="0" w:space="0" w:color="auto"/>
        <w:bottom w:val="none" w:sz="0" w:space="0" w:color="auto"/>
        <w:right w:val="none" w:sz="0" w:space="0" w:color="auto"/>
      </w:divBdr>
    </w:div>
    <w:div w:id="1111895559">
      <w:bodyDiv w:val="1"/>
      <w:marLeft w:val="0"/>
      <w:marRight w:val="0"/>
      <w:marTop w:val="0"/>
      <w:marBottom w:val="0"/>
      <w:divBdr>
        <w:top w:val="none" w:sz="0" w:space="0" w:color="auto"/>
        <w:left w:val="none" w:sz="0" w:space="0" w:color="auto"/>
        <w:bottom w:val="none" w:sz="0" w:space="0" w:color="auto"/>
        <w:right w:val="none" w:sz="0" w:space="0" w:color="auto"/>
      </w:divBdr>
    </w:div>
    <w:div w:id="1114011412">
      <w:bodyDiv w:val="1"/>
      <w:marLeft w:val="0"/>
      <w:marRight w:val="0"/>
      <w:marTop w:val="0"/>
      <w:marBottom w:val="0"/>
      <w:divBdr>
        <w:top w:val="none" w:sz="0" w:space="0" w:color="auto"/>
        <w:left w:val="none" w:sz="0" w:space="0" w:color="auto"/>
        <w:bottom w:val="none" w:sz="0" w:space="0" w:color="auto"/>
        <w:right w:val="none" w:sz="0" w:space="0" w:color="auto"/>
      </w:divBdr>
    </w:div>
    <w:div w:id="1114059468">
      <w:bodyDiv w:val="1"/>
      <w:marLeft w:val="0"/>
      <w:marRight w:val="0"/>
      <w:marTop w:val="0"/>
      <w:marBottom w:val="0"/>
      <w:divBdr>
        <w:top w:val="none" w:sz="0" w:space="0" w:color="auto"/>
        <w:left w:val="none" w:sz="0" w:space="0" w:color="auto"/>
        <w:bottom w:val="none" w:sz="0" w:space="0" w:color="auto"/>
        <w:right w:val="none" w:sz="0" w:space="0" w:color="auto"/>
      </w:divBdr>
    </w:div>
    <w:div w:id="1119298570">
      <w:bodyDiv w:val="1"/>
      <w:marLeft w:val="0"/>
      <w:marRight w:val="0"/>
      <w:marTop w:val="0"/>
      <w:marBottom w:val="0"/>
      <w:divBdr>
        <w:top w:val="none" w:sz="0" w:space="0" w:color="auto"/>
        <w:left w:val="none" w:sz="0" w:space="0" w:color="auto"/>
        <w:bottom w:val="none" w:sz="0" w:space="0" w:color="auto"/>
        <w:right w:val="none" w:sz="0" w:space="0" w:color="auto"/>
      </w:divBdr>
    </w:div>
    <w:div w:id="1121336287">
      <w:bodyDiv w:val="1"/>
      <w:marLeft w:val="0"/>
      <w:marRight w:val="0"/>
      <w:marTop w:val="0"/>
      <w:marBottom w:val="0"/>
      <w:divBdr>
        <w:top w:val="none" w:sz="0" w:space="0" w:color="auto"/>
        <w:left w:val="none" w:sz="0" w:space="0" w:color="auto"/>
        <w:bottom w:val="none" w:sz="0" w:space="0" w:color="auto"/>
        <w:right w:val="none" w:sz="0" w:space="0" w:color="auto"/>
      </w:divBdr>
    </w:div>
    <w:div w:id="1128619794">
      <w:bodyDiv w:val="1"/>
      <w:marLeft w:val="0"/>
      <w:marRight w:val="0"/>
      <w:marTop w:val="0"/>
      <w:marBottom w:val="0"/>
      <w:divBdr>
        <w:top w:val="none" w:sz="0" w:space="0" w:color="auto"/>
        <w:left w:val="none" w:sz="0" w:space="0" w:color="auto"/>
        <w:bottom w:val="none" w:sz="0" w:space="0" w:color="auto"/>
        <w:right w:val="none" w:sz="0" w:space="0" w:color="auto"/>
      </w:divBdr>
    </w:div>
    <w:div w:id="1132482887">
      <w:bodyDiv w:val="1"/>
      <w:marLeft w:val="0"/>
      <w:marRight w:val="0"/>
      <w:marTop w:val="0"/>
      <w:marBottom w:val="0"/>
      <w:divBdr>
        <w:top w:val="none" w:sz="0" w:space="0" w:color="auto"/>
        <w:left w:val="none" w:sz="0" w:space="0" w:color="auto"/>
        <w:bottom w:val="none" w:sz="0" w:space="0" w:color="auto"/>
        <w:right w:val="none" w:sz="0" w:space="0" w:color="auto"/>
      </w:divBdr>
    </w:div>
    <w:div w:id="1138456675">
      <w:bodyDiv w:val="1"/>
      <w:marLeft w:val="0"/>
      <w:marRight w:val="0"/>
      <w:marTop w:val="0"/>
      <w:marBottom w:val="0"/>
      <w:divBdr>
        <w:top w:val="none" w:sz="0" w:space="0" w:color="auto"/>
        <w:left w:val="none" w:sz="0" w:space="0" w:color="auto"/>
        <w:bottom w:val="none" w:sz="0" w:space="0" w:color="auto"/>
        <w:right w:val="none" w:sz="0" w:space="0" w:color="auto"/>
      </w:divBdr>
    </w:div>
    <w:div w:id="1151215021">
      <w:bodyDiv w:val="1"/>
      <w:marLeft w:val="0"/>
      <w:marRight w:val="0"/>
      <w:marTop w:val="0"/>
      <w:marBottom w:val="0"/>
      <w:divBdr>
        <w:top w:val="none" w:sz="0" w:space="0" w:color="auto"/>
        <w:left w:val="none" w:sz="0" w:space="0" w:color="auto"/>
        <w:bottom w:val="none" w:sz="0" w:space="0" w:color="auto"/>
        <w:right w:val="none" w:sz="0" w:space="0" w:color="auto"/>
      </w:divBdr>
    </w:div>
    <w:div w:id="1157114540">
      <w:bodyDiv w:val="1"/>
      <w:marLeft w:val="0"/>
      <w:marRight w:val="0"/>
      <w:marTop w:val="0"/>
      <w:marBottom w:val="0"/>
      <w:divBdr>
        <w:top w:val="none" w:sz="0" w:space="0" w:color="auto"/>
        <w:left w:val="none" w:sz="0" w:space="0" w:color="auto"/>
        <w:bottom w:val="none" w:sz="0" w:space="0" w:color="auto"/>
        <w:right w:val="none" w:sz="0" w:space="0" w:color="auto"/>
      </w:divBdr>
    </w:div>
    <w:div w:id="1165126106">
      <w:bodyDiv w:val="1"/>
      <w:marLeft w:val="0"/>
      <w:marRight w:val="0"/>
      <w:marTop w:val="0"/>
      <w:marBottom w:val="0"/>
      <w:divBdr>
        <w:top w:val="none" w:sz="0" w:space="0" w:color="auto"/>
        <w:left w:val="none" w:sz="0" w:space="0" w:color="auto"/>
        <w:bottom w:val="none" w:sz="0" w:space="0" w:color="auto"/>
        <w:right w:val="none" w:sz="0" w:space="0" w:color="auto"/>
      </w:divBdr>
    </w:div>
    <w:div w:id="1169752446">
      <w:bodyDiv w:val="1"/>
      <w:marLeft w:val="0"/>
      <w:marRight w:val="0"/>
      <w:marTop w:val="0"/>
      <w:marBottom w:val="0"/>
      <w:divBdr>
        <w:top w:val="none" w:sz="0" w:space="0" w:color="auto"/>
        <w:left w:val="none" w:sz="0" w:space="0" w:color="auto"/>
        <w:bottom w:val="none" w:sz="0" w:space="0" w:color="auto"/>
        <w:right w:val="none" w:sz="0" w:space="0" w:color="auto"/>
      </w:divBdr>
    </w:div>
    <w:div w:id="1172330790">
      <w:bodyDiv w:val="1"/>
      <w:marLeft w:val="0"/>
      <w:marRight w:val="0"/>
      <w:marTop w:val="0"/>
      <w:marBottom w:val="0"/>
      <w:divBdr>
        <w:top w:val="none" w:sz="0" w:space="0" w:color="auto"/>
        <w:left w:val="none" w:sz="0" w:space="0" w:color="auto"/>
        <w:bottom w:val="none" w:sz="0" w:space="0" w:color="auto"/>
        <w:right w:val="none" w:sz="0" w:space="0" w:color="auto"/>
      </w:divBdr>
    </w:div>
    <w:div w:id="1190341320">
      <w:bodyDiv w:val="1"/>
      <w:marLeft w:val="0"/>
      <w:marRight w:val="0"/>
      <w:marTop w:val="0"/>
      <w:marBottom w:val="0"/>
      <w:divBdr>
        <w:top w:val="none" w:sz="0" w:space="0" w:color="auto"/>
        <w:left w:val="none" w:sz="0" w:space="0" w:color="auto"/>
        <w:bottom w:val="none" w:sz="0" w:space="0" w:color="auto"/>
        <w:right w:val="none" w:sz="0" w:space="0" w:color="auto"/>
      </w:divBdr>
    </w:div>
    <w:div w:id="1190879059">
      <w:bodyDiv w:val="1"/>
      <w:marLeft w:val="0"/>
      <w:marRight w:val="0"/>
      <w:marTop w:val="0"/>
      <w:marBottom w:val="0"/>
      <w:divBdr>
        <w:top w:val="none" w:sz="0" w:space="0" w:color="auto"/>
        <w:left w:val="none" w:sz="0" w:space="0" w:color="auto"/>
        <w:bottom w:val="none" w:sz="0" w:space="0" w:color="auto"/>
        <w:right w:val="none" w:sz="0" w:space="0" w:color="auto"/>
      </w:divBdr>
    </w:div>
    <w:div w:id="1191214970">
      <w:bodyDiv w:val="1"/>
      <w:marLeft w:val="0"/>
      <w:marRight w:val="0"/>
      <w:marTop w:val="0"/>
      <w:marBottom w:val="0"/>
      <w:divBdr>
        <w:top w:val="none" w:sz="0" w:space="0" w:color="auto"/>
        <w:left w:val="none" w:sz="0" w:space="0" w:color="auto"/>
        <w:bottom w:val="none" w:sz="0" w:space="0" w:color="auto"/>
        <w:right w:val="none" w:sz="0" w:space="0" w:color="auto"/>
      </w:divBdr>
    </w:div>
    <w:div w:id="1193231225">
      <w:bodyDiv w:val="1"/>
      <w:marLeft w:val="0"/>
      <w:marRight w:val="0"/>
      <w:marTop w:val="0"/>
      <w:marBottom w:val="0"/>
      <w:divBdr>
        <w:top w:val="none" w:sz="0" w:space="0" w:color="auto"/>
        <w:left w:val="none" w:sz="0" w:space="0" w:color="auto"/>
        <w:bottom w:val="none" w:sz="0" w:space="0" w:color="auto"/>
        <w:right w:val="none" w:sz="0" w:space="0" w:color="auto"/>
      </w:divBdr>
    </w:div>
    <w:div w:id="1197163645">
      <w:bodyDiv w:val="1"/>
      <w:marLeft w:val="0"/>
      <w:marRight w:val="0"/>
      <w:marTop w:val="0"/>
      <w:marBottom w:val="0"/>
      <w:divBdr>
        <w:top w:val="none" w:sz="0" w:space="0" w:color="auto"/>
        <w:left w:val="none" w:sz="0" w:space="0" w:color="auto"/>
        <w:bottom w:val="none" w:sz="0" w:space="0" w:color="auto"/>
        <w:right w:val="none" w:sz="0" w:space="0" w:color="auto"/>
      </w:divBdr>
    </w:div>
    <w:div w:id="1199126153">
      <w:bodyDiv w:val="1"/>
      <w:marLeft w:val="0"/>
      <w:marRight w:val="0"/>
      <w:marTop w:val="0"/>
      <w:marBottom w:val="0"/>
      <w:divBdr>
        <w:top w:val="none" w:sz="0" w:space="0" w:color="auto"/>
        <w:left w:val="none" w:sz="0" w:space="0" w:color="auto"/>
        <w:bottom w:val="none" w:sz="0" w:space="0" w:color="auto"/>
        <w:right w:val="none" w:sz="0" w:space="0" w:color="auto"/>
      </w:divBdr>
    </w:div>
    <w:div w:id="1204369238">
      <w:bodyDiv w:val="1"/>
      <w:marLeft w:val="0"/>
      <w:marRight w:val="0"/>
      <w:marTop w:val="0"/>
      <w:marBottom w:val="0"/>
      <w:divBdr>
        <w:top w:val="none" w:sz="0" w:space="0" w:color="auto"/>
        <w:left w:val="none" w:sz="0" w:space="0" w:color="auto"/>
        <w:bottom w:val="none" w:sz="0" w:space="0" w:color="auto"/>
        <w:right w:val="none" w:sz="0" w:space="0" w:color="auto"/>
      </w:divBdr>
    </w:div>
    <w:div w:id="1210654289">
      <w:bodyDiv w:val="1"/>
      <w:marLeft w:val="0"/>
      <w:marRight w:val="0"/>
      <w:marTop w:val="0"/>
      <w:marBottom w:val="0"/>
      <w:divBdr>
        <w:top w:val="none" w:sz="0" w:space="0" w:color="auto"/>
        <w:left w:val="none" w:sz="0" w:space="0" w:color="auto"/>
        <w:bottom w:val="none" w:sz="0" w:space="0" w:color="auto"/>
        <w:right w:val="none" w:sz="0" w:space="0" w:color="auto"/>
      </w:divBdr>
    </w:div>
    <w:div w:id="1216887994">
      <w:bodyDiv w:val="1"/>
      <w:marLeft w:val="0"/>
      <w:marRight w:val="0"/>
      <w:marTop w:val="0"/>
      <w:marBottom w:val="0"/>
      <w:divBdr>
        <w:top w:val="none" w:sz="0" w:space="0" w:color="auto"/>
        <w:left w:val="none" w:sz="0" w:space="0" w:color="auto"/>
        <w:bottom w:val="none" w:sz="0" w:space="0" w:color="auto"/>
        <w:right w:val="none" w:sz="0" w:space="0" w:color="auto"/>
      </w:divBdr>
    </w:div>
    <w:div w:id="1224024436">
      <w:bodyDiv w:val="1"/>
      <w:marLeft w:val="0"/>
      <w:marRight w:val="0"/>
      <w:marTop w:val="0"/>
      <w:marBottom w:val="0"/>
      <w:divBdr>
        <w:top w:val="none" w:sz="0" w:space="0" w:color="auto"/>
        <w:left w:val="none" w:sz="0" w:space="0" w:color="auto"/>
        <w:bottom w:val="none" w:sz="0" w:space="0" w:color="auto"/>
        <w:right w:val="none" w:sz="0" w:space="0" w:color="auto"/>
      </w:divBdr>
    </w:div>
    <w:div w:id="1225021711">
      <w:bodyDiv w:val="1"/>
      <w:marLeft w:val="0"/>
      <w:marRight w:val="0"/>
      <w:marTop w:val="0"/>
      <w:marBottom w:val="0"/>
      <w:divBdr>
        <w:top w:val="none" w:sz="0" w:space="0" w:color="auto"/>
        <w:left w:val="none" w:sz="0" w:space="0" w:color="auto"/>
        <w:bottom w:val="none" w:sz="0" w:space="0" w:color="auto"/>
        <w:right w:val="none" w:sz="0" w:space="0" w:color="auto"/>
      </w:divBdr>
    </w:div>
    <w:div w:id="1235748560">
      <w:bodyDiv w:val="1"/>
      <w:marLeft w:val="0"/>
      <w:marRight w:val="0"/>
      <w:marTop w:val="0"/>
      <w:marBottom w:val="0"/>
      <w:divBdr>
        <w:top w:val="none" w:sz="0" w:space="0" w:color="auto"/>
        <w:left w:val="none" w:sz="0" w:space="0" w:color="auto"/>
        <w:bottom w:val="none" w:sz="0" w:space="0" w:color="auto"/>
        <w:right w:val="none" w:sz="0" w:space="0" w:color="auto"/>
      </w:divBdr>
    </w:div>
    <w:div w:id="1236163192">
      <w:bodyDiv w:val="1"/>
      <w:marLeft w:val="0"/>
      <w:marRight w:val="0"/>
      <w:marTop w:val="0"/>
      <w:marBottom w:val="0"/>
      <w:divBdr>
        <w:top w:val="none" w:sz="0" w:space="0" w:color="auto"/>
        <w:left w:val="none" w:sz="0" w:space="0" w:color="auto"/>
        <w:bottom w:val="none" w:sz="0" w:space="0" w:color="auto"/>
        <w:right w:val="none" w:sz="0" w:space="0" w:color="auto"/>
      </w:divBdr>
    </w:div>
    <w:div w:id="1249584938">
      <w:bodyDiv w:val="1"/>
      <w:marLeft w:val="0"/>
      <w:marRight w:val="0"/>
      <w:marTop w:val="0"/>
      <w:marBottom w:val="0"/>
      <w:divBdr>
        <w:top w:val="none" w:sz="0" w:space="0" w:color="auto"/>
        <w:left w:val="none" w:sz="0" w:space="0" w:color="auto"/>
        <w:bottom w:val="none" w:sz="0" w:space="0" w:color="auto"/>
        <w:right w:val="none" w:sz="0" w:space="0" w:color="auto"/>
      </w:divBdr>
    </w:div>
    <w:div w:id="1250121158">
      <w:bodyDiv w:val="1"/>
      <w:marLeft w:val="0"/>
      <w:marRight w:val="0"/>
      <w:marTop w:val="0"/>
      <w:marBottom w:val="0"/>
      <w:divBdr>
        <w:top w:val="none" w:sz="0" w:space="0" w:color="auto"/>
        <w:left w:val="none" w:sz="0" w:space="0" w:color="auto"/>
        <w:bottom w:val="none" w:sz="0" w:space="0" w:color="auto"/>
        <w:right w:val="none" w:sz="0" w:space="0" w:color="auto"/>
      </w:divBdr>
      <w:divsChild>
        <w:div w:id="552662">
          <w:marLeft w:val="480"/>
          <w:marRight w:val="0"/>
          <w:marTop w:val="0"/>
          <w:marBottom w:val="0"/>
          <w:divBdr>
            <w:top w:val="none" w:sz="0" w:space="0" w:color="auto"/>
            <w:left w:val="none" w:sz="0" w:space="0" w:color="auto"/>
            <w:bottom w:val="none" w:sz="0" w:space="0" w:color="auto"/>
            <w:right w:val="none" w:sz="0" w:space="0" w:color="auto"/>
          </w:divBdr>
        </w:div>
        <w:div w:id="26881881">
          <w:marLeft w:val="480"/>
          <w:marRight w:val="0"/>
          <w:marTop w:val="0"/>
          <w:marBottom w:val="0"/>
          <w:divBdr>
            <w:top w:val="none" w:sz="0" w:space="0" w:color="auto"/>
            <w:left w:val="none" w:sz="0" w:space="0" w:color="auto"/>
            <w:bottom w:val="none" w:sz="0" w:space="0" w:color="auto"/>
            <w:right w:val="none" w:sz="0" w:space="0" w:color="auto"/>
          </w:divBdr>
        </w:div>
        <w:div w:id="66342227">
          <w:marLeft w:val="480"/>
          <w:marRight w:val="0"/>
          <w:marTop w:val="0"/>
          <w:marBottom w:val="0"/>
          <w:divBdr>
            <w:top w:val="none" w:sz="0" w:space="0" w:color="auto"/>
            <w:left w:val="none" w:sz="0" w:space="0" w:color="auto"/>
            <w:bottom w:val="none" w:sz="0" w:space="0" w:color="auto"/>
            <w:right w:val="none" w:sz="0" w:space="0" w:color="auto"/>
          </w:divBdr>
        </w:div>
        <w:div w:id="75130956">
          <w:marLeft w:val="480"/>
          <w:marRight w:val="0"/>
          <w:marTop w:val="0"/>
          <w:marBottom w:val="0"/>
          <w:divBdr>
            <w:top w:val="none" w:sz="0" w:space="0" w:color="auto"/>
            <w:left w:val="none" w:sz="0" w:space="0" w:color="auto"/>
            <w:bottom w:val="none" w:sz="0" w:space="0" w:color="auto"/>
            <w:right w:val="none" w:sz="0" w:space="0" w:color="auto"/>
          </w:divBdr>
        </w:div>
        <w:div w:id="78330959">
          <w:marLeft w:val="480"/>
          <w:marRight w:val="0"/>
          <w:marTop w:val="0"/>
          <w:marBottom w:val="0"/>
          <w:divBdr>
            <w:top w:val="none" w:sz="0" w:space="0" w:color="auto"/>
            <w:left w:val="none" w:sz="0" w:space="0" w:color="auto"/>
            <w:bottom w:val="none" w:sz="0" w:space="0" w:color="auto"/>
            <w:right w:val="none" w:sz="0" w:space="0" w:color="auto"/>
          </w:divBdr>
        </w:div>
        <w:div w:id="81995402">
          <w:marLeft w:val="480"/>
          <w:marRight w:val="0"/>
          <w:marTop w:val="0"/>
          <w:marBottom w:val="0"/>
          <w:divBdr>
            <w:top w:val="none" w:sz="0" w:space="0" w:color="auto"/>
            <w:left w:val="none" w:sz="0" w:space="0" w:color="auto"/>
            <w:bottom w:val="none" w:sz="0" w:space="0" w:color="auto"/>
            <w:right w:val="none" w:sz="0" w:space="0" w:color="auto"/>
          </w:divBdr>
        </w:div>
        <w:div w:id="159738936">
          <w:marLeft w:val="480"/>
          <w:marRight w:val="0"/>
          <w:marTop w:val="0"/>
          <w:marBottom w:val="0"/>
          <w:divBdr>
            <w:top w:val="none" w:sz="0" w:space="0" w:color="auto"/>
            <w:left w:val="none" w:sz="0" w:space="0" w:color="auto"/>
            <w:bottom w:val="none" w:sz="0" w:space="0" w:color="auto"/>
            <w:right w:val="none" w:sz="0" w:space="0" w:color="auto"/>
          </w:divBdr>
        </w:div>
        <w:div w:id="196240035">
          <w:marLeft w:val="480"/>
          <w:marRight w:val="0"/>
          <w:marTop w:val="0"/>
          <w:marBottom w:val="0"/>
          <w:divBdr>
            <w:top w:val="none" w:sz="0" w:space="0" w:color="auto"/>
            <w:left w:val="none" w:sz="0" w:space="0" w:color="auto"/>
            <w:bottom w:val="none" w:sz="0" w:space="0" w:color="auto"/>
            <w:right w:val="none" w:sz="0" w:space="0" w:color="auto"/>
          </w:divBdr>
        </w:div>
        <w:div w:id="199099401">
          <w:marLeft w:val="480"/>
          <w:marRight w:val="0"/>
          <w:marTop w:val="0"/>
          <w:marBottom w:val="0"/>
          <w:divBdr>
            <w:top w:val="none" w:sz="0" w:space="0" w:color="auto"/>
            <w:left w:val="none" w:sz="0" w:space="0" w:color="auto"/>
            <w:bottom w:val="none" w:sz="0" w:space="0" w:color="auto"/>
            <w:right w:val="none" w:sz="0" w:space="0" w:color="auto"/>
          </w:divBdr>
        </w:div>
        <w:div w:id="215360991">
          <w:marLeft w:val="480"/>
          <w:marRight w:val="0"/>
          <w:marTop w:val="0"/>
          <w:marBottom w:val="0"/>
          <w:divBdr>
            <w:top w:val="none" w:sz="0" w:space="0" w:color="auto"/>
            <w:left w:val="none" w:sz="0" w:space="0" w:color="auto"/>
            <w:bottom w:val="none" w:sz="0" w:space="0" w:color="auto"/>
            <w:right w:val="none" w:sz="0" w:space="0" w:color="auto"/>
          </w:divBdr>
        </w:div>
        <w:div w:id="291836207">
          <w:marLeft w:val="480"/>
          <w:marRight w:val="0"/>
          <w:marTop w:val="0"/>
          <w:marBottom w:val="0"/>
          <w:divBdr>
            <w:top w:val="none" w:sz="0" w:space="0" w:color="auto"/>
            <w:left w:val="none" w:sz="0" w:space="0" w:color="auto"/>
            <w:bottom w:val="none" w:sz="0" w:space="0" w:color="auto"/>
            <w:right w:val="none" w:sz="0" w:space="0" w:color="auto"/>
          </w:divBdr>
        </w:div>
        <w:div w:id="358238057">
          <w:marLeft w:val="480"/>
          <w:marRight w:val="0"/>
          <w:marTop w:val="0"/>
          <w:marBottom w:val="0"/>
          <w:divBdr>
            <w:top w:val="none" w:sz="0" w:space="0" w:color="auto"/>
            <w:left w:val="none" w:sz="0" w:space="0" w:color="auto"/>
            <w:bottom w:val="none" w:sz="0" w:space="0" w:color="auto"/>
            <w:right w:val="none" w:sz="0" w:space="0" w:color="auto"/>
          </w:divBdr>
        </w:div>
        <w:div w:id="391850155">
          <w:marLeft w:val="480"/>
          <w:marRight w:val="0"/>
          <w:marTop w:val="0"/>
          <w:marBottom w:val="0"/>
          <w:divBdr>
            <w:top w:val="none" w:sz="0" w:space="0" w:color="auto"/>
            <w:left w:val="none" w:sz="0" w:space="0" w:color="auto"/>
            <w:bottom w:val="none" w:sz="0" w:space="0" w:color="auto"/>
            <w:right w:val="none" w:sz="0" w:space="0" w:color="auto"/>
          </w:divBdr>
        </w:div>
        <w:div w:id="414327825">
          <w:marLeft w:val="480"/>
          <w:marRight w:val="0"/>
          <w:marTop w:val="0"/>
          <w:marBottom w:val="0"/>
          <w:divBdr>
            <w:top w:val="none" w:sz="0" w:space="0" w:color="auto"/>
            <w:left w:val="none" w:sz="0" w:space="0" w:color="auto"/>
            <w:bottom w:val="none" w:sz="0" w:space="0" w:color="auto"/>
            <w:right w:val="none" w:sz="0" w:space="0" w:color="auto"/>
          </w:divBdr>
        </w:div>
        <w:div w:id="447629481">
          <w:marLeft w:val="480"/>
          <w:marRight w:val="0"/>
          <w:marTop w:val="0"/>
          <w:marBottom w:val="0"/>
          <w:divBdr>
            <w:top w:val="none" w:sz="0" w:space="0" w:color="auto"/>
            <w:left w:val="none" w:sz="0" w:space="0" w:color="auto"/>
            <w:bottom w:val="none" w:sz="0" w:space="0" w:color="auto"/>
            <w:right w:val="none" w:sz="0" w:space="0" w:color="auto"/>
          </w:divBdr>
        </w:div>
        <w:div w:id="611205485">
          <w:marLeft w:val="480"/>
          <w:marRight w:val="0"/>
          <w:marTop w:val="0"/>
          <w:marBottom w:val="0"/>
          <w:divBdr>
            <w:top w:val="none" w:sz="0" w:space="0" w:color="auto"/>
            <w:left w:val="none" w:sz="0" w:space="0" w:color="auto"/>
            <w:bottom w:val="none" w:sz="0" w:space="0" w:color="auto"/>
            <w:right w:val="none" w:sz="0" w:space="0" w:color="auto"/>
          </w:divBdr>
        </w:div>
        <w:div w:id="631132933">
          <w:marLeft w:val="480"/>
          <w:marRight w:val="0"/>
          <w:marTop w:val="0"/>
          <w:marBottom w:val="0"/>
          <w:divBdr>
            <w:top w:val="none" w:sz="0" w:space="0" w:color="auto"/>
            <w:left w:val="none" w:sz="0" w:space="0" w:color="auto"/>
            <w:bottom w:val="none" w:sz="0" w:space="0" w:color="auto"/>
            <w:right w:val="none" w:sz="0" w:space="0" w:color="auto"/>
          </w:divBdr>
        </w:div>
        <w:div w:id="640424257">
          <w:marLeft w:val="480"/>
          <w:marRight w:val="0"/>
          <w:marTop w:val="0"/>
          <w:marBottom w:val="0"/>
          <w:divBdr>
            <w:top w:val="none" w:sz="0" w:space="0" w:color="auto"/>
            <w:left w:val="none" w:sz="0" w:space="0" w:color="auto"/>
            <w:bottom w:val="none" w:sz="0" w:space="0" w:color="auto"/>
            <w:right w:val="none" w:sz="0" w:space="0" w:color="auto"/>
          </w:divBdr>
        </w:div>
        <w:div w:id="686638910">
          <w:marLeft w:val="480"/>
          <w:marRight w:val="0"/>
          <w:marTop w:val="0"/>
          <w:marBottom w:val="0"/>
          <w:divBdr>
            <w:top w:val="none" w:sz="0" w:space="0" w:color="auto"/>
            <w:left w:val="none" w:sz="0" w:space="0" w:color="auto"/>
            <w:bottom w:val="none" w:sz="0" w:space="0" w:color="auto"/>
            <w:right w:val="none" w:sz="0" w:space="0" w:color="auto"/>
          </w:divBdr>
        </w:div>
        <w:div w:id="693118639">
          <w:marLeft w:val="480"/>
          <w:marRight w:val="0"/>
          <w:marTop w:val="0"/>
          <w:marBottom w:val="0"/>
          <w:divBdr>
            <w:top w:val="none" w:sz="0" w:space="0" w:color="auto"/>
            <w:left w:val="none" w:sz="0" w:space="0" w:color="auto"/>
            <w:bottom w:val="none" w:sz="0" w:space="0" w:color="auto"/>
            <w:right w:val="none" w:sz="0" w:space="0" w:color="auto"/>
          </w:divBdr>
        </w:div>
        <w:div w:id="710107219">
          <w:marLeft w:val="480"/>
          <w:marRight w:val="0"/>
          <w:marTop w:val="0"/>
          <w:marBottom w:val="0"/>
          <w:divBdr>
            <w:top w:val="none" w:sz="0" w:space="0" w:color="auto"/>
            <w:left w:val="none" w:sz="0" w:space="0" w:color="auto"/>
            <w:bottom w:val="none" w:sz="0" w:space="0" w:color="auto"/>
            <w:right w:val="none" w:sz="0" w:space="0" w:color="auto"/>
          </w:divBdr>
        </w:div>
        <w:div w:id="763380697">
          <w:marLeft w:val="480"/>
          <w:marRight w:val="0"/>
          <w:marTop w:val="0"/>
          <w:marBottom w:val="0"/>
          <w:divBdr>
            <w:top w:val="none" w:sz="0" w:space="0" w:color="auto"/>
            <w:left w:val="none" w:sz="0" w:space="0" w:color="auto"/>
            <w:bottom w:val="none" w:sz="0" w:space="0" w:color="auto"/>
            <w:right w:val="none" w:sz="0" w:space="0" w:color="auto"/>
          </w:divBdr>
        </w:div>
        <w:div w:id="765157562">
          <w:marLeft w:val="480"/>
          <w:marRight w:val="0"/>
          <w:marTop w:val="0"/>
          <w:marBottom w:val="0"/>
          <w:divBdr>
            <w:top w:val="none" w:sz="0" w:space="0" w:color="auto"/>
            <w:left w:val="none" w:sz="0" w:space="0" w:color="auto"/>
            <w:bottom w:val="none" w:sz="0" w:space="0" w:color="auto"/>
            <w:right w:val="none" w:sz="0" w:space="0" w:color="auto"/>
          </w:divBdr>
        </w:div>
        <w:div w:id="825974402">
          <w:marLeft w:val="480"/>
          <w:marRight w:val="0"/>
          <w:marTop w:val="0"/>
          <w:marBottom w:val="0"/>
          <w:divBdr>
            <w:top w:val="none" w:sz="0" w:space="0" w:color="auto"/>
            <w:left w:val="none" w:sz="0" w:space="0" w:color="auto"/>
            <w:bottom w:val="none" w:sz="0" w:space="0" w:color="auto"/>
            <w:right w:val="none" w:sz="0" w:space="0" w:color="auto"/>
          </w:divBdr>
        </w:div>
        <w:div w:id="839153824">
          <w:marLeft w:val="480"/>
          <w:marRight w:val="0"/>
          <w:marTop w:val="0"/>
          <w:marBottom w:val="0"/>
          <w:divBdr>
            <w:top w:val="none" w:sz="0" w:space="0" w:color="auto"/>
            <w:left w:val="none" w:sz="0" w:space="0" w:color="auto"/>
            <w:bottom w:val="none" w:sz="0" w:space="0" w:color="auto"/>
            <w:right w:val="none" w:sz="0" w:space="0" w:color="auto"/>
          </w:divBdr>
        </w:div>
        <w:div w:id="876742165">
          <w:marLeft w:val="480"/>
          <w:marRight w:val="0"/>
          <w:marTop w:val="0"/>
          <w:marBottom w:val="0"/>
          <w:divBdr>
            <w:top w:val="none" w:sz="0" w:space="0" w:color="auto"/>
            <w:left w:val="none" w:sz="0" w:space="0" w:color="auto"/>
            <w:bottom w:val="none" w:sz="0" w:space="0" w:color="auto"/>
            <w:right w:val="none" w:sz="0" w:space="0" w:color="auto"/>
          </w:divBdr>
        </w:div>
        <w:div w:id="907306009">
          <w:marLeft w:val="480"/>
          <w:marRight w:val="0"/>
          <w:marTop w:val="0"/>
          <w:marBottom w:val="0"/>
          <w:divBdr>
            <w:top w:val="none" w:sz="0" w:space="0" w:color="auto"/>
            <w:left w:val="none" w:sz="0" w:space="0" w:color="auto"/>
            <w:bottom w:val="none" w:sz="0" w:space="0" w:color="auto"/>
            <w:right w:val="none" w:sz="0" w:space="0" w:color="auto"/>
          </w:divBdr>
        </w:div>
        <w:div w:id="920800070">
          <w:marLeft w:val="480"/>
          <w:marRight w:val="0"/>
          <w:marTop w:val="0"/>
          <w:marBottom w:val="0"/>
          <w:divBdr>
            <w:top w:val="none" w:sz="0" w:space="0" w:color="auto"/>
            <w:left w:val="none" w:sz="0" w:space="0" w:color="auto"/>
            <w:bottom w:val="none" w:sz="0" w:space="0" w:color="auto"/>
            <w:right w:val="none" w:sz="0" w:space="0" w:color="auto"/>
          </w:divBdr>
        </w:div>
        <w:div w:id="1016813016">
          <w:marLeft w:val="480"/>
          <w:marRight w:val="0"/>
          <w:marTop w:val="0"/>
          <w:marBottom w:val="0"/>
          <w:divBdr>
            <w:top w:val="none" w:sz="0" w:space="0" w:color="auto"/>
            <w:left w:val="none" w:sz="0" w:space="0" w:color="auto"/>
            <w:bottom w:val="none" w:sz="0" w:space="0" w:color="auto"/>
            <w:right w:val="none" w:sz="0" w:space="0" w:color="auto"/>
          </w:divBdr>
        </w:div>
        <w:div w:id="1023284510">
          <w:marLeft w:val="480"/>
          <w:marRight w:val="0"/>
          <w:marTop w:val="0"/>
          <w:marBottom w:val="0"/>
          <w:divBdr>
            <w:top w:val="none" w:sz="0" w:space="0" w:color="auto"/>
            <w:left w:val="none" w:sz="0" w:space="0" w:color="auto"/>
            <w:bottom w:val="none" w:sz="0" w:space="0" w:color="auto"/>
            <w:right w:val="none" w:sz="0" w:space="0" w:color="auto"/>
          </w:divBdr>
        </w:div>
        <w:div w:id="1025404237">
          <w:marLeft w:val="480"/>
          <w:marRight w:val="0"/>
          <w:marTop w:val="0"/>
          <w:marBottom w:val="0"/>
          <w:divBdr>
            <w:top w:val="none" w:sz="0" w:space="0" w:color="auto"/>
            <w:left w:val="none" w:sz="0" w:space="0" w:color="auto"/>
            <w:bottom w:val="none" w:sz="0" w:space="0" w:color="auto"/>
            <w:right w:val="none" w:sz="0" w:space="0" w:color="auto"/>
          </w:divBdr>
        </w:div>
        <w:div w:id="1057362763">
          <w:marLeft w:val="480"/>
          <w:marRight w:val="0"/>
          <w:marTop w:val="0"/>
          <w:marBottom w:val="0"/>
          <w:divBdr>
            <w:top w:val="none" w:sz="0" w:space="0" w:color="auto"/>
            <w:left w:val="none" w:sz="0" w:space="0" w:color="auto"/>
            <w:bottom w:val="none" w:sz="0" w:space="0" w:color="auto"/>
            <w:right w:val="none" w:sz="0" w:space="0" w:color="auto"/>
          </w:divBdr>
        </w:div>
        <w:div w:id="1074862784">
          <w:marLeft w:val="480"/>
          <w:marRight w:val="0"/>
          <w:marTop w:val="0"/>
          <w:marBottom w:val="0"/>
          <w:divBdr>
            <w:top w:val="none" w:sz="0" w:space="0" w:color="auto"/>
            <w:left w:val="none" w:sz="0" w:space="0" w:color="auto"/>
            <w:bottom w:val="none" w:sz="0" w:space="0" w:color="auto"/>
            <w:right w:val="none" w:sz="0" w:space="0" w:color="auto"/>
          </w:divBdr>
        </w:div>
        <w:div w:id="1095902242">
          <w:marLeft w:val="480"/>
          <w:marRight w:val="0"/>
          <w:marTop w:val="0"/>
          <w:marBottom w:val="0"/>
          <w:divBdr>
            <w:top w:val="none" w:sz="0" w:space="0" w:color="auto"/>
            <w:left w:val="none" w:sz="0" w:space="0" w:color="auto"/>
            <w:bottom w:val="none" w:sz="0" w:space="0" w:color="auto"/>
            <w:right w:val="none" w:sz="0" w:space="0" w:color="auto"/>
          </w:divBdr>
        </w:div>
        <w:div w:id="1104960263">
          <w:marLeft w:val="480"/>
          <w:marRight w:val="0"/>
          <w:marTop w:val="0"/>
          <w:marBottom w:val="0"/>
          <w:divBdr>
            <w:top w:val="none" w:sz="0" w:space="0" w:color="auto"/>
            <w:left w:val="none" w:sz="0" w:space="0" w:color="auto"/>
            <w:bottom w:val="none" w:sz="0" w:space="0" w:color="auto"/>
            <w:right w:val="none" w:sz="0" w:space="0" w:color="auto"/>
          </w:divBdr>
        </w:div>
        <w:div w:id="1145855158">
          <w:marLeft w:val="480"/>
          <w:marRight w:val="0"/>
          <w:marTop w:val="0"/>
          <w:marBottom w:val="0"/>
          <w:divBdr>
            <w:top w:val="none" w:sz="0" w:space="0" w:color="auto"/>
            <w:left w:val="none" w:sz="0" w:space="0" w:color="auto"/>
            <w:bottom w:val="none" w:sz="0" w:space="0" w:color="auto"/>
            <w:right w:val="none" w:sz="0" w:space="0" w:color="auto"/>
          </w:divBdr>
        </w:div>
        <w:div w:id="1159883123">
          <w:marLeft w:val="480"/>
          <w:marRight w:val="0"/>
          <w:marTop w:val="0"/>
          <w:marBottom w:val="0"/>
          <w:divBdr>
            <w:top w:val="none" w:sz="0" w:space="0" w:color="auto"/>
            <w:left w:val="none" w:sz="0" w:space="0" w:color="auto"/>
            <w:bottom w:val="none" w:sz="0" w:space="0" w:color="auto"/>
            <w:right w:val="none" w:sz="0" w:space="0" w:color="auto"/>
          </w:divBdr>
        </w:div>
        <w:div w:id="1195967486">
          <w:marLeft w:val="480"/>
          <w:marRight w:val="0"/>
          <w:marTop w:val="0"/>
          <w:marBottom w:val="0"/>
          <w:divBdr>
            <w:top w:val="none" w:sz="0" w:space="0" w:color="auto"/>
            <w:left w:val="none" w:sz="0" w:space="0" w:color="auto"/>
            <w:bottom w:val="none" w:sz="0" w:space="0" w:color="auto"/>
            <w:right w:val="none" w:sz="0" w:space="0" w:color="auto"/>
          </w:divBdr>
        </w:div>
        <w:div w:id="1229611442">
          <w:marLeft w:val="480"/>
          <w:marRight w:val="0"/>
          <w:marTop w:val="0"/>
          <w:marBottom w:val="0"/>
          <w:divBdr>
            <w:top w:val="none" w:sz="0" w:space="0" w:color="auto"/>
            <w:left w:val="none" w:sz="0" w:space="0" w:color="auto"/>
            <w:bottom w:val="none" w:sz="0" w:space="0" w:color="auto"/>
            <w:right w:val="none" w:sz="0" w:space="0" w:color="auto"/>
          </w:divBdr>
        </w:div>
        <w:div w:id="1280799448">
          <w:marLeft w:val="480"/>
          <w:marRight w:val="0"/>
          <w:marTop w:val="0"/>
          <w:marBottom w:val="0"/>
          <w:divBdr>
            <w:top w:val="none" w:sz="0" w:space="0" w:color="auto"/>
            <w:left w:val="none" w:sz="0" w:space="0" w:color="auto"/>
            <w:bottom w:val="none" w:sz="0" w:space="0" w:color="auto"/>
            <w:right w:val="none" w:sz="0" w:space="0" w:color="auto"/>
          </w:divBdr>
        </w:div>
        <w:div w:id="1291088781">
          <w:marLeft w:val="480"/>
          <w:marRight w:val="0"/>
          <w:marTop w:val="0"/>
          <w:marBottom w:val="0"/>
          <w:divBdr>
            <w:top w:val="none" w:sz="0" w:space="0" w:color="auto"/>
            <w:left w:val="none" w:sz="0" w:space="0" w:color="auto"/>
            <w:bottom w:val="none" w:sz="0" w:space="0" w:color="auto"/>
            <w:right w:val="none" w:sz="0" w:space="0" w:color="auto"/>
          </w:divBdr>
        </w:div>
        <w:div w:id="1302462599">
          <w:marLeft w:val="480"/>
          <w:marRight w:val="0"/>
          <w:marTop w:val="0"/>
          <w:marBottom w:val="0"/>
          <w:divBdr>
            <w:top w:val="none" w:sz="0" w:space="0" w:color="auto"/>
            <w:left w:val="none" w:sz="0" w:space="0" w:color="auto"/>
            <w:bottom w:val="none" w:sz="0" w:space="0" w:color="auto"/>
            <w:right w:val="none" w:sz="0" w:space="0" w:color="auto"/>
          </w:divBdr>
        </w:div>
        <w:div w:id="1315259150">
          <w:marLeft w:val="480"/>
          <w:marRight w:val="0"/>
          <w:marTop w:val="0"/>
          <w:marBottom w:val="0"/>
          <w:divBdr>
            <w:top w:val="none" w:sz="0" w:space="0" w:color="auto"/>
            <w:left w:val="none" w:sz="0" w:space="0" w:color="auto"/>
            <w:bottom w:val="none" w:sz="0" w:space="0" w:color="auto"/>
            <w:right w:val="none" w:sz="0" w:space="0" w:color="auto"/>
          </w:divBdr>
        </w:div>
        <w:div w:id="1330520086">
          <w:marLeft w:val="480"/>
          <w:marRight w:val="0"/>
          <w:marTop w:val="0"/>
          <w:marBottom w:val="0"/>
          <w:divBdr>
            <w:top w:val="none" w:sz="0" w:space="0" w:color="auto"/>
            <w:left w:val="none" w:sz="0" w:space="0" w:color="auto"/>
            <w:bottom w:val="none" w:sz="0" w:space="0" w:color="auto"/>
            <w:right w:val="none" w:sz="0" w:space="0" w:color="auto"/>
          </w:divBdr>
        </w:div>
        <w:div w:id="1341352883">
          <w:marLeft w:val="480"/>
          <w:marRight w:val="0"/>
          <w:marTop w:val="0"/>
          <w:marBottom w:val="0"/>
          <w:divBdr>
            <w:top w:val="none" w:sz="0" w:space="0" w:color="auto"/>
            <w:left w:val="none" w:sz="0" w:space="0" w:color="auto"/>
            <w:bottom w:val="none" w:sz="0" w:space="0" w:color="auto"/>
            <w:right w:val="none" w:sz="0" w:space="0" w:color="auto"/>
          </w:divBdr>
        </w:div>
        <w:div w:id="1462960729">
          <w:marLeft w:val="480"/>
          <w:marRight w:val="0"/>
          <w:marTop w:val="0"/>
          <w:marBottom w:val="0"/>
          <w:divBdr>
            <w:top w:val="none" w:sz="0" w:space="0" w:color="auto"/>
            <w:left w:val="none" w:sz="0" w:space="0" w:color="auto"/>
            <w:bottom w:val="none" w:sz="0" w:space="0" w:color="auto"/>
            <w:right w:val="none" w:sz="0" w:space="0" w:color="auto"/>
          </w:divBdr>
        </w:div>
        <w:div w:id="1501579125">
          <w:marLeft w:val="480"/>
          <w:marRight w:val="0"/>
          <w:marTop w:val="0"/>
          <w:marBottom w:val="0"/>
          <w:divBdr>
            <w:top w:val="none" w:sz="0" w:space="0" w:color="auto"/>
            <w:left w:val="none" w:sz="0" w:space="0" w:color="auto"/>
            <w:bottom w:val="none" w:sz="0" w:space="0" w:color="auto"/>
            <w:right w:val="none" w:sz="0" w:space="0" w:color="auto"/>
          </w:divBdr>
        </w:div>
        <w:div w:id="1530146270">
          <w:marLeft w:val="480"/>
          <w:marRight w:val="0"/>
          <w:marTop w:val="0"/>
          <w:marBottom w:val="0"/>
          <w:divBdr>
            <w:top w:val="none" w:sz="0" w:space="0" w:color="auto"/>
            <w:left w:val="none" w:sz="0" w:space="0" w:color="auto"/>
            <w:bottom w:val="none" w:sz="0" w:space="0" w:color="auto"/>
            <w:right w:val="none" w:sz="0" w:space="0" w:color="auto"/>
          </w:divBdr>
        </w:div>
        <w:div w:id="1579054650">
          <w:marLeft w:val="480"/>
          <w:marRight w:val="0"/>
          <w:marTop w:val="0"/>
          <w:marBottom w:val="0"/>
          <w:divBdr>
            <w:top w:val="none" w:sz="0" w:space="0" w:color="auto"/>
            <w:left w:val="none" w:sz="0" w:space="0" w:color="auto"/>
            <w:bottom w:val="none" w:sz="0" w:space="0" w:color="auto"/>
            <w:right w:val="none" w:sz="0" w:space="0" w:color="auto"/>
          </w:divBdr>
        </w:div>
        <w:div w:id="1608005057">
          <w:marLeft w:val="480"/>
          <w:marRight w:val="0"/>
          <w:marTop w:val="0"/>
          <w:marBottom w:val="0"/>
          <w:divBdr>
            <w:top w:val="none" w:sz="0" w:space="0" w:color="auto"/>
            <w:left w:val="none" w:sz="0" w:space="0" w:color="auto"/>
            <w:bottom w:val="none" w:sz="0" w:space="0" w:color="auto"/>
            <w:right w:val="none" w:sz="0" w:space="0" w:color="auto"/>
          </w:divBdr>
        </w:div>
        <w:div w:id="1662661230">
          <w:marLeft w:val="480"/>
          <w:marRight w:val="0"/>
          <w:marTop w:val="0"/>
          <w:marBottom w:val="0"/>
          <w:divBdr>
            <w:top w:val="none" w:sz="0" w:space="0" w:color="auto"/>
            <w:left w:val="none" w:sz="0" w:space="0" w:color="auto"/>
            <w:bottom w:val="none" w:sz="0" w:space="0" w:color="auto"/>
            <w:right w:val="none" w:sz="0" w:space="0" w:color="auto"/>
          </w:divBdr>
        </w:div>
        <w:div w:id="1761100060">
          <w:marLeft w:val="480"/>
          <w:marRight w:val="0"/>
          <w:marTop w:val="0"/>
          <w:marBottom w:val="0"/>
          <w:divBdr>
            <w:top w:val="none" w:sz="0" w:space="0" w:color="auto"/>
            <w:left w:val="none" w:sz="0" w:space="0" w:color="auto"/>
            <w:bottom w:val="none" w:sz="0" w:space="0" w:color="auto"/>
            <w:right w:val="none" w:sz="0" w:space="0" w:color="auto"/>
          </w:divBdr>
        </w:div>
        <w:div w:id="1762068753">
          <w:marLeft w:val="480"/>
          <w:marRight w:val="0"/>
          <w:marTop w:val="0"/>
          <w:marBottom w:val="0"/>
          <w:divBdr>
            <w:top w:val="none" w:sz="0" w:space="0" w:color="auto"/>
            <w:left w:val="none" w:sz="0" w:space="0" w:color="auto"/>
            <w:bottom w:val="none" w:sz="0" w:space="0" w:color="auto"/>
            <w:right w:val="none" w:sz="0" w:space="0" w:color="auto"/>
          </w:divBdr>
        </w:div>
        <w:div w:id="1782870047">
          <w:marLeft w:val="480"/>
          <w:marRight w:val="0"/>
          <w:marTop w:val="0"/>
          <w:marBottom w:val="0"/>
          <w:divBdr>
            <w:top w:val="none" w:sz="0" w:space="0" w:color="auto"/>
            <w:left w:val="none" w:sz="0" w:space="0" w:color="auto"/>
            <w:bottom w:val="none" w:sz="0" w:space="0" w:color="auto"/>
            <w:right w:val="none" w:sz="0" w:space="0" w:color="auto"/>
          </w:divBdr>
        </w:div>
        <w:div w:id="1818258950">
          <w:marLeft w:val="480"/>
          <w:marRight w:val="0"/>
          <w:marTop w:val="0"/>
          <w:marBottom w:val="0"/>
          <w:divBdr>
            <w:top w:val="none" w:sz="0" w:space="0" w:color="auto"/>
            <w:left w:val="none" w:sz="0" w:space="0" w:color="auto"/>
            <w:bottom w:val="none" w:sz="0" w:space="0" w:color="auto"/>
            <w:right w:val="none" w:sz="0" w:space="0" w:color="auto"/>
          </w:divBdr>
        </w:div>
        <w:div w:id="1818259371">
          <w:marLeft w:val="480"/>
          <w:marRight w:val="0"/>
          <w:marTop w:val="0"/>
          <w:marBottom w:val="0"/>
          <w:divBdr>
            <w:top w:val="none" w:sz="0" w:space="0" w:color="auto"/>
            <w:left w:val="none" w:sz="0" w:space="0" w:color="auto"/>
            <w:bottom w:val="none" w:sz="0" w:space="0" w:color="auto"/>
            <w:right w:val="none" w:sz="0" w:space="0" w:color="auto"/>
          </w:divBdr>
        </w:div>
        <w:div w:id="1818764880">
          <w:marLeft w:val="480"/>
          <w:marRight w:val="0"/>
          <w:marTop w:val="0"/>
          <w:marBottom w:val="0"/>
          <w:divBdr>
            <w:top w:val="none" w:sz="0" w:space="0" w:color="auto"/>
            <w:left w:val="none" w:sz="0" w:space="0" w:color="auto"/>
            <w:bottom w:val="none" w:sz="0" w:space="0" w:color="auto"/>
            <w:right w:val="none" w:sz="0" w:space="0" w:color="auto"/>
          </w:divBdr>
        </w:div>
        <w:div w:id="1862932308">
          <w:marLeft w:val="480"/>
          <w:marRight w:val="0"/>
          <w:marTop w:val="0"/>
          <w:marBottom w:val="0"/>
          <w:divBdr>
            <w:top w:val="none" w:sz="0" w:space="0" w:color="auto"/>
            <w:left w:val="none" w:sz="0" w:space="0" w:color="auto"/>
            <w:bottom w:val="none" w:sz="0" w:space="0" w:color="auto"/>
            <w:right w:val="none" w:sz="0" w:space="0" w:color="auto"/>
          </w:divBdr>
        </w:div>
        <w:div w:id="1942060386">
          <w:marLeft w:val="480"/>
          <w:marRight w:val="0"/>
          <w:marTop w:val="0"/>
          <w:marBottom w:val="0"/>
          <w:divBdr>
            <w:top w:val="none" w:sz="0" w:space="0" w:color="auto"/>
            <w:left w:val="none" w:sz="0" w:space="0" w:color="auto"/>
            <w:bottom w:val="none" w:sz="0" w:space="0" w:color="auto"/>
            <w:right w:val="none" w:sz="0" w:space="0" w:color="auto"/>
          </w:divBdr>
        </w:div>
        <w:div w:id="2011835728">
          <w:marLeft w:val="480"/>
          <w:marRight w:val="0"/>
          <w:marTop w:val="0"/>
          <w:marBottom w:val="0"/>
          <w:divBdr>
            <w:top w:val="none" w:sz="0" w:space="0" w:color="auto"/>
            <w:left w:val="none" w:sz="0" w:space="0" w:color="auto"/>
            <w:bottom w:val="none" w:sz="0" w:space="0" w:color="auto"/>
            <w:right w:val="none" w:sz="0" w:space="0" w:color="auto"/>
          </w:divBdr>
        </w:div>
        <w:div w:id="2036419026">
          <w:marLeft w:val="480"/>
          <w:marRight w:val="0"/>
          <w:marTop w:val="0"/>
          <w:marBottom w:val="0"/>
          <w:divBdr>
            <w:top w:val="none" w:sz="0" w:space="0" w:color="auto"/>
            <w:left w:val="none" w:sz="0" w:space="0" w:color="auto"/>
            <w:bottom w:val="none" w:sz="0" w:space="0" w:color="auto"/>
            <w:right w:val="none" w:sz="0" w:space="0" w:color="auto"/>
          </w:divBdr>
        </w:div>
        <w:div w:id="2046979851">
          <w:marLeft w:val="480"/>
          <w:marRight w:val="0"/>
          <w:marTop w:val="0"/>
          <w:marBottom w:val="0"/>
          <w:divBdr>
            <w:top w:val="none" w:sz="0" w:space="0" w:color="auto"/>
            <w:left w:val="none" w:sz="0" w:space="0" w:color="auto"/>
            <w:bottom w:val="none" w:sz="0" w:space="0" w:color="auto"/>
            <w:right w:val="none" w:sz="0" w:space="0" w:color="auto"/>
          </w:divBdr>
        </w:div>
        <w:div w:id="2093622764">
          <w:marLeft w:val="480"/>
          <w:marRight w:val="0"/>
          <w:marTop w:val="0"/>
          <w:marBottom w:val="0"/>
          <w:divBdr>
            <w:top w:val="none" w:sz="0" w:space="0" w:color="auto"/>
            <w:left w:val="none" w:sz="0" w:space="0" w:color="auto"/>
            <w:bottom w:val="none" w:sz="0" w:space="0" w:color="auto"/>
            <w:right w:val="none" w:sz="0" w:space="0" w:color="auto"/>
          </w:divBdr>
        </w:div>
        <w:div w:id="2123576283">
          <w:marLeft w:val="480"/>
          <w:marRight w:val="0"/>
          <w:marTop w:val="0"/>
          <w:marBottom w:val="0"/>
          <w:divBdr>
            <w:top w:val="none" w:sz="0" w:space="0" w:color="auto"/>
            <w:left w:val="none" w:sz="0" w:space="0" w:color="auto"/>
            <w:bottom w:val="none" w:sz="0" w:space="0" w:color="auto"/>
            <w:right w:val="none" w:sz="0" w:space="0" w:color="auto"/>
          </w:divBdr>
        </w:div>
      </w:divsChild>
    </w:div>
    <w:div w:id="1255437847">
      <w:bodyDiv w:val="1"/>
      <w:marLeft w:val="0"/>
      <w:marRight w:val="0"/>
      <w:marTop w:val="0"/>
      <w:marBottom w:val="0"/>
      <w:divBdr>
        <w:top w:val="none" w:sz="0" w:space="0" w:color="auto"/>
        <w:left w:val="none" w:sz="0" w:space="0" w:color="auto"/>
        <w:bottom w:val="none" w:sz="0" w:space="0" w:color="auto"/>
        <w:right w:val="none" w:sz="0" w:space="0" w:color="auto"/>
      </w:divBdr>
    </w:div>
    <w:div w:id="1256287330">
      <w:bodyDiv w:val="1"/>
      <w:marLeft w:val="0"/>
      <w:marRight w:val="0"/>
      <w:marTop w:val="0"/>
      <w:marBottom w:val="0"/>
      <w:divBdr>
        <w:top w:val="none" w:sz="0" w:space="0" w:color="auto"/>
        <w:left w:val="none" w:sz="0" w:space="0" w:color="auto"/>
        <w:bottom w:val="none" w:sz="0" w:space="0" w:color="auto"/>
        <w:right w:val="none" w:sz="0" w:space="0" w:color="auto"/>
      </w:divBdr>
    </w:div>
    <w:div w:id="1257179254">
      <w:bodyDiv w:val="1"/>
      <w:marLeft w:val="0"/>
      <w:marRight w:val="0"/>
      <w:marTop w:val="0"/>
      <w:marBottom w:val="0"/>
      <w:divBdr>
        <w:top w:val="none" w:sz="0" w:space="0" w:color="auto"/>
        <w:left w:val="none" w:sz="0" w:space="0" w:color="auto"/>
        <w:bottom w:val="none" w:sz="0" w:space="0" w:color="auto"/>
        <w:right w:val="none" w:sz="0" w:space="0" w:color="auto"/>
      </w:divBdr>
    </w:div>
    <w:div w:id="1277100816">
      <w:bodyDiv w:val="1"/>
      <w:marLeft w:val="0"/>
      <w:marRight w:val="0"/>
      <w:marTop w:val="0"/>
      <w:marBottom w:val="0"/>
      <w:divBdr>
        <w:top w:val="none" w:sz="0" w:space="0" w:color="auto"/>
        <w:left w:val="none" w:sz="0" w:space="0" w:color="auto"/>
        <w:bottom w:val="none" w:sz="0" w:space="0" w:color="auto"/>
        <w:right w:val="none" w:sz="0" w:space="0" w:color="auto"/>
      </w:divBdr>
    </w:div>
    <w:div w:id="1279221506">
      <w:bodyDiv w:val="1"/>
      <w:marLeft w:val="0"/>
      <w:marRight w:val="0"/>
      <w:marTop w:val="0"/>
      <w:marBottom w:val="0"/>
      <w:divBdr>
        <w:top w:val="none" w:sz="0" w:space="0" w:color="auto"/>
        <w:left w:val="none" w:sz="0" w:space="0" w:color="auto"/>
        <w:bottom w:val="none" w:sz="0" w:space="0" w:color="auto"/>
        <w:right w:val="none" w:sz="0" w:space="0" w:color="auto"/>
      </w:divBdr>
      <w:divsChild>
        <w:div w:id="11996656">
          <w:marLeft w:val="480"/>
          <w:marRight w:val="0"/>
          <w:marTop w:val="0"/>
          <w:marBottom w:val="0"/>
          <w:divBdr>
            <w:top w:val="none" w:sz="0" w:space="0" w:color="auto"/>
            <w:left w:val="none" w:sz="0" w:space="0" w:color="auto"/>
            <w:bottom w:val="none" w:sz="0" w:space="0" w:color="auto"/>
            <w:right w:val="none" w:sz="0" w:space="0" w:color="auto"/>
          </w:divBdr>
        </w:div>
        <w:div w:id="39787748">
          <w:marLeft w:val="480"/>
          <w:marRight w:val="0"/>
          <w:marTop w:val="0"/>
          <w:marBottom w:val="0"/>
          <w:divBdr>
            <w:top w:val="none" w:sz="0" w:space="0" w:color="auto"/>
            <w:left w:val="none" w:sz="0" w:space="0" w:color="auto"/>
            <w:bottom w:val="none" w:sz="0" w:space="0" w:color="auto"/>
            <w:right w:val="none" w:sz="0" w:space="0" w:color="auto"/>
          </w:divBdr>
        </w:div>
        <w:div w:id="88894796">
          <w:marLeft w:val="480"/>
          <w:marRight w:val="0"/>
          <w:marTop w:val="0"/>
          <w:marBottom w:val="0"/>
          <w:divBdr>
            <w:top w:val="none" w:sz="0" w:space="0" w:color="auto"/>
            <w:left w:val="none" w:sz="0" w:space="0" w:color="auto"/>
            <w:bottom w:val="none" w:sz="0" w:space="0" w:color="auto"/>
            <w:right w:val="none" w:sz="0" w:space="0" w:color="auto"/>
          </w:divBdr>
        </w:div>
        <w:div w:id="101610815">
          <w:marLeft w:val="480"/>
          <w:marRight w:val="0"/>
          <w:marTop w:val="0"/>
          <w:marBottom w:val="0"/>
          <w:divBdr>
            <w:top w:val="none" w:sz="0" w:space="0" w:color="auto"/>
            <w:left w:val="none" w:sz="0" w:space="0" w:color="auto"/>
            <w:bottom w:val="none" w:sz="0" w:space="0" w:color="auto"/>
            <w:right w:val="none" w:sz="0" w:space="0" w:color="auto"/>
          </w:divBdr>
        </w:div>
        <w:div w:id="151531913">
          <w:marLeft w:val="480"/>
          <w:marRight w:val="0"/>
          <w:marTop w:val="0"/>
          <w:marBottom w:val="0"/>
          <w:divBdr>
            <w:top w:val="none" w:sz="0" w:space="0" w:color="auto"/>
            <w:left w:val="none" w:sz="0" w:space="0" w:color="auto"/>
            <w:bottom w:val="none" w:sz="0" w:space="0" w:color="auto"/>
            <w:right w:val="none" w:sz="0" w:space="0" w:color="auto"/>
          </w:divBdr>
        </w:div>
        <w:div w:id="213126641">
          <w:marLeft w:val="480"/>
          <w:marRight w:val="0"/>
          <w:marTop w:val="0"/>
          <w:marBottom w:val="0"/>
          <w:divBdr>
            <w:top w:val="none" w:sz="0" w:space="0" w:color="auto"/>
            <w:left w:val="none" w:sz="0" w:space="0" w:color="auto"/>
            <w:bottom w:val="none" w:sz="0" w:space="0" w:color="auto"/>
            <w:right w:val="none" w:sz="0" w:space="0" w:color="auto"/>
          </w:divBdr>
        </w:div>
        <w:div w:id="310059823">
          <w:marLeft w:val="480"/>
          <w:marRight w:val="0"/>
          <w:marTop w:val="0"/>
          <w:marBottom w:val="0"/>
          <w:divBdr>
            <w:top w:val="none" w:sz="0" w:space="0" w:color="auto"/>
            <w:left w:val="none" w:sz="0" w:space="0" w:color="auto"/>
            <w:bottom w:val="none" w:sz="0" w:space="0" w:color="auto"/>
            <w:right w:val="none" w:sz="0" w:space="0" w:color="auto"/>
          </w:divBdr>
        </w:div>
        <w:div w:id="348875650">
          <w:marLeft w:val="480"/>
          <w:marRight w:val="0"/>
          <w:marTop w:val="0"/>
          <w:marBottom w:val="0"/>
          <w:divBdr>
            <w:top w:val="none" w:sz="0" w:space="0" w:color="auto"/>
            <w:left w:val="none" w:sz="0" w:space="0" w:color="auto"/>
            <w:bottom w:val="none" w:sz="0" w:space="0" w:color="auto"/>
            <w:right w:val="none" w:sz="0" w:space="0" w:color="auto"/>
          </w:divBdr>
        </w:div>
        <w:div w:id="373894674">
          <w:marLeft w:val="480"/>
          <w:marRight w:val="0"/>
          <w:marTop w:val="0"/>
          <w:marBottom w:val="0"/>
          <w:divBdr>
            <w:top w:val="none" w:sz="0" w:space="0" w:color="auto"/>
            <w:left w:val="none" w:sz="0" w:space="0" w:color="auto"/>
            <w:bottom w:val="none" w:sz="0" w:space="0" w:color="auto"/>
            <w:right w:val="none" w:sz="0" w:space="0" w:color="auto"/>
          </w:divBdr>
        </w:div>
        <w:div w:id="403528740">
          <w:marLeft w:val="480"/>
          <w:marRight w:val="0"/>
          <w:marTop w:val="0"/>
          <w:marBottom w:val="0"/>
          <w:divBdr>
            <w:top w:val="none" w:sz="0" w:space="0" w:color="auto"/>
            <w:left w:val="none" w:sz="0" w:space="0" w:color="auto"/>
            <w:bottom w:val="none" w:sz="0" w:space="0" w:color="auto"/>
            <w:right w:val="none" w:sz="0" w:space="0" w:color="auto"/>
          </w:divBdr>
        </w:div>
        <w:div w:id="525365558">
          <w:marLeft w:val="480"/>
          <w:marRight w:val="0"/>
          <w:marTop w:val="0"/>
          <w:marBottom w:val="0"/>
          <w:divBdr>
            <w:top w:val="none" w:sz="0" w:space="0" w:color="auto"/>
            <w:left w:val="none" w:sz="0" w:space="0" w:color="auto"/>
            <w:bottom w:val="none" w:sz="0" w:space="0" w:color="auto"/>
            <w:right w:val="none" w:sz="0" w:space="0" w:color="auto"/>
          </w:divBdr>
        </w:div>
        <w:div w:id="540480783">
          <w:marLeft w:val="480"/>
          <w:marRight w:val="0"/>
          <w:marTop w:val="0"/>
          <w:marBottom w:val="0"/>
          <w:divBdr>
            <w:top w:val="none" w:sz="0" w:space="0" w:color="auto"/>
            <w:left w:val="none" w:sz="0" w:space="0" w:color="auto"/>
            <w:bottom w:val="none" w:sz="0" w:space="0" w:color="auto"/>
            <w:right w:val="none" w:sz="0" w:space="0" w:color="auto"/>
          </w:divBdr>
        </w:div>
        <w:div w:id="578641743">
          <w:marLeft w:val="480"/>
          <w:marRight w:val="0"/>
          <w:marTop w:val="0"/>
          <w:marBottom w:val="0"/>
          <w:divBdr>
            <w:top w:val="none" w:sz="0" w:space="0" w:color="auto"/>
            <w:left w:val="none" w:sz="0" w:space="0" w:color="auto"/>
            <w:bottom w:val="none" w:sz="0" w:space="0" w:color="auto"/>
            <w:right w:val="none" w:sz="0" w:space="0" w:color="auto"/>
          </w:divBdr>
        </w:div>
        <w:div w:id="579604794">
          <w:marLeft w:val="480"/>
          <w:marRight w:val="0"/>
          <w:marTop w:val="0"/>
          <w:marBottom w:val="0"/>
          <w:divBdr>
            <w:top w:val="none" w:sz="0" w:space="0" w:color="auto"/>
            <w:left w:val="none" w:sz="0" w:space="0" w:color="auto"/>
            <w:bottom w:val="none" w:sz="0" w:space="0" w:color="auto"/>
            <w:right w:val="none" w:sz="0" w:space="0" w:color="auto"/>
          </w:divBdr>
        </w:div>
        <w:div w:id="605116218">
          <w:marLeft w:val="480"/>
          <w:marRight w:val="0"/>
          <w:marTop w:val="0"/>
          <w:marBottom w:val="0"/>
          <w:divBdr>
            <w:top w:val="none" w:sz="0" w:space="0" w:color="auto"/>
            <w:left w:val="none" w:sz="0" w:space="0" w:color="auto"/>
            <w:bottom w:val="none" w:sz="0" w:space="0" w:color="auto"/>
            <w:right w:val="none" w:sz="0" w:space="0" w:color="auto"/>
          </w:divBdr>
        </w:div>
        <w:div w:id="607781846">
          <w:marLeft w:val="480"/>
          <w:marRight w:val="0"/>
          <w:marTop w:val="0"/>
          <w:marBottom w:val="0"/>
          <w:divBdr>
            <w:top w:val="none" w:sz="0" w:space="0" w:color="auto"/>
            <w:left w:val="none" w:sz="0" w:space="0" w:color="auto"/>
            <w:bottom w:val="none" w:sz="0" w:space="0" w:color="auto"/>
            <w:right w:val="none" w:sz="0" w:space="0" w:color="auto"/>
          </w:divBdr>
        </w:div>
        <w:div w:id="672224459">
          <w:marLeft w:val="480"/>
          <w:marRight w:val="0"/>
          <w:marTop w:val="0"/>
          <w:marBottom w:val="0"/>
          <w:divBdr>
            <w:top w:val="none" w:sz="0" w:space="0" w:color="auto"/>
            <w:left w:val="none" w:sz="0" w:space="0" w:color="auto"/>
            <w:bottom w:val="none" w:sz="0" w:space="0" w:color="auto"/>
            <w:right w:val="none" w:sz="0" w:space="0" w:color="auto"/>
          </w:divBdr>
        </w:div>
        <w:div w:id="766274869">
          <w:marLeft w:val="480"/>
          <w:marRight w:val="0"/>
          <w:marTop w:val="0"/>
          <w:marBottom w:val="0"/>
          <w:divBdr>
            <w:top w:val="none" w:sz="0" w:space="0" w:color="auto"/>
            <w:left w:val="none" w:sz="0" w:space="0" w:color="auto"/>
            <w:bottom w:val="none" w:sz="0" w:space="0" w:color="auto"/>
            <w:right w:val="none" w:sz="0" w:space="0" w:color="auto"/>
          </w:divBdr>
        </w:div>
        <w:div w:id="785389681">
          <w:marLeft w:val="480"/>
          <w:marRight w:val="0"/>
          <w:marTop w:val="0"/>
          <w:marBottom w:val="0"/>
          <w:divBdr>
            <w:top w:val="none" w:sz="0" w:space="0" w:color="auto"/>
            <w:left w:val="none" w:sz="0" w:space="0" w:color="auto"/>
            <w:bottom w:val="none" w:sz="0" w:space="0" w:color="auto"/>
            <w:right w:val="none" w:sz="0" w:space="0" w:color="auto"/>
          </w:divBdr>
        </w:div>
        <w:div w:id="834302059">
          <w:marLeft w:val="480"/>
          <w:marRight w:val="0"/>
          <w:marTop w:val="0"/>
          <w:marBottom w:val="0"/>
          <w:divBdr>
            <w:top w:val="none" w:sz="0" w:space="0" w:color="auto"/>
            <w:left w:val="none" w:sz="0" w:space="0" w:color="auto"/>
            <w:bottom w:val="none" w:sz="0" w:space="0" w:color="auto"/>
            <w:right w:val="none" w:sz="0" w:space="0" w:color="auto"/>
          </w:divBdr>
        </w:div>
        <w:div w:id="951321271">
          <w:marLeft w:val="480"/>
          <w:marRight w:val="0"/>
          <w:marTop w:val="0"/>
          <w:marBottom w:val="0"/>
          <w:divBdr>
            <w:top w:val="none" w:sz="0" w:space="0" w:color="auto"/>
            <w:left w:val="none" w:sz="0" w:space="0" w:color="auto"/>
            <w:bottom w:val="none" w:sz="0" w:space="0" w:color="auto"/>
            <w:right w:val="none" w:sz="0" w:space="0" w:color="auto"/>
          </w:divBdr>
        </w:div>
        <w:div w:id="976766490">
          <w:marLeft w:val="480"/>
          <w:marRight w:val="0"/>
          <w:marTop w:val="0"/>
          <w:marBottom w:val="0"/>
          <w:divBdr>
            <w:top w:val="none" w:sz="0" w:space="0" w:color="auto"/>
            <w:left w:val="none" w:sz="0" w:space="0" w:color="auto"/>
            <w:bottom w:val="none" w:sz="0" w:space="0" w:color="auto"/>
            <w:right w:val="none" w:sz="0" w:space="0" w:color="auto"/>
          </w:divBdr>
        </w:div>
        <w:div w:id="990446732">
          <w:marLeft w:val="480"/>
          <w:marRight w:val="0"/>
          <w:marTop w:val="0"/>
          <w:marBottom w:val="0"/>
          <w:divBdr>
            <w:top w:val="none" w:sz="0" w:space="0" w:color="auto"/>
            <w:left w:val="none" w:sz="0" w:space="0" w:color="auto"/>
            <w:bottom w:val="none" w:sz="0" w:space="0" w:color="auto"/>
            <w:right w:val="none" w:sz="0" w:space="0" w:color="auto"/>
          </w:divBdr>
        </w:div>
        <w:div w:id="1040008512">
          <w:marLeft w:val="480"/>
          <w:marRight w:val="0"/>
          <w:marTop w:val="0"/>
          <w:marBottom w:val="0"/>
          <w:divBdr>
            <w:top w:val="none" w:sz="0" w:space="0" w:color="auto"/>
            <w:left w:val="none" w:sz="0" w:space="0" w:color="auto"/>
            <w:bottom w:val="none" w:sz="0" w:space="0" w:color="auto"/>
            <w:right w:val="none" w:sz="0" w:space="0" w:color="auto"/>
          </w:divBdr>
        </w:div>
        <w:div w:id="1109394653">
          <w:marLeft w:val="480"/>
          <w:marRight w:val="0"/>
          <w:marTop w:val="0"/>
          <w:marBottom w:val="0"/>
          <w:divBdr>
            <w:top w:val="none" w:sz="0" w:space="0" w:color="auto"/>
            <w:left w:val="none" w:sz="0" w:space="0" w:color="auto"/>
            <w:bottom w:val="none" w:sz="0" w:space="0" w:color="auto"/>
            <w:right w:val="none" w:sz="0" w:space="0" w:color="auto"/>
          </w:divBdr>
        </w:div>
        <w:div w:id="1127621422">
          <w:marLeft w:val="480"/>
          <w:marRight w:val="0"/>
          <w:marTop w:val="0"/>
          <w:marBottom w:val="0"/>
          <w:divBdr>
            <w:top w:val="none" w:sz="0" w:space="0" w:color="auto"/>
            <w:left w:val="none" w:sz="0" w:space="0" w:color="auto"/>
            <w:bottom w:val="none" w:sz="0" w:space="0" w:color="auto"/>
            <w:right w:val="none" w:sz="0" w:space="0" w:color="auto"/>
          </w:divBdr>
        </w:div>
        <w:div w:id="1157500945">
          <w:marLeft w:val="480"/>
          <w:marRight w:val="0"/>
          <w:marTop w:val="0"/>
          <w:marBottom w:val="0"/>
          <w:divBdr>
            <w:top w:val="none" w:sz="0" w:space="0" w:color="auto"/>
            <w:left w:val="none" w:sz="0" w:space="0" w:color="auto"/>
            <w:bottom w:val="none" w:sz="0" w:space="0" w:color="auto"/>
            <w:right w:val="none" w:sz="0" w:space="0" w:color="auto"/>
          </w:divBdr>
        </w:div>
        <w:div w:id="1186288228">
          <w:marLeft w:val="480"/>
          <w:marRight w:val="0"/>
          <w:marTop w:val="0"/>
          <w:marBottom w:val="0"/>
          <w:divBdr>
            <w:top w:val="none" w:sz="0" w:space="0" w:color="auto"/>
            <w:left w:val="none" w:sz="0" w:space="0" w:color="auto"/>
            <w:bottom w:val="none" w:sz="0" w:space="0" w:color="auto"/>
            <w:right w:val="none" w:sz="0" w:space="0" w:color="auto"/>
          </w:divBdr>
        </w:div>
        <w:div w:id="1202551261">
          <w:marLeft w:val="480"/>
          <w:marRight w:val="0"/>
          <w:marTop w:val="0"/>
          <w:marBottom w:val="0"/>
          <w:divBdr>
            <w:top w:val="none" w:sz="0" w:space="0" w:color="auto"/>
            <w:left w:val="none" w:sz="0" w:space="0" w:color="auto"/>
            <w:bottom w:val="none" w:sz="0" w:space="0" w:color="auto"/>
            <w:right w:val="none" w:sz="0" w:space="0" w:color="auto"/>
          </w:divBdr>
        </w:div>
        <w:div w:id="1205486603">
          <w:marLeft w:val="480"/>
          <w:marRight w:val="0"/>
          <w:marTop w:val="0"/>
          <w:marBottom w:val="0"/>
          <w:divBdr>
            <w:top w:val="none" w:sz="0" w:space="0" w:color="auto"/>
            <w:left w:val="none" w:sz="0" w:space="0" w:color="auto"/>
            <w:bottom w:val="none" w:sz="0" w:space="0" w:color="auto"/>
            <w:right w:val="none" w:sz="0" w:space="0" w:color="auto"/>
          </w:divBdr>
        </w:div>
        <w:div w:id="1214806271">
          <w:marLeft w:val="480"/>
          <w:marRight w:val="0"/>
          <w:marTop w:val="0"/>
          <w:marBottom w:val="0"/>
          <w:divBdr>
            <w:top w:val="none" w:sz="0" w:space="0" w:color="auto"/>
            <w:left w:val="none" w:sz="0" w:space="0" w:color="auto"/>
            <w:bottom w:val="none" w:sz="0" w:space="0" w:color="auto"/>
            <w:right w:val="none" w:sz="0" w:space="0" w:color="auto"/>
          </w:divBdr>
        </w:div>
        <w:div w:id="1228540879">
          <w:marLeft w:val="480"/>
          <w:marRight w:val="0"/>
          <w:marTop w:val="0"/>
          <w:marBottom w:val="0"/>
          <w:divBdr>
            <w:top w:val="none" w:sz="0" w:space="0" w:color="auto"/>
            <w:left w:val="none" w:sz="0" w:space="0" w:color="auto"/>
            <w:bottom w:val="none" w:sz="0" w:space="0" w:color="auto"/>
            <w:right w:val="none" w:sz="0" w:space="0" w:color="auto"/>
          </w:divBdr>
        </w:div>
        <w:div w:id="1319647058">
          <w:marLeft w:val="480"/>
          <w:marRight w:val="0"/>
          <w:marTop w:val="0"/>
          <w:marBottom w:val="0"/>
          <w:divBdr>
            <w:top w:val="none" w:sz="0" w:space="0" w:color="auto"/>
            <w:left w:val="none" w:sz="0" w:space="0" w:color="auto"/>
            <w:bottom w:val="none" w:sz="0" w:space="0" w:color="auto"/>
            <w:right w:val="none" w:sz="0" w:space="0" w:color="auto"/>
          </w:divBdr>
        </w:div>
        <w:div w:id="1321931105">
          <w:marLeft w:val="480"/>
          <w:marRight w:val="0"/>
          <w:marTop w:val="0"/>
          <w:marBottom w:val="0"/>
          <w:divBdr>
            <w:top w:val="none" w:sz="0" w:space="0" w:color="auto"/>
            <w:left w:val="none" w:sz="0" w:space="0" w:color="auto"/>
            <w:bottom w:val="none" w:sz="0" w:space="0" w:color="auto"/>
            <w:right w:val="none" w:sz="0" w:space="0" w:color="auto"/>
          </w:divBdr>
        </w:div>
        <w:div w:id="1332024704">
          <w:marLeft w:val="480"/>
          <w:marRight w:val="0"/>
          <w:marTop w:val="0"/>
          <w:marBottom w:val="0"/>
          <w:divBdr>
            <w:top w:val="none" w:sz="0" w:space="0" w:color="auto"/>
            <w:left w:val="none" w:sz="0" w:space="0" w:color="auto"/>
            <w:bottom w:val="none" w:sz="0" w:space="0" w:color="auto"/>
            <w:right w:val="none" w:sz="0" w:space="0" w:color="auto"/>
          </w:divBdr>
        </w:div>
        <w:div w:id="1388530262">
          <w:marLeft w:val="480"/>
          <w:marRight w:val="0"/>
          <w:marTop w:val="0"/>
          <w:marBottom w:val="0"/>
          <w:divBdr>
            <w:top w:val="none" w:sz="0" w:space="0" w:color="auto"/>
            <w:left w:val="none" w:sz="0" w:space="0" w:color="auto"/>
            <w:bottom w:val="none" w:sz="0" w:space="0" w:color="auto"/>
            <w:right w:val="none" w:sz="0" w:space="0" w:color="auto"/>
          </w:divBdr>
        </w:div>
        <w:div w:id="1402436999">
          <w:marLeft w:val="480"/>
          <w:marRight w:val="0"/>
          <w:marTop w:val="0"/>
          <w:marBottom w:val="0"/>
          <w:divBdr>
            <w:top w:val="none" w:sz="0" w:space="0" w:color="auto"/>
            <w:left w:val="none" w:sz="0" w:space="0" w:color="auto"/>
            <w:bottom w:val="none" w:sz="0" w:space="0" w:color="auto"/>
            <w:right w:val="none" w:sz="0" w:space="0" w:color="auto"/>
          </w:divBdr>
        </w:div>
        <w:div w:id="1521049954">
          <w:marLeft w:val="480"/>
          <w:marRight w:val="0"/>
          <w:marTop w:val="0"/>
          <w:marBottom w:val="0"/>
          <w:divBdr>
            <w:top w:val="none" w:sz="0" w:space="0" w:color="auto"/>
            <w:left w:val="none" w:sz="0" w:space="0" w:color="auto"/>
            <w:bottom w:val="none" w:sz="0" w:space="0" w:color="auto"/>
            <w:right w:val="none" w:sz="0" w:space="0" w:color="auto"/>
          </w:divBdr>
        </w:div>
        <w:div w:id="1647584607">
          <w:marLeft w:val="480"/>
          <w:marRight w:val="0"/>
          <w:marTop w:val="0"/>
          <w:marBottom w:val="0"/>
          <w:divBdr>
            <w:top w:val="none" w:sz="0" w:space="0" w:color="auto"/>
            <w:left w:val="none" w:sz="0" w:space="0" w:color="auto"/>
            <w:bottom w:val="none" w:sz="0" w:space="0" w:color="auto"/>
            <w:right w:val="none" w:sz="0" w:space="0" w:color="auto"/>
          </w:divBdr>
        </w:div>
        <w:div w:id="1717585731">
          <w:marLeft w:val="480"/>
          <w:marRight w:val="0"/>
          <w:marTop w:val="0"/>
          <w:marBottom w:val="0"/>
          <w:divBdr>
            <w:top w:val="none" w:sz="0" w:space="0" w:color="auto"/>
            <w:left w:val="none" w:sz="0" w:space="0" w:color="auto"/>
            <w:bottom w:val="none" w:sz="0" w:space="0" w:color="auto"/>
            <w:right w:val="none" w:sz="0" w:space="0" w:color="auto"/>
          </w:divBdr>
        </w:div>
        <w:div w:id="1725324859">
          <w:marLeft w:val="480"/>
          <w:marRight w:val="0"/>
          <w:marTop w:val="0"/>
          <w:marBottom w:val="0"/>
          <w:divBdr>
            <w:top w:val="none" w:sz="0" w:space="0" w:color="auto"/>
            <w:left w:val="none" w:sz="0" w:space="0" w:color="auto"/>
            <w:bottom w:val="none" w:sz="0" w:space="0" w:color="auto"/>
            <w:right w:val="none" w:sz="0" w:space="0" w:color="auto"/>
          </w:divBdr>
        </w:div>
        <w:div w:id="1728530591">
          <w:marLeft w:val="480"/>
          <w:marRight w:val="0"/>
          <w:marTop w:val="0"/>
          <w:marBottom w:val="0"/>
          <w:divBdr>
            <w:top w:val="none" w:sz="0" w:space="0" w:color="auto"/>
            <w:left w:val="none" w:sz="0" w:space="0" w:color="auto"/>
            <w:bottom w:val="none" w:sz="0" w:space="0" w:color="auto"/>
            <w:right w:val="none" w:sz="0" w:space="0" w:color="auto"/>
          </w:divBdr>
        </w:div>
        <w:div w:id="1735200902">
          <w:marLeft w:val="480"/>
          <w:marRight w:val="0"/>
          <w:marTop w:val="0"/>
          <w:marBottom w:val="0"/>
          <w:divBdr>
            <w:top w:val="none" w:sz="0" w:space="0" w:color="auto"/>
            <w:left w:val="none" w:sz="0" w:space="0" w:color="auto"/>
            <w:bottom w:val="none" w:sz="0" w:space="0" w:color="auto"/>
            <w:right w:val="none" w:sz="0" w:space="0" w:color="auto"/>
          </w:divBdr>
        </w:div>
        <w:div w:id="1737850111">
          <w:marLeft w:val="480"/>
          <w:marRight w:val="0"/>
          <w:marTop w:val="0"/>
          <w:marBottom w:val="0"/>
          <w:divBdr>
            <w:top w:val="none" w:sz="0" w:space="0" w:color="auto"/>
            <w:left w:val="none" w:sz="0" w:space="0" w:color="auto"/>
            <w:bottom w:val="none" w:sz="0" w:space="0" w:color="auto"/>
            <w:right w:val="none" w:sz="0" w:space="0" w:color="auto"/>
          </w:divBdr>
        </w:div>
        <w:div w:id="1739784410">
          <w:marLeft w:val="480"/>
          <w:marRight w:val="0"/>
          <w:marTop w:val="0"/>
          <w:marBottom w:val="0"/>
          <w:divBdr>
            <w:top w:val="none" w:sz="0" w:space="0" w:color="auto"/>
            <w:left w:val="none" w:sz="0" w:space="0" w:color="auto"/>
            <w:bottom w:val="none" w:sz="0" w:space="0" w:color="auto"/>
            <w:right w:val="none" w:sz="0" w:space="0" w:color="auto"/>
          </w:divBdr>
        </w:div>
        <w:div w:id="1743064817">
          <w:marLeft w:val="480"/>
          <w:marRight w:val="0"/>
          <w:marTop w:val="0"/>
          <w:marBottom w:val="0"/>
          <w:divBdr>
            <w:top w:val="none" w:sz="0" w:space="0" w:color="auto"/>
            <w:left w:val="none" w:sz="0" w:space="0" w:color="auto"/>
            <w:bottom w:val="none" w:sz="0" w:space="0" w:color="auto"/>
            <w:right w:val="none" w:sz="0" w:space="0" w:color="auto"/>
          </w:divBdr>
        </w:div>
        <w:div w:id="1758750579">
          <w:marLeft w:val="480"/>
          <w:marRight w:val="0"/>
          <w:marTop w:val="0"/>
          <w:marBottom w:val="0"/>
          <w:divBdr>
            <w:top w:val="none" w:sz="0" w:space="0" w:color="auto"/>
            <w:left w:val="none" w:sz="0" w:space="0" w:color="auto"/>
            <w:bottom w:val="none" w:sz="0" w:space="0" w:color="auto"/>
            <w:right w:val="none" w:sz="0" w:space="0" w:color="auto"/>
          </w:divBdr>
        </w:div>
        <w:div w:id="1784769438">
          <w:marLeft w:val="480"/>
          <w:marRight w:val="0"/>
          <w:marTop w:val="0"/>
          <w:marBottom w:val="0"/>
          <w:divBdr>
            <w:top w:val="none" w:sz="0" w:space="0" w:color="auto"/>
            <w:left w:val="none" w:sz="0" w:space="0" w:color="auto"/>
            <w:bottom w:val="none" w:sz="0" w:space="0" w:color="auto"/>
            <w:right w:val="none" w:sz="0" w:space="0" w:color="auto"/>
          </w:divBdr>
        </w:div>
        <w:div w:id="1788504655">
          <w:marLeft w:val="480"/>
          <w:marRight w:val="0"/>
          <w:marTop w:val="0"/>
          <w:marBottom w:val="0"/>
          <w:divBdr>
            <w:top w:val="none" w:sz="0" w:space="0" w:color="auto"/>
            <w:left w:val="none" w:sz="0" w:space="0" w:color="auto"/>
            <w:bottom w:val="none" w:sz="0" w:space="0" w:color="auto"/>
            <w:right w:val="none" w:sz="0" w:space="0" w:color="auto"/>
          </w:divBdr>
        </w:div>
        <w:div w:id="1804036219">
          <w:marLeft w:val="480"/>
          <w:marRight w:val="0"/>
          <w:marTop w:val="0"/>
          <w:marBottom w:val="0"/>
          <w:divBdr>
            <w:top w:val="none" w:sz="0" w:space="0" w:color="auto"/>
            <w:left w:val="none" w:sz="0" w:space="0" w:color="auto"/>
            <w:bottom w:val="none" w:sz="0" w:space="0" w:color="auto"/>
            <w:right w:val="none" w:sz="0" w:space="0" w:color="auto"/>
          </w:divBdr>
        </w:div>
        <w:div w:id="1822237410">
          <w:marLeft w:val="480"/>
          <w:marRight w:val="0"/>
          <w:marTop w:val="0"/>
          <w:marBottom w:val="0"/>
          <w:divBdr>
            <w:top w:val="none" w:sz="0" w:space="0" w:color="auto"/>
            <w:left w:val="none" w:sz="0" w:space="0" w:color="auto"/>
            <w:bottom w:val="none" w:sz="0" w:space="0" w:color="auto"/>
            <w:right w:val="none" w:sz="0" w:space="0" w:color="auto"/>
          </w:divBdr>
        </w:div>
        <w:div w:id="1838302628">
          <w:marLeft w:val="480"/>
          <w:marRight w:val="0"/>
          <w:marTop w:val="0"/>
          <w:marBottom w:val="0"/>
          <w:divBdr>
            <w:top w:val="none" w:sz="0" w:space="0" w:color="auto"/>
            <w:left w:val="none" w:sz="0" w:space="0" w:color="auto"/>
            <w:bottom w:val="none" w:sz="0" w:space="0" w:color="auto"/>
            <w:right w:val="none" w:sz="0" w:space="0" w:color="auto"/>
          </w:divBdr>
        </w:div>
        <w:div w:id="1899703002">
          <w:marLeft w:val="480"/>
          <w:marRight w:val="0"/>
          <w:marTop w:val="0"/>
          <w:marBottom w:val="0"/>
          <w:divBdr>
            <w:top w:val="none" w:sz="0" w:space="0" w:color="auto"/>
            <w:left w:val="none" w:sz="0" w:space="0" w:color="auto"/>
            <w:bottom w:val="none" w:sz="0" w:space="0" w:color="auto"/>
            <w:right w:val="none" w:sz="0" w:space="0" w:color="auto"/>
          </w:divBdr>
        </w:div>
        <w:div w:id="1937784331">
          <w:marLeft w:val="480"/>
          <w:marRight w:val="0"/>
          <w:marTop w:val="0"/>
          <w:marBottom w:val="0"/>
          <w:divBdr>
            <w:top w:val="none" w:sz="0" w:space="0" w:color="auto"/>
            <w:left w:val="none" w:sz="0" w:space="0" w:color="auto"/>
            <w:bottom w:val="none" w:sz="0" w:space="0" w:color="auto"/>
            <w:right w:val="none" w:sz="0" w:space="0" w:color="auto"/>
          </w:divBdr>
        </w:div>
        <w:div w:id="1944263091">
          <w:marLeft w:val="480"/>
          <w:marRight w:val="0"/>
          <w:marTop w:val="0"/>
          <w:marBottom w:val="0"/>
          <w:divBdr>
            <w:top w:val="none" w:sz="0" w:space="0" w:color="auto"/>
            <w:left w:val="none" w:sz="0" w:space="0" w:color="auto"/>
            <w:bottom w:val="none" w:sz="0" w:space="0" w:color="auto"/>
            <w:right w:val="none" w:sz="0" w:space="0" w:color="auto"/>
          </w:divBdr>
        </w:div>
        <w:div w:id="1961960507">
          <w:marLeft w:val="480"/>
          <w:marRight w:val="0"/>
          <w:marTop w:val="0"/>
          <w:marBottom w:val="0"/>
          <w:divBdr>
            <w:top w:val="none" w:sz="0" w:space="0" w:color="auto"/>
            <w:left w:val="none" w:sz="0" w:space="0" w:color="auto"/>
            <w:bottom w:val="none" w:sz="0" w:space="0" w:color="auto"/>
            <w:right w:val="none" w:sz="0" w:space="0" w:color="auto"/>
          </w:divBdr>
        </w:div>
        <w:div w:id="1969050789">
          <w:marLeft w:val="480"/>
          <w:marRight w:val="0"/>
          <w:marTop w:val="0"/>
          <w:marBottom w:val="0"/>
          <w:divBdr>
            <w:top w:val="none" w:sz="0" w:space="0" w:color="auto"/>
            <w:left w:val="none" w:sz="0" w:space="0" w:color="auto"/>
            <w:bottom w:val="none" w:sz="0" w:space="0" w:color="auto"/>
            <w:right w:val="none" w:sz="0" w:space="0" w:color="auto"/>
          </w:divBdr>
        </w:div>
        <w:div w:id="2013140789">
          <w:marLeft w:val="480"/>
          <w:marRight w:val="0"/>
          <w:marTop w:val="0"/>
          <w:marBottom w:val="0"/>
          <w:divBdr>
            <w:top w:val="none" w:sz="0" w:space="0" w:color="auto"/>
            <w:left w:val="none" w:sz="0" w:space="0" w:color="auto"/>
            <w:bottom w:val="none" w:sz="0" w:space="0" w:color="auto"/>
            <w:right w:val="none" w:sz="0" w:space="0" w:color="auto"/>
          </w:divBdr>
        </w:div>
        <w:div w:id="2101169885">
          <w:marLeft w:val="480"/>
          <w:marRight w:val="0"/>
          <w:marTop w:val="0"/>
          <w:marBottom w:val="0"/>
          <w:divBdr>
            <w:top w:val="none" w:sz="0" w:space="0" w:color="auto"/>
            <w:left w:val="none" w:sz="0" w:space="0" w:color="auto"/>
            <w:bottom w:val="none" w:sz="0" w:space="0" w:color="auto"/>
            <w:right w:val="none" w:sz="0" w:space="0" w:color="auto"/>
          </w:divBdr>
        </w:div>
        <w:div w:id="2112847840">
          <w:marLeft w:val="480"/>
          <w:marRight w:val="0"/>
          <w:marTop w:val="0"/>
          <w:marBottom w:val="0"/>
          <w:divBdr>
            <w:top w:val="none" w:sz="0" w:space="0" w:color="auto"/>
            <w:left w:val="none" w:sz="0" w:space="0" w:color="auto"/>
            <w:bottom w:val="none" w:sz="0" w:space="0" w:color="auto"/>
            <w:right w:val="none" w:sz="0" w:space="0" w:color="auto"/>
          </w:divBdr>
        </w:div>
        <w:div w:id="2113241049">
          <w:marLeft w:val="480"/>
          <w:marRight w:val="0"/>
          <w:marTop w:val="0"/>
          <w:marBottom w:val="0"/>
          <w:divBdr>
            <w:top w:val="none" w:sz="0" w:space="0" w:color="auto"/>
            <w:left w:val="none" w:sz="0" w:space="0" w:color="auto"/>
            <w:bottom w:val="none" w:sz="0" w:space="0" w:color="auto"/>
            <w:right w:val="none" w:sz="0" w:space="0" w:color="auto"/>
          </w:divBdr>
        </w:div>
        <w:div w:id="2116972488">
          <w:marLeft w:val="480"/>
          <w:marRight w:val="0"/>
          <w:marTop w:val="0"/>
          <w:marBottom w:val="0"/>
          <w:divBdr>
            <w:top w:val="none" w:sz="0" w:space="0" w:color="auto"/>
            <w:left w:val="none" w:sz="0" w:space="0" w:color="auto"/>
            <w:bottom w:val="none" w:sz="0" w:space="0" w:color="auto"/>
            <w:right w:val="none" w:sz="0" w:space="0" w:color="auto"/>
          </w:divBdr>
        </w:div>
        <w:div w:id="2117676039">
          <w:marLeft w:val="480"/>
          <w:marRight w:val="0"/>
          <w:marTop w:val="0"/>
          <w:marBottom w:val="0"/>
          <w:divBdr>
            <w:top w:val="none" w:sz="0" w:space="0" w:color="auto"/>
            <w:left w:val="none" w:sz="0" w:space="0" w:color="auto"/>
            <w:bottom w:val="none" w:sz="0" w:space="0" w:color="auto"/>
            <w:right w:val="none" w:sz="0" w:space="0" w:color="auto"/>
          </w:divBdr>
        </w:div>
      </w:divsChild>
    </w:div>
    <w:div w:id="1282032575">
      <w:bodyDiv w:val="1"/>
      <w:marLeft w:val="0"/>
      <w:marRight w:val="0"/>
      <w:marTop w:val="0"/>
      <w:marBottom w:val="0"/>
      <w:divBdr>
        <w:top w:val="none" w:sz="0" w:space="0" w:color="auto"/>
        <w:left w:val="none" w:sz="0" w:space="0" w:color="auto"/>
        <w:bottom w:val="none" w:sz="0" w:space="0" w:color="auto"/>
        <w:right w:val="none" w:sz="0" w:space="0" w:color="auto"/>
      </w:divBdr>
    </w:div>
    <w:div w:id="1283001571">
      <w:bodyDiv w:val="1"/>
      <w:marLeft w:val="0"/>
      <w:marRight w:val="0"/>
      <w:marTop w:val="0"/>
      <w:marBottom w:val="0"/>
      <w:divBdr>
        <w:top w:val="none" w:sz="0" w:space="0" w:color="auto"/>
        <w:left w:val="none" w:sz="0" w:space="0" w:color="auto"/>
        <w:bottom w:val="none" w:sz="0" w:space="0" w:color="auto"/>
        <w:right w:val="none" w:sz="0" w:space="0" w:color="auto"/>
      </w:divBdr>
    </w:div>
    <w:div w:id="1286960058">
      <w:bodyDiv w:val="1"/>
      <w:marLeft w:val="0"/>
      <w:marRight w:val="0"/>
      <w:marTop w:val="0"/>
      <w:marBottom w:val="0"/>
      <w:divBdr>
        <w:top w:val="none" w:sz="0" w:space="0" w:color="auto"/>
        <w:left w:val="none" w:sz="0" w:space="0" w:color="auto"/>
        <w:bottom w:val="none" w:sz="0" w:space="0" w:color="auto"/>
        <w:right w:val="none" w:sz="0" w:space="0" w:color="auto"/>
      </w:divBdr>
    </w:div>
    <w:div w:id="1287926773">
      <w:bodyDiv w:val="1"/>
      <w:marLeft w:val="0"/>
      <w:marRight w:val="0"/>
      <w:marTop w:val="0"/>
      <w:marBottom w:val="0"/>
      <w:divBdr>
        <w:top w:val="none" w:sz="0" w:space="0" w:color="auto"/>
        <w:left w:val="none" w:sz="0" w:space="0" w:color="auto"/>
        <w:bottom w:val="none" w:sz="0" w:space="0" w:color="auto"/>
        <w:right w:val="none" w:sz="0" w:space="0" w:color="auto"/>
      </w:divBdr>
    </w:div>
    <w:div w:id="1290208719">
      <w:bodyDiv w:val="1"/>
      <w:marLeft w:val="0"/>
      <w:marRight w:val="0"/>
      <w:marTop w:val="0"/>
      <w:marBottom w:val="0"/>
      <w:divBdr>
        <w:top w:val="none" w:sz="0" w:space="0" w:color="auto"/>
        <w:left w:val="none" w:sz="0" w:space="0" w:color="auto"/>
        <w:bottom w:val="none" w:sz="0" w:space="0" w:color="auto"/>
        <w:right w:val="none" w:sz="0" w:space="0" w:color="auto"/>
      </w:divBdr>
    </w:div>
    <w:div w:id="1295407347">
      <w:bodyDiv w:val="1"/>
      <w:marLeft w:val="0"/>
      <w:marRight w:val="0"/>
      <w:marTop w:val="0"/>
      <w:marBottom w:val="0"/>
      <w:divBdr>
        <w:top w:val="none" w:sz="0" w:space="0" w:color="auto"/>
        <w:left w:val="none" w:sz="0" w:space="0" w:color="auto"/>
        <w:bottom w:val="none" w:sz="0" w:space="0" w:color="auto"/>
        <w:right w:val="none" w:sz="0" w:space="0" w:color="auto"/>
      </w:divBdr>
    </w:div>
    <w:div w:id="1295526209">
      <w:bodyDiv w:val="1"/>
      <w:marLeft w:val="0"/>
      <w:marRight w:val="0"/>
      <w:marTop w:val="0"/>
      <w:marBottom w:val="0"/>
      <w:divBdr>
        <w:top w:val="none" w:sz="0" w:space="0" w:color="auto"/>
        <w:left w:val="none" w:sz="0" w:space="0" w:color="auto"/>
        <w:bottom w:val="none" w:sz="0" w:space="0" w:color="auto"/>
        <w:right w:val="none" w:sz="0" w:space="0" w:color="auto"/>
      </w:divBdr>
      <w:divsChild>
        <w:div w:id="86192077">
          <w:marLeft w:val="480"/>
          <w:marRight w:val="0"/>
          <w:marTop w:val="0"/>
          <w:marBottom w:val="0"/>
          <w:divBdr>
            <w:top w:val="none" w:sz="0" w:space="0" w:color="auto"/>
            <w:left w:val="none" w:sz="0" w:space="0" w:color="auto"/>
            <w:bottom w:val="none" w:sz="0" w:space="0" w:color="auto"/>
            <w:right w:val="none" w:sz="0" w:space="0" w:color="auto"/>
          </w:divBdr>
        </w:div>
        <w:div w:id="100347712">
          <w:marLeft w:val="480"/>
          <w:marRight w:val="0"/>
          <w:marTop w:val="0"/>
          <w:marBottom w:val="0"/>
          <w:divBdr>
            <w:top w:val="none" w:sz="0" w:space="0" w:color="auto"/>
            <w:left w:val="none" w:sz="0" w:space="0" w:color="auto"/>
            <w:bottom w:val="none" w:sz="0" w:space="0" w:color="auto"/>
            <w:right w:val="none" w:sz="0" w:space="0" w:color="auto"/>
          </w:divBdr>
        </w:div>
        <w:div w:id="179047741">
          <w:marLeft w:val="480"/>
          <w:marRight w:val="0"/>
          <w:marTop w:val="0"/>
          <w:marBottom w:val="0"/>
          <w:divBdr>
            <w:top w:val="none" w:sz="0" w:space="0" w:color="auto"/>
            <w:left w:val="none" w:sz="0" w:space="0" w:color="auto"/>
            <w:bottom w:val="none" w:sz="0" w:space="0" w:color="auto"/>
            <w:right w:val="none" w:sz="0" w:space="0" w:color="auto"/>
          </w:divBdr>
        </w:div>
        <w:div w:id="202835239">
          <w:marLeft w:val="480"/>
          <w:marRight w:val="0"/>
          <w:marTop w:val="0"/>
          <w:marBottom w:val="0"/>
          <w:divBdr>
            <w:top w:val="none" w:sz="0" w:space="0" w:color="auto"/>
            <w:left w:val="none" w:sz="0" w:space="0" w:color="auto"/>
            <w:bottom w:val="none" w:sz="0" w:space="0" w:color="auto"/>
            <w:right w:val="none" w:sz="0" w:space="0" w:color="auto"/>
          </w:divBdr>
        </w:div>
        <w:div w:id="239413073">
          <w:marLeft w:val="480"/>
          <w:marRight w:val="0"/>
          <w:marTop w:val="0"/>
          <w:marBottom w:val="0"/>
          <w:divBdr>
            <w:top w:val="none" w:sz="0" w:space="0" w:color="auto"/>
            <w:left w:val="none" w:sz="0" w:space="0" w:color="auto"/>
            <w:bottom w:val="none" w:sz="0" w:space="0" w:color="auto"/>
            <w:right w:val="none" w:sz="0" w:space="0" w:color="auto"/>
          </w:divBdr>
        </w:div>
        <w:div w:id="239945144">
          <w:marLeft w:val="480"/>
          <w:marRight w:val="0"/>
          <w:marTop w:val="0"/>
          <w:marBottom w:val="0"/>
          <w:divBdr>
            <w:top w:val="none" w:sz="0" w:space="0" w:color="auto"/>
            <w:left w:val="none" w:sz="0" w:space="0" w:color="auto"/>
            <w:bottom w:val="none" w:sz="0" w:space="0" w:color="auto"/>
            <w:right w:val="none" w:sz="0" w:space="0" w:color="auto"/>
          </w:divBdr>
        </w:div>
        <w:div w:id="287855400">
          <w:marLeft w:val="480"/>
          <w:marRight w:val="0"/>
          <w:marTop w:val="0"/>
          <w:marBottom w:val="0"/>
          <w:divBdr>
            <w:top w:val="none" w:sz="0" w:space="0" w:color="auto"/>
            <w:left w:val="none" w:sz="0" w:space="0" w:color="auto"/>
            <w:bottom w:val="none" w:sz="0" w:space="0" w:color="auto"/>
            <w:right w:val="none" w:sz="0" w:space="0" w:color="auto"/>
          </w:divBdr>
        </w:div>
        <w:div w:id="448201436">
          <w:marLeft w:val="480"/>
          <w:marRight w:val="0"/>
          <w:marTop w:val="0"/>
          <w:marBottom w:val="0"/>
          <w:divBdr>
            <w:top w:val="none" w:sz="0" w:space="0" w:color="auto"/>
            <w:left w:val="none" w:sz="0" w:space="0" w:color="auto"/>
            <w:bottom w:val="none" w:sz="0" w:space="0" w:color="auto"/>
            <w:right w:val="none" w:sz="0" w:space="0" w:color="auto"/>
          </w:divBdr>
        </w:div>
        <w:div w:id="461924320">
          <w:marLeft w:val="480"/>
          <w:marRight w:val="0"/>
          <w:marTop w:val="0"/>
          <w:marBottom w:val="0"/>
          <w:divBdr>
            <w:top w:val="none" w:sz="0" w:space="0" w:color="auto"/>
            <w:left w:val="none" w:sz="0" w:space="0" w:color="auto"/>
            <w:bottom w:val="none" w:sz="0" w:space="0" w:color="auto"/>
            <w:right w:val="none" w:sz="0" w:space="0" w:color="auto"/>
          </w:divBdr>
        </w:div>
        <w:div w:id="489296429">
          <w:marLeft w:val="480"/>
          <w:marRight w:val="0"/>
          <w:marTop w:val="0"/>
          <w:marBottom w:val="0"/>
          <w:divBdr>
            <w:top w:val="none" w:sz="0" w:space="0" w:color="auto"/>
            <w:left w:val="none" w:sz="0" w:space="0" w:color="auto"/>
            <w:bottom w:val="none" w:sz="0" w:space="0" w:color="auto"/>
            <w:right w:val="none" w:sz="0" w:space="0" w:color="auto"/>
          </w:divBdr>
        </w:div>
        <w:div w:id="489372801">
          <w:marLeft w:val="480"/>
          <w:marRight w:val="0"/>
          <w:marTop w:val="0"/>
          <w:marBottom w:val="0"/>
          <w:divBdr>
            <w:top w:val="none" w:sz="0" w:space="0" w:color="auto"/>
            <w:left w:val="none" w:sz="0" w:space="0" w:color="auto"/>
            <w:bottom w:val="none" w:sz="0" w:space="0" w:color="auto"/>
            <w:right w:val="none" w:sz="0" w:space="0" w:color="auto"/>
          </w:divBdr>
        </w:div>
        <w:div w:id="499347677">
          <w:marLeft w:val="480"/>
          <w:marRight w:val="0"/>
          <w:marTop w:val="0"/>
          <w:marBottom w:val="0"/>
          <w:divBdr>
            <w:top w:val="none" w:sz="0" w:space="0" w:color="auto"/>
            <w:left w:val="none" w:sz="0" w:space="0" w:color="auto"/>
            <w:bottom w:val="none" w:sz="0" w:space="0" w:color="auto"/>
            <w:right w:val="none" w:sz="0" w:space="0" w:color="auto"/>
          </w:divBdr>
        </w:div>
        <w:div w:id="501504968">
          <w:marLeft w:val="480"/>
          <w:marRight w:val="0"/>
          <w:marTop w:val="0"/>
          <w:marBottom w:val="0"/>
          <w:divBdr>
            <w:top w:val="none" w:sz="0" w:space="0" w:color="auto"/>
            <w:left w:val="none" w:sz="0" w:space="0" w:color="auto"/>
            <w:bottom w:val="none" w:sz="0" w:space="0" w:color="auto"/>
            <w:right w:val="none" w:sz="0" w:space="0" w:color="auto"/>
          </w:divBdr>
        </w:div>
        <w:div w:id="509417453">
          <w:marLeft w:val="480"/>
          <w:marRight w:val="0"/>
          <w:marTop w:val="0"/>
          <w:marBottom w:val="0"/>
          <w:divBdr>
            <w:top w:val="none" w:sz="0" w:space="0" w:color="auto"/>
            <w:left w:val="none" w:sz="0" w:space="0" w:color="auto"/>
            <w:bottom w:val="none" w:sz="0" w:space="0" w:color="auto"/>
            <w:right w:val="none" w:sz="0" w:space="0" w:color="auto"/>
          </w:divBdr>
        </w:div>
        <w:div w:id="512841862">
          <w:marLeft w:val="480"/>
          <w:marRight w:val="0"/>
          <w:marTop w:val="0"/>
          <w:marBottom w:val="0"/>
          <w:divBdr>
            <w:top w:val="none" w:sz="0" w:space="0" w:color="auto"/>
            <w:left w:val="none" w:sz="0" w:space="0" w:color="auto"/>
            <w:bottom w:val="none" w:sz="0" w:space="0" w:color="auto"/>
            <w:right w:val="none" w:sz="0" w:space="0" w:color="auto"/>
          </w:divBdr>
        </w:div>
        <w:div w:id="520052201">
          <w:marLeft w:val="480"/>
          <w:marRight w:val="0"/>
          <w:marTop w:val="0"/>
          <w:marBottom w:val="0"/>
          <w:divBdr>
            <w:top w:val="none" w:sz="0" w:space="0" w:color="auto"/>
            <w:left w:val="none" w:sz="0" w:space="0" w:color="auto"/>
            <w:bottom w:val="none" w:sz="0" w:space="0" w:color="auto"/>
            <w:right w:val="none" w:sz="0" w:space="0" w:color="auto"/>
          </w:divBdr>
        </w:div>
        <w:div w:id="587739526">
          <w:marLeft w:val="480"/>
          <w:marRight w:val="0"/>
          <w:marTop w:val="0"/>
          <w:marBottom w:val="0"/>
          <w:divBdr>
            <w:top w:val="none" w:sz="0" w:space="0" w:color="auto"/>
            <w:left w:val="none" w:sz="0" w:space="0" w:color="auto"/>
            <w:bottom w:val="none" w:sz="0" w:space="0" w:color="auto"/>
            <w:right w:val="none" w:sz="0" w:space="0" w:color="auto"/>
          </w:divBdr>
        </w:div>
        <w:div w:id="608321379">
          <w:marLeft w:val="480"/>
          <w:marRight w:val="0"/>
          <w:marTop w:val="0"/>
          <w:marBottom w:val="0"/>
          <w:divBdr>
            <w:top w:val="none" w:sz="0" w:space="0" w:color="auto"/>
            <w:left w:val="none" w:sz="0" w:space="0" w:color="auto"/>
            <w:bottom w:val="none" w:sz="0" w:space="0" w:color="auto"/>
            <w:right w:val="none" w:sz="0" w:space="0" w:color="auto"/>
          </w:divBdr>
        </w:div>
        <w:div w:id="665325669">
          <w:marLeft w:val="480"/>
          <w:marRight w:val="0"/>
          <w:marTop w:val="0"/>
          <w:marBottom w:val="0"/>
          <w:divBdr>
            <w:top w:val="none" w:sz="0" w:space="0" w:color="auto"/>
            <w:left w:val="none" w:sz="0" w:space="0" w:color="auto"/>
            <w:bottom w:val="none" w:sz="0" w:space="0" w:color="auto"/>
            <w:right w:val="none" w:sz="0" w:space="0" w:color="auto"/>
          </w:divBdr>
        </w:div>
        <w:div w:id="680470886">
          <w:marLeft w:val="480"/>
          <w:marRight w:val="0"/>
          <w:marTop w:val="0"/>
          <w:marBottom w:val="0"/>
          <w:divBdr>
            <w:top w:val="none" w:sz="0" w:space="0" w:color="auto"/>
            <w:left w:val="none" w:sz="0" w:space="0" w:color="auto"/>
            <w:bottom w:val="none" w:sz="0" w:space="0" w:color="auto"/>
            <w:right w:val="none" w:sz="0" w:space="0" w:color="auto"/>
          </w:divBdr>
        </w:div>
        <w:div w:id="681081976">
          <w:marLeft w:val="480"/>
          <w:marRight w:val="0"/>
          <w:marTop w:val="0"/>
          <w:marBottom w:val="0"/>
          <w:divBdr>
            <w:top w:val="none" w:sz="0" w:space="0" w:color="auto"/>
            <w:left w:val="none" w:sz="0" w:space="0" w:color="auto"/>
            <w:bottom w:val="none" w:sz="0" w:space="0" w:color="auto"/>
            <w:right w:val="none" w:sz="0" w:space="0" w:color="auto"/>
          </w:divBdr>
        </w:div>
        <w:div w:id="717751860">
          <w:marLeft w:val="480"/>
          <w:marRight w:val="0"/>
          <w:marTop w:val="0"/>
          <w:marBottom w:val="0"/>
          <w:divBdr>
            <w:top w:val="none" w:sz="0" w:space="0" w:color="auto"/>
            <w:left w:val="none" w:sz="0" w:space="0" w:color="auto"/>
            <w:bottom w:val="none" w:sz="0" w:space="0" w:color="auto"/>
            <w:right w:val="none" w:sz="0" w:space="0" w:color="auto"/>
          </w:divBdr>
        </w:div>
        <w:div w:id="762646822">
          <w:marLeft w:val="480"/>
          <w:marRight w:val="0"/>
          <w:marTop w:val="0"/>
          <w:marBottom w:val="0"/>
          <w:divBdr>
            <w:top w:val="none" w:sz="0" w:space="0" w:color="auto"/>
            <w:left w:val="none" w:sz="0" w:space="0" w:color="auto"/>
            <w:bottom w:val="none" w:sz="0" w:space="0" w:color="auto"/>
            <w:right w:val="none" w:sz="0" w:space="0" w:color="auto"/>
          </w:divBdr>
        </w:div>
        <w:div w:id="764301098">
          <w:marLeft w:val="480"/>
          <w:marRight w:val="0"/>
          <w:marTop w:val="0"/>
          <w:marBottom w:val="0"/>
          <w:divBdr>
            <w:top w:val="none" w:sz="0" w:space="0" w:color="auto"/>
            <w:left w:val="none" w:sz="0" w:space="0" w:color="auto"/>
            <w:bottom w:val="none" w:sz="0" w:space="0" w:color="auto"/>
            <w:right w:val="none" w:sz="0" w:space="0" w:color="auto"/>
          </w:divBdr>
        </w:div>
        <w:div w:id="794367222">
          <w:marLeft w:val="480"/>
          <w:marRight w:val="0"/>
          <w:marTop w:val="0"/>
          <w:marBottom w:val="0"/>
          <w:divBdr>
            <w:top w:val="none" w:sz="0" w:space="0" w:color="auto"/>
            <w:left w:val="none" w:sz="0" w:space="0" w:color="auto"/>
            <w:bottom w:val="none" w:sz="0" w:space="0" w:color="auto"/>
            <w:right w:val="none" w:sz="0" w:space="0" w:color="auto"/>
          </w:divBdr>
        </w:div>
        <w:div w:id="796992213">
          <w:marLeft w:val="480"/>
          <w:marRight w:val="0"/>
          <w:marTop w:val="0"/>
          <w:marBottom w:val="0"/>
          <w:divBdr>
            <w:top w:val="none" w:sz="0" w:space="0" w:color="auto"/>
            <w:left w:val="none" w:sz="0" w:space="0" w:color="auto"/>
            <w:bottom w:val="none" w:sz="0" w:space="0" w:color="auto"/>
            <w:right w:val="none" w:sz="0" w:space="0" w:color="auto"/>
          </w:divBdr>
        </w:div>
        <w:div w:id="855778405">
          <w:marLeft w:val="480"/>
          <w:marRight w:val="0"/>
          <w:marTop w:val="0"/>
          <w:marBottom w:val="0"/>
          <w:divBdr>
            <w:top w:val="none" w:sz="0" w:space="0" w:color="auto"/>
            <w:left w:val="none" w:sz="0" w:space="0" w:color="auto"/>
            <w:bottom w:val="none" w:sz="0" w:space="0" w:color="auto"/>
            <w:right w:val="none" w:sz="0" w:space="0" w:color="auto"/>
          </w:divBdr>
        </w:div>
        <w:div w:id="919945418">
          <w:marLeft w:val="480"/>
          <w:marRight w:val="0"/>
          <w:marTop w:val="0"/>
          <w:marBottom w:val="0"/>
          <w:divBdr>
            <w:top w:val="none" w:sz="0" w:space="0" w:color="auto"/>
            <w:left w:val="none" w:sz="0" w:space="0" w:color="auto"/>
            <w:bottom w:val="none" w:sz="0" w:space="0" w:color="auto"/>
            <w:right w:val="none" w:sz="0" w:space="0" w:color="auto"/>
          </w:divBdr>
        </w:div>
        <w:div w:id="1005477954">
          <w:marLeft w:val="480"/>
          <w:marRight w:val="0"/>
          <w:marTop w:val="0"/>
          <w:marBottom w:val="0"/>
          <w:divBdr>
            <w:top w:val="none" w:sz="0" w:space="0" w:color="auto"/>
            <w:left w:val="none" w:sz="0" w:space="0" w:color="auto"/>
            <w:bottom w:val="none" w:sz="0" w:space="0" w:color="auto"/>
            <w:right w:val="none" w:sz="0" w:space="0" w:color="auto"/>
          </w:divBdr>
        </w:div>
        <w:div w:id="1023169654">
          <w:marLeft w:val="480"/>
          <w:marRight w:val="0"/>
          <w:marTop w:val="0"/>
          <w:marBottom w:val="0"/>
          <w:divBdr>
            <w:top w:val="none" w:sz="0" w:space="0" w:color="auto"/>
            <w:left w:val="none" w:sz="0" w:space="0" w:color="auto"/>
            <w:bottom w:val="none" w:sz="0" w:space="0" w:color="auto"/>
            <w:right w:val="none" w:sz="0" w:space="0" w:color="auto"/>
          </w:divBdr>
        </w:div>
        <w:div w:id="1088773451">
          <w:marLeft w:val="480"/>
          <w:marRight w:val="0"/>
          <w:marTop w:val="0"/>
          <w:marBottom w:val="0"/>
          <w:divBdr>
            <w:top w:val="none" w:sz="0" w:space="0" w:color="auto"/>
            <w:left w:val="none" w:sz="0" w:space="0" w:color="auto"/>
            <w:bottom w:val="none" w:sz="0" w:space="0" w:color="auto"/>
            <w:right w:val="none" w:sz="0" w:space="0" w:color="auto"/>
          </w:divBdr>
        </w:div>
        <w:div w:id="1099983047">
          <w:marLeft w:val="480"/>
          <w:marRight w:val="0"/>
          <w:marTop w:val="0"/>
          <w:marBottom w:val="0"/>
          <w:divBdr>
            <w:top w:val="none" w:sz="0" w:space="0" w:color="auto"/>
            <w:left w:val="none" w:sz="0" w:space="0" w:color="auto"/>
            <w:bottom w:val="none" w:sz="0" w:space="0" w:color="auto"/>
            <w:right w:val="none" w:sz="0" w:space="0" w:color="auto"/>
          </w:divBdr>
        </w:div>
        <w:div w:id="1110123840">
          <w:marLeft w:val="480"/>
          <w:marRight w:val="0"/>
          <w:marTop w:val="0"/>
          <w:marBottom w:val="0"/>
          <w:divBdr>
            <w:top w:val="none" w:sz="0" w:space="0" w:color="auto"/>
            <w:left w:val="none" w:sz="0" w:space="0" w:color="auto"/>
            <w:bottom w:val="none" w:sz="0" w:space="0" w:color="auto"/>
            <w:right w:val="none" w:sz="0" w:space="0" w:color="auto"/>
          </w:divBdr>
        </w:div>
        <w:div w:id="1111438640">
          <w:marLeft w:val="480"/>
          <w:marRight w:val="0"/>
          <w:marTop w:val="0"/>
          <w:marBottom w:val="0"/>
          <w:divBdr>
            <w:top w:val="none" w:sz="0" w:space="0" w:color="auto"/>
            <w:left w:val="none" w:sz="0" w:space="0" w:color="auto"/>
            <w:bottom w:val="none" w:sz="0" w:space="0" w:color="auto"/>
            <w:right w:val="none" w:sz="0" w:space="0" w:color="auto"/>
          </w:divBdr>
        </w:div>
        <w:div w:id="1173060342">
          <w:marLeft w:val="480"/>
          <w:marRight w:val="0"/>
          <w:marTop w:val="0"/>
          <w:marBottom w:val="0"/>
          <w:divBdr>
            <w:top w:val="none" w:sz="0" w:space="0" w:color="auto"/>
            <w:left w:val="none" w:sz="0" w:space="0" w:color="auto"/>
            <w:bottom w:val="none" w:sz="0" w:space="0" w:color="auto"/>
            <w:right w:val="none" w:sz="0" w:space="0" w:color="auto"/>
          </w:divBdr>
        </w:div>
        <w:div w:id="1188837084">
          <w:marLeft w:val="480"/>
          <w:marRight w:val="0"/>
          <w:marTop w:val="0"/>
          <w:marBottom w:val="0"/>
          <w:divBdr>
            <w:top w:val="none" w:sz="0" w:space="0" w:color="auto"/>
            <w:left w:val="none" w:sz="0" w:space="0" w:color="auto"/>
            <w:bottom w:val="none" w:sz="0" w:space="0" w:color="auto"/>
            <w:right w:val="none" w:sz="0" w:space="0" w:color="auto"/>
          </w:divBdr>
        </w:div>
        <w:div w:id="1265310942">
          <w:marLeft w:val="480"/>
          <w:marRight w:val="0"/>
          <w:marTop w:val="0"/>
          <w:marBottom w:val="0"/>
          <w:divBdr>
            <w:top w:val="none" w:sz="0" w:space="0" w:color="auto"/>
            <w:left w:val="none" w:sz="0" w:space="0" w:color="auto"/>
            <w:bottom w:val="none" w:sz="0" w:space="0" w:color="auto"/>
            <w:right w:val="none" w:sz="0" w:space="0" w:color="auto"/>
          </w:divBdr>
        </w:div>
        <w:div w:id="1296911243">
          <w:marLeft w:val="480"/>
          <w:marRight w:val="0"/>
          <w:marTop w:val="0"/>
          <w:marBottom w:val="0"/>
          <w:divBdr>
            <w:top w:val="none" w:sz="0" w:space="0" w:color="auto"/>
            <w:left w:val="none" w:sz="0" w:space="0" w:color="auto"/>
            <w:bottom w:val="none" w:sz="0" w:space="0" w:color="auto"/>
            <w:right w:val="none" w:sz="0" w:space="0" w:color="auto"/>
          </w:divBdr>
        </w:div>
        <w:div w:id="1320419963">
          <w:marLeft w:val="480"/>
          <w:marRight w:val="0"/>
          <w:marTop w:val="0"/>
          <w:marBottom w:val="0"/>
          <w:divBdr>
            <w:top w:val="none" w:sz="0" w:space="0" w:color="auto"/>
            <w:left w:val="none" w:sz="0" w:space="0" w:color="auto"/>
            <w:bottom w:val="none" w:sz="0" w:space="0" w:color="auto"/>
            <w:right w:val="none" w:sz="0" w:space="0" w:color="auto"/>
          </w:divBdr>
        </w:div>
        <w:div w:id="1333950771">
          <w:marLeft w:val="480"/>
          <w:marRight w:val="0"/>
          <w:marTop w:val="0"/>
          <w:marBottom w:val="0"/>
          <w:divBdr>
            <w:top w:val="none" w:sz="0" w:space="0" w:color="auto"/>
            <w:left w:val="none" w:sz="0" w:space="0" w:color="auto"/>
            <w:bottom w:val="none" w:sz="0" w:space="0" w:color="auto"/>
            <w:right w:val="none" w:sz="0" w:space="0" w:color="auto"/>
          </w:divBdr>
        </w:div>
        <w:div w:id="1369375942">
          <w:marLeft w:val="480"/>
          <w:marRight w:val="0"/>
          <w:marTop w:val="0"/>
          <w:marBottom w:val="0"/>
          <w:divBdr>
            <w:top w:val="none" w:sz="0" w:space="0" w:color="auto"/>
            <w:left w:val="none" w:sz="0" w:space="0" w:color="auto"/>
            <w:bottom w:val="none" w:sz="0" w:space="0" w:color="auto"/>
            <w:right w:val="none" w:sz="0" w:space="0" w:color="auto"/>
          </w:divBdr>
        </w:div>
        <w:div w:id="1475952825">
          <w:marLeft w:val="480"/>
          <w:marRight w:val="0"/>
          <w:marTop w:val="0"/>
          <w:marBottom w:val="0"/>
          <w:divBdr>
            <w:top w:val="none" w:sz="0" w:space="0" w:color="auto"/>
            <w:left w:val="none" w:sz="0" w:space="0" w:color="auto"/>
            <w:bottom w:val="none" w:sz="0" w:space="0" w:color="auto"/>
            <w:right w:val="none" w:sz="0" w:space="0" w:color="auto"/>
          </w:divBdr>
        </w:div>
        <w:div w:id="1532692164">
          <w:marLeft w:val="480"/>
          <w:marRight w:val="0"/>
          <w:marTop w:val="0"/>
          <w:marBottom w:val="0"/>
          <w:divBdr>
            <w:top w:val="none" w:sz="0" w:space="0" w:color="auto"/>
            <w:left w:val="none" w:sz="0" w:space="0" w:color="auto"/>
            <w:bottom w:val="none" w:sz="0" w:space="0" w:color="auto"/>
            <w:right w:val="none" w:sz="0" w:space="0" w:color="auto"/>
          </w:divBdr>
        </w:div>
        <w:div w:id="1585184922">
          <w:marLeft w:val="480"/>
          <w:marRight w:val="0"/>
          <w:marTop w:val="0"/>
          <w:marBottom w:val="0"/>
          <w:divBdr>
            <w:top w:val="none" w:sz="0" w:space="0" w:color="auto"/>
            <w:left w:val="none" w:sz="0" w:space="0" w:color="auto"/>
            <w:bottom w:val="none" w:sz="0" w:space="0" w:color="auto"/>
            <w:right w:val="none" w:sz="0" w:space="0" w:color="auto"/>
          </w:divBdr>
        </w:div>
        <w:div w:id="1605378312">
          <w:marLeft w:val="480"/>
          <w:marRight w:val="0"/>
          <w:marTop w:val="0"/>
          <w:marBottom w:val="0"/>
          <w:divBdr>
            <w:top w:val="none" w:sz="0" w:space="0" w:color="auto"/>
            <w:left w:val="none" w:sz="0" w:space="0" w:color="auto"/>
            <w:bottom w:val="none" w:sz="0" w:space="0" w:color="auto"/>
            <w:right w:val="none" w:sz="0" w:space="0" w:color="auto"/>
          </w:divBdr>
        </w:div>
        <w:div w:id="1704789285">
          <w:marLeft w:val="480"/>
          <w:marRight w:val="0"/>
          <w:marTop w:val="0"/>
          <w:marBottom w:val="0"/>
          <w:divBdr>
            <w:top w:val="none" w:sz="0" w:space="0" w:color="auto"/>
            <w:left w:val="none" w:sz="0" w:space="0" w:color="auto"/>
            <w:bottom w:val="none" w:sz="0" w:space="0" w:color="auto"/>
            <w:right w:val="none" w:sz="0" w:space="0" w:color="auto"/>
          </w:divBdr>
        </w:div>
        <w:div w:id="1726955078">
          <w:marLeft w:val="480"/>
          <w:marRight w:val="0"/>
          <w:marTop w:val="0"/>
          <w:marBottom w:val="0"/>
          <w:divBdr>
            <w:top w:val="none" w:sz="0" w:space="0" w:color="auto"/>
            <w:left w:val="none" w:sz="0" w:space="0" w:color="auto"/>
            <w:bottom w:val="none" w:sz="0" w:space="0" w:color="auto"/>
            <w:right w:val="none" w:sz="0" w:space="0" w:color="auto"/>
          </w:divBdr>
        </w:div>
        <w:div w:id="1758020960">
          <w:marLeft w:val="480"/>
          <w:marRight w:val="0"/>
          <w:marTop w:val="0"/>
          <w:marBottom w:val="0"/>
          <w:divBdr>
            <w:top w:val="none" w:sz="0" w:space="0" w:color="auto"/>
            <w:left w:val="none" w:sz="0" w:space="0" w:color="auto"/>
            <w:bottom w:val="none" w:sz="0" w:space="0" w:color="auto"/>
            <w:right w:val="none" w:sz="0" w:space="0" w:color="auto"/>
          </w:divBdr>
        </w:div>
        <w:div w:id="1776056583">
          <w:marLeft w:val="480"/>
          <w:marRight w:val="0"/>
          <w:marTop w:val="0"/>
          <w:marBottom w:val="0"/>
          <w:divBdr>
            <w:top w:val="none" w:sz="0" w:space="0" w:color="auto"/>
            <w:left w:val="none" w:sz="0" w:space="0" w:color="auto"/>
            <w:bottom w:val="none" w:sz="0" w:space="0" w:color="auto"/>
            <w:right w:val="none" w:sz="0" w:space="0" w:color="auto"/>
          </w:divBdr>
        </w:div>
        <w:div w:id="1776636029">
          <w:marLeft w:val="480"/>
          <w:marRight w:val="0"/>
          <w:marTop w:val="0"/>
          <w:marBottom w:val="0"/>
          <w:divBdr>
            <w:top w:val="none" w:sz="0" w:space="0" w:color="auto"/>
            <w:left w:val="none" w:sz="0" w:space="0" w:color="auto"/>
            <w:bottom w:val="none" w:sz="0" w:space="0" w:color="auto"/>
            <w:right w:val="none" w:sz="0" w:space="0" w:color="auto"/>
          </w:divBdr>
        </w:div>
        <w:div w:id="1805149295">
          <w:marLeft w:val="480"/>
          <w:marRight w:val="0"/>
          <w:marTop w:val="0"/>
          <w:marBottom w:val="0"/>
          <w:divBdr>
            <w:top w:val="none" w:sz="0" w:space="0" w:color="auto"/>
            <w:left w:val="none" w:sz="0" w:space="0" w:color="auto"/>
            <w:bottom w:val="none" w:sz="0" w:space="0" w:color="auto"/>
            <w:right w:val="none" w:sz="0" w:space="0" w:color="auto"/>
          </w:divBdr>
        </w:div>
        <w:div w:id="1864783229">
          <w:marLeft w:val="480"/>
          <w:marRight w:val="0"/>
          <w:marTop w:val="0"/>
          <w:marBottom w:val="0"/>
          <w:divBdr>
            <w:top w:val="none" w:sz="0" w:space="0" w:color="auto"/>
            <w:left w:val="none" w:sz="0" w:space="0" w:color="auto"/>
            <w:bottom w:val="none" w:sz="0" w:space="0" w:color="auto"/>
            <w:right w:val="none" w:sz="0" w:space="0" w:color="auto"/>
          </w:divBdr>
        </w:div>
        <w:div w:id="1882403263">
          <w:marLeft w:val="480"/>
          <w:marRight w:val="0"/>
          <w:marTop w:val="0"/>
          <w:marBottom w:val="0"/>
          <w:divBdr>
            <w:top w:val="none" w:sz="0" w:space="0" w:color="auto"/>
            <w:left w:val="none" w:sz="0" w:space="0" w:color="auto"/>
            <w:bottom w:val="none" w:sz="0" w:space="0" w:color="auto"/>
            <w:right w:val="none" w:sz="0" w:space="0" w:color="auto"/>
          </w:divBdr>
        </w:div>
        <w:div w:id="1980263096">
          <w:marLeft w:val="480"/>
          <w:marRight w:val="0"/>
          <w:marTop w:val="0"/>
          <w:marBottom w:val="0"/>
          <w:divBdr>
            <w:top w:val="none" w:sz="0" w:space="0" w:color="auto"/>
            <w:left w:val="none" w:sz="0" w:space="0" w:color="auto"/>
            <w:bottom w:val="none" w:sz="0" w:space="0" w:color="auto"/>
            <w:right w:val="none" w:sz="0" w:space="0" w:color="auto"/>
          </w:divBdr>
        </w:div>
        <w:div w:id="2007975811">
          <w:marLeft w:val="480"/>
          <w:marRight w:val="0"/>
          <w:marTop w:val="0"/>
          <w:marBottom w:val="0"/>
          <w:divBdr>
            <w:top w:val="none" w:sz="0" w:space="0" w:color="auto"/>
            <w:left w:val="none" w:sz="0" w:space="0" w:color="auto"/>
            <w:bottom w:val="none" w:sz="0" w:space="0" w:color="auto"/>
            <w:right w:val="none" w:sz="0" w:space="0" w:color="auto"/>
          </w:divBdr>
        </w:div>
        <w:div w:id="2013141909">
          <w:marLeft w:val="480"/>
          <w:marRight w:val="0"/>
          <w:marTop w:val="0"/>
          <w:marBottom w:val="0"/>
          <w:divBdr>
            <w:top w:val="none" w:sz="0" w:space="0" w:color="auto"/>
            <w:left w:val="none" w:sz="0" w:space="0" w:color="auto"/>
            <w:bottom w:val="none" w:sz="0" w:space="0" w:color="auto"/>
            <w:right w:val="none" w:sz="0" w:space="0" w:color="auto"/>
          </w:divBdr>
        </w:div>
        <w:div w:id="2142453705">
          <w:marLeft w:val="480"/>
          <w:marRight w:val="0"/>
          <w:marTop w:val="0"/>
          <w:marBottom w:val="0"/>
          <w:divBdr>
            <w:top w:val="none" w:sz="0" w:space="0" w:color="auto"/>
            <w:left w:val="none" w:sz="0" w:space="0" w:color="auto"/>
            <w:bottom w:val="none" w:sz="0" w:space="0" w:color="auto"/>
            <w:right w:val="none" w:sz="0" w:space="0" w:color="auto"/>
          </w:divBdr>
        </w:div>
      </w:divsChild>
    </w:div>
    <w:div w:id="1306349021">
      <w:bodyDiv w:val="1"/>
      <w:marLeft w:val="0"/>
      <w:marRight w:val="0"/>
      <w:marTop w:val="0"/>
      <w:marBottom w:val="0"/>
      <w:divBdr>
        <w:top w:val="none" w:sz="0" w:space="0" w:color="auto"/>
        <w:left w:val="none" w:sz="0" w:space="0" w:color="auto"/>
        <w:bottom w:val="none" w:sz="0" w:space="0" w:color="auto"/>
        <w:right w:val="none" w:sz="0" w:space="0" w:color="auto"/>
      </w:divBdr>
    </w:div>
    <w:div w:id="1313174901">
      <w:bodyDiv w:val="1"/>
      <w:marLeft w:val="0"/>
      <w:marRight w:val="0"/>
      <w:marTop w:val="0"/>
      <w:marBottom w:val="0"/>
      <w:divBdr>
        <w:top w:val="none" w:sz="0" w:space="0" w:color="auto"/>
        <w:left w:val="none" w:sz="0" w:space="0" w:color="auto"/>
        <w:bottom w:val="none" w:sz="0" w:space="0" w:color="auto"/>
        <w:right w:val="none" w:sz="0" w:space="0" w:color="auto"/>
      </w:divBdr>
    </w:div>
    <w:div w:id="1314793628">
      <w:bodyDiv w:val="1"/>
      <w:marLeft w:val="0"/>
      <w:marRight w:val="0"/>
      <w:marTop w:val="0"/>
      <w:marBottom w:val="0"/>
      <w:divBdr>
        <w:top w:val="none" w:sz="0" w:space="0" w:color="auto"/>
        <w:left w:val="none" w:sz="0" w:space="0" w:color="auto"/>
        <w:bottom w:val="none" w:sz="0" w:space="0" w:color="auto"/>
        <w:right w:val="none" w:sz="0" w:space="0" w:color="auto"/>
      </w:divBdr>
    </w:div>
    <w:div w:id="1320889954">
      <w:bodyDiv w:val="1"/>
      <w:marLeft w:val="0"/>
      <w:marRight w:val="0"/>
      <w:marTop w:val="0"/>
      <w:marBottom w:val="0"/>
      <w:divBdr>
        <w:top w:val="none" w:sz="0" w:space="0" w:color="auto"/>
        <w:left w:val="none" w:sz="0" w:space="0" w:color="auto"/>
        <w:bottom w:val="none" w:sz="0" w:space="0" w:color="auto"/>
        <w:right w:val="none" w:sz="0" w:space="0" w:color="auto"/>
      </w:divBdr>
    </w:div>
    <w:div w:id="1325275760">
      <w:bodyDiv w:val="1"/>
      <w:marLeft w:val="0"/>
      <w:marRight w:val="0"/>
      <w:marTop w:val="0"/>
      <w:marBottom w:val="0"/>
      <w:divBdr>
        <w:top w:val="none" w:sz="0" w:space="0" w:color="auto"/>
        <w:left w:val="none" w:sz="0" w:space="0" w:color="auto"/>
        <w:bottom w:val="none" w:sz="0" w:space="0" w:color="auto"/>
        <w:right w:val="none" w:sz="0" w:space="0" w:color="auto"/>
      </w:divBdr>
    </w:div>
    <w:div w:id="1332684753">
      <w:bodyDiv w:val="1"/>
      <w:marLeft w:val="0"/>
      <w:marRight w:val="0"/>
      <w:marTop w:val="0"/>
      <w:marBottom w:val="0"/>
      <w:divBdr>
        <w:top w:val="none" w:sz="0" w:space="0" w:color="auto"/>
        <w:left w:val="none" w:sz="0" w:space="0" w:color="auto"/>
        <w:bottom w:val="none" w:sz="0" w:space="0" w:color="auto"/>
        <w:right w:val="none" w:sz="0" w:space="0" w:color="auto"/>
      </w:divBdr>
    </w:div>
    <w:div w:id="1335691947">
      <w:bodyDiv w:val="1"/>
      <w:marLeft w:val="0"/>
      <w:marRight w:val="0"/>
      <w:marTop w:val="0"/>
      <w:marBottom w:val="0"/>
      <w:divBdr>
        <w:top w:val="none" w:sz="0" w:space="0" w:color="auto"/>
        <w:left w:val="none" w:sz="0" w:space="0" w:color="auto"/>
        <w:bottom w:val="none" w:sz="0" w:space="0" w:color="auto"/>
        <w:right w:val="none" w:sz="0" w:space="0" w:color="auto"/>
      </w:divBdr>
    </w:div>
    <w:div w:id="1339578543">
      <w:bodyDiv w:val="1"/>
      <w:marLeft w:val="0"/>
      <w:marRight w:val="0"/>
      <w:marTop w:val="0"/>
      <w:marBottom w:val="0"/>
      <w:divBdr>
        <w:top w:val="none" w:sz="0" w:space="0" w:color="auto"/>
        <w:left w:val="none" w:sz="0" w:space="0" w:color="auto"/>
        <w:bottom w:val="none" w:sz="0" w:space="0" w:color="auto"/>
        <w:right w:val="none" w:sz="0" w:space="0" w:color="auto"/>
      </w:divBdr>
    </w:div>
    <w:div w:id="1342314318">
      <w:bodyDiv w:val="1"/>
      <w:marLeft w:val="0"/>
      <w:marRight w:val="0"/>
      <w:marTop w:val="0"/>
      <w:marBottom w:val="0"/>
      <w:divBdr>
        <w:top w:val="none" w:sz="0" w:space="0" w:color="auto"/>
        <w:left w:val="none" w:sz="0" w:space="0" w:color="auto"/>
        <w:bottom w:val="none" w:sz="0" w:space="0" w:color="auto"/>
        <w:right w:val="none" w:sz="0" w:space="0" w:color="auto"/>
      </w:divBdr>
    </w:div>
    <w:div w:id="1342511903">
      <w:bodyDiv w:val="1"/>
      <w:marLeft w:val="0"/>
      <w:marRight w:val="0"/>
      <w:marTop w:val="0"/>
      <w:marBottom w:val="0"/>
      <w:divBdr>
        <w:top w:val="none" w:sz="0" w:space="0" w:color="auto"/>
        <w:left w:val="none" w:sz="0" w:space="0" w:color="auto"/>
        <w:bottom w:val="none" w:sz="0" w:space="0" w:color="auto"/>
        <w:right w:val="none" w:sz="0" w:space="0" w:color="auto"/>
      </w:divBdr>
    </w:div>
    <w:div w:id="1344895441">
      <w:bodyDiv w:val="1"/>
      <w:marLeft w:val="0"/>
      <w:marRight w:val="0"/>
      <w:marTop w:val="0"/>
      <w:marBottom w:val="0"/>
      <w:divBdr>
        <w:top w:val="none" w:sz="0" w:space="0" w:color="auto"/>
        <w:left w:val="none" w:sz="0" w:space="0" w:color="auto"/>
        <w:bottom w:val="none" w:sz="0" w:space="0" w:color="auto"/>
        <w:right w:val="none" w:sz="0" w:space="0" w:color="auto"/>
      </w:divBdr>
    </w:div>
    <w:div w:id="1348172583">
      <w:bodyDiv w:val="1"/>
      <w:marLeft w:val="0"/>
      <w:marRight w:val="0"/>
      <w:marTop w:val="0"/>
      <w:marBottom w:val="0"/>
      <w:divBdr>
        <w:top w:val="none" w:sz="0" w:space="0" w:color="auto"/>
        <w:left w:val="none" w:sz="0" w:space="0" w:color="auto"/>
        <w:bottom w:val="none" w:sz="0" w:space="0" w:color="auto"/>
        <w:right w:val="none" w:sz="0" w:space="0" w:color="auto"/>
      </w:divBdr>
    </w:div>
    <w:div w:id="1357076061">
      <w:bodyDiv w:val="1"/>
      <w:marLeft w:val="0"/>
      <w:marRight w:val="0"/>
      <w:marTop w:val="0"/>
      <w:marBottom w:val="0"/>
      <w:divBdr>
        <w:top w:val="none" w:sz="0" w:space="0" w:color="auto"/>
        <w:left w:val="none" w:sz="0" w:space="0" w:color="auto"/>
        <w:bottom w:val="none" w:sz="0" w:space="0" w:color="auto"/>
        <w:right w:val="none" w:sz="0" w:space="0" w:color="auto"/>
      </w:divBdr>
    </w:div>
    <w:div w:id="1360350604">
      <w:bodyDiv w:val="1"/>
      <w:marLeft w:val="0"/>
      <w:marRight w:val="0"/>
      <w:marTop w:val="0"/>
      <w:marBottom w:val="0"/>
      <w:divBdr>
        <w:top w:val="none" w:sz="0" w:space="0" w:color="auto"/>
        <w:left w:val="none" w:sz="0" w:space="0" w:color="auto"/>
        <w:bottom w:val="none" w:sz="0" w:space="0" w:color="auto"/>
        <w:right w:val="none" w:sz="0" w:space="0" w:color="auto"/>
      </w:divBdr>
    </w:div>
    <w:div w:id="1370883841">
      <w:bodyDiv w:val="1"/>
      <w:marLeft w:val="0"/>
      <w:marRight w:val="0"/>
      <w:marTop w:val="0"/>
      <w:marBottom w:val="0"/>
      <w:divBdr>
        <w:top w:val="none" w:sz="0" w:space="0" w:color="auto"/>
        <w:left w:val="none" w:sz="0" w:space="0" w:color="auto"/>
        <w:bottom w:val="none" w:sz="0" w:space="0" w:color="auto"/>
        <w:right w:val="none" w:sz="0" w:space="0" w:color="auto"/>
      </w:divBdr>
    </w:div>
    <w:div w:id="1374505384">
      <w:bodyDiv w:val="1"/>
      <w:marLeft w:val="0"/>
      <w:marRight w:val="0"/>
      <w:marTop w:val="0"/>
      <w:marBottom w:val="0"/>
      <w:divBdr>
        <w:top w:val="none" w:sz="0" w:space="0" w:color="auto"/>
        <w:left w:val="none" w:sz="0" w:space="0" w:color="auto"/>
        <w:bottom w:val="none" w:sz="0" w:space="0" w:color="auto"/>
        <w:right w:val="none" w:sz="0" w:space="0" w:color="auto"/>
      </w:divBdr>
    </w:div>
    <w:div w:id="1374579328">
      <w:bodyDiv w:val="1"/>
      <w:marLeft w:val="0"/>
      <w:marRight w:val="0"/>
      <w:marTop w:val="0"/>
      <w:marBottom w:val="0"/>
      <w:divBdr>
        <w:top w:val="none" w:sz="0" w:space="0" w:color="auto"/>
        <w:left w:val="none" w:sz="0" w:space="0" w:color="auto"/>
        <w:bottom w:val="none" w:sz="0" w:space="0" w:color="auto"/>
        <w:right w:val="none" w:sz="0" w:space="0" w:color="auto"/>
      </w:divBdr>
    </w:div>
    <w:div w:id="1376082563">
      <w:bodyDiv w:val="1"/>
      <w:marLeft w:val="0"/>
      <w:marRight w:val="0"/>
      <w:marTop w:val="0"/>
      <w:marBottom w:val="0"/>
      <w:divBdr>
        <w:top w:val="none" w:sz="0" w:space="0" w:color="auto"/>
        <w:left w:val="none" w:sz="0" w:space="0" w:color="auto"/>
        <w:bottom w:val="none" w:sz="0" w:space="0" w:color="auto"/>
        <w:right w:val="none" w:sz="0" w:space="0" w:color="auto"/>
      </w:divBdr>
    </w:div>
    <w:div w:id="1386874327">
      <w:bodyDiv w:val="1"/>
      <w:marLeft w:val="0"/>
      <w:marRight w:val="0"/>
      <w:marTop w:val="0"/>
      <w:marBottom w:val="0"/>
      <w:divBdr>
        <w:top w:val="none" w:sz="0" w:space="0" w:color="auto"/>
        <w:left w:val="none" w:sz="0" w:space="0" w:color="auto"/>
        <w:bottom w:val="none" w:sz="0" w:space="0" w:color="auto"/>
        <w:right w:val="none" w:sz="0" w:space="0" w:color="auto"/>
      </w:divBdr>
    </w:div>
    <w:div w:id="1392001973">
      <w:bodyDiv w:val="1"/>
      <w:marLeft w:val="0"/>
      <w:marRight w:val="0"/>
      <w:marTop w:val="0"/>
      <w:marBottom w:val="0"/>
      <w:divBdr>
        <w:top w:val="none" w:sz="0" w:space="0" w:color="auto"/>
        <w:left w:val="none" w:sz="0" w:space="0" w:color="auto"/>
        <w:bottom w:val="none" w:sz="0" w:space="0" w:color="auto"/>
        <w:right w:val="none" w:sz="0" w:space="0" w:color="auto"/>
      </w:divBdr>
    </w:div>
    <w:div w:id="1393117137">
      <w:bodyDiv w:val="1"/>
      <w:marLeft w:val="0"/>
      <w:marRight w:val="0"/>
      <w:marTop w:val="0"/>
      <w:marBottom w:val="0"/>
      <w:divBdr>
        <w:top w:val="none" w:sz="0" w:space="0" w:color="auto"/>
        <w:left w:val="none" w:sz="0" w:space="0" w:color="auto"/>
        <w:bottom w:val="none" w:sz="0" w:space="0" w:color="auto"/>
        <w:right w:val="none" w:sz="0" w:space="0" w:color="auto"/>
      </w:divBdr>
    </w:div>
    <w:div w:id="1398018218">
      <w:bodyDiv w:val="1"/>
      <w:marLeft w:val="0"/>
      <w:marRight w:val="0"/>
      <w:marTop w:val="0"/>
      <w:marBottom w:val="0"/>
      <w:divBdr>
        <w:top w:val="none" w:sz="0" w:space="0" w:color="auto"/>
        <w:left w:val="none" w:sz="0" w:space="0" w:color="auto"/>
        <w:bottom w:val="none" w:sz="0" w:space="0" w:color="auto"/>
        <w:right w:val="none" w:sz="0" w:space="0" w:color="auto"/>
      </w:divBdr>
    </w:div>
    <w:div w:id="1410611496">
      <w:bodyDiv w:val="1"/>
      <w:marLeft w:val="0"/>
      <w:marRight w:val="0"/>
      <w:marTop w:val="0"/>
      <w:marBottom w:val="0"/>
      <w:divBdr>
        <w:top w:val="none" w:sz="0" w:space="0" w:color="auto"/>
        <w:left w:val="none" w:sz="0" w:space="0" w:color="auto"/>
        <w:bottom w:val="none" w:sz="0" w:space="0" w:color="auto"/>
        <w:right w:val="none" w:sz="0" w:space="0" w:color="auto"/>
      </w:divBdr>
    </w:div>
    <w:div w:id="1415055941">
      <w:bodyDiv w:val="1"/>
      <w:marLeft w:val="0"/>
      <w:marRight w:val="0"/>
      <w:marTop w:val="0"/>
      <w:marBottom w:val="0"/>
      <w:divBdr>
        <w:top w:val="none" w:sz="0" w:space="0" w:color="auto"/>
        <w:left w:val="none" w:sz="0" w:space="0" w:color="auto"/>
        <w:bottom w:val="none" w:sz="0" w:space="0" w:color="auto"/>
        <w:right w:val="none" w:sz="0" w:space="0" w:color="auto"/>
      </w:divBdr>
    </w:div>
    <w:div w:id="1436251274">
      <w:bodyDiv w:val="1"/>
      <w:marLeft w:val="0"/>
      <w:marRight w:val="0"/>
      <w:marTop w:val="0"/>
      <w:marBottom w:val="0"/>
      <w:divBdr>
        <w:top w:val="none" w:sz="0" w:space="0" w:color="auto"/>
        <w:left w:val="none" w:sz="0" w:space="0" w:color="auto"/>
        <w:bottom w:val="none" w:sz="0" w:space="0" w:color="auto"/>
        <w:right w:val="none" w:sz="0" w:space="0" w:color="auto"/>
      </w:divBdr>
    </w:div>
    <w:div w:id="1443720736">
      <w:bodyDiv w:val="1"/>
      <w:marLeft w:val="0"/>
      <w:marRight w:val="0"/>
      <w:marTop w:val="0"/>
      <w:marBottom w:val="0"/>
      <w:divBdr>
        <w:top w:val="none" w:sz="0" w:space="0" w:color="auto"/>
        <w:left w:val="none" w:sz="0" w:space="0" w:color="auto"/>
        <w:bottom w:val="none" w:sz="0" w:space="0" w:color="auto"/>
        <w:right w:val="none" w:sz="0" w:space="0" w:color="auto"/>
      </w:divBdr>
    </w:div>
    <w:div w:id="1445345379">
      <w:bodyDiv w:val="1"/>
      <w:marLeft w:val="0"/>
      <w:marRight w:val="0"/>
      <w:marTop w:val="0"/>
      <w:marBottom w:val="0"/>
      <w:divBdr>
        <w:top w:val="none" w:sz="0" w:space="0" w:color="auto"/>
        <w:left w:val="none" w:sz="0" w:space="0" w:color="auto"/>
        <w:bottom w:val="none" w:sz="0" w:space="0" w:color="auto"/>
        <w:right w:val="none" w:sz="0" w:space="0" w:color="auto"/>
      </w:divBdr>
    </w:div>
    <w:div w:id="1446342144">
      <w:bodyDiv w:val="1"/>
      <w:marLeft w:val="0"/>
      <w:marRight w:val="0"/>
      <w:marTop w:val="0"/>
      <w:marBottom w:val="0"/>
      <w:divBdr>
        <w:top w:val="none" w:sz="0" w:space="0" w:color="auto"/>
        <w:left w:val="none" w:sz="0" w:space="0" w:color="auto"/>
        <w:bottom w:val="none" w:sz="0" w:space="0" w:color="auto"/>
        <w:right w:val="none" w:sz="0" w:space="0" w:color="auto"/>
      </w:divBdr>
    </w:div>
    <w:div w:id="1453670259">
      <w:bodyDiv w:val="1"/>
      <w:marLeft w:val="0"/>
      <w:marRight w:val="0"/>
      <w:marTop w:val="0"/>
      <w:marBottom w:val="0"/>
      <w:divBdr>
        <w:top w:val="none" w:sz="0" w:space="0" w:color="auto"/>
        <w:left w:val="none" w:sz="0" w:space="0" w:color="auto"/>
        <w:bottom w:val="none" w:sz="0" w:space="0" w:color="auto"/>
        <w:right w:val="none" w:sz="0" w:space="0" w:color="auto"/>
      </w:divBdr>
    </w:div>
    <w:div w:id="1453791910">
      <w:bodyDiv w:val="1"/>
      <w:marLeft w:val="0"/>
      <w:marRight w:val="0"/>
      <w:marTop w:val="0"/>
      <w:marBottom w:val="0"/>
      <w:divBdr>
        <w:top w:val="none" w:sz="0" w:space="0" w:color="auto"/>
        <w:left w:val="none" w:sz="0" w:space="0" w:color="auto"/>
        <w:bottom w:val="none" w:sz="0" w:space="0" w:color="auto"/>
        <w:right w:val="none" w:sz="0" w:space="0" w:color="auto"/>
      </w:divBdr>
    </w:div>
    <w:div w:id="1459103189">
      <w:bodyDiv w:val="1"/>
      <w:marLeft w:val="0"/>
      <w:marRight w:val="0"/>
      <w:marTop w:val="0"/>
      <w:marBottom w:val="0"/>
      <w:divBdr>
        <w:top w:val="none" w:sz="0" w:space="0" w:color="auto"/>
        <w:left w:val="none" w:sz="0" w:space="0" w:color="auto"/>
        <w:bottom w:val="none" w:sz="0" w:space="0" w:color="auto"/>
        <w:right w:val="none" w:sz="0" w:space="0" w:color="auto"/>
      </w:divBdr>
    </w:div>
    <w:div w:id="1460220128">
      <w:bodyDiv w:val="1"/>
      <w:marLeft w:val="0"/>
      <w:marRight w:val="0"/>
      <w:marTop w:val="0"/>
      <w:marBottom w:val="0"/>
      <w:divBdr>
        <w:top w:val="none" w:sz="0" w:space="0" w:color="auto"/>
        <w:left w:val="none" w:sz="0" w:space="0" w:color="auto"/>
        <w:bottom w:val="none" w:sz="0" w:space="0" w:color="auto"/>
        <w:right w:val="none" w:sz="0" w:space="0" w:color="auto"/>
      </w:divBdr>
    </w:div>
    <w:div w:id="1460874307">
      <w:bodyDiv w:val="1"/>
      <w:marLeft w:val="0"/>
      <w:marRight w:val="0"/>
      <w:marTop w:val="0"/>
      <w:marBottom w:val="0"/>
      <w:divBdr>
        <w:top w:val="none" w:sz="0" w:space="0" w:color="auto"/>
        <w:left w:val="none" w:sz="0" w:space="0" w:color="auto"/>
        <w:bottom w:val="none" w:sz="0" w:space="0" w:color="auto"/>
        <w:right w:val="none" w:sz="0" w:space="0" w:color="auto"/>
      </w:divBdr>
    </w:div>
    <w:div w:id="1465847662">
      <w:bodyDiv w:val="1"/>
      <w:marLeft w:val="0"/>
      <w:marRight w:val="0"/>
      <w:marTop w:val="0"/>
      <w:marBottom w:val="0"/>
      <w:divBdr>
        <w:top w:val="none" w:sz="0" w:space="0" w:color="auto"/>
        <w:left w:val="none" w:sz="0" w:space="0" w:color="auto"/>
        <w:bottom w:val="none" w:sz="0" w:space="0" w:color="auto"/>
        <w:right w:val="none" w:sz="0" w:space="0" w:color="auto"/>
      </w:divBdr>
    </w:div>
    <w:div w:id="1466776276">
      <w:bodyDiv w:val="1"/>
      <w:marLeft w:val="0"/>
      <w:marRight w:val="0"/>
      <w:marTop w:val="0"/>
      <w:marBottom w:val="0"/>
      <w:divBdr>
        <w:top w:val="none" w:sz="0" w:space="0" w:color="auto"/>
        <w:left w:val="none" w:sz="0" w:space="0" w:color="auto"/>
        <w:bottom w:val="none" w:sz="0" w:space="0" w:color="auto"/>
        <w:right w:val="none" w:sz="0" w:space="0" w:color="auto"/>
      </w:divBdr>
    </w:div>
    <w:div w:id="1467431735">
      <w:bodyDiv w:val="1"/>
      <w:marLeft w:val="0"/>
      <w:marRight w:val="0"/>
      <w:marTop w:val="0"/>
      <w:marBottom w:val="0"/>
      <w:divBdr>
        <w:top w:val="none" w:sz="0" w:space="0" w:color="auto"/>
        <w:left w:val="none" w:sz="0" w:space="0" w:color="auto"/>
        <w:bottom w:val="none" w:sz="0" w:space="0" w:color="auto"/>
        <w:right w:val="none" w:sz="0" w:space="0" w:color="auto"/>
      </w:divBdr>
    </w:div>
    <w:div w:id="1470393846">
      <w:bodyDiv w:val="1"/>
      <w:marLeft w:val="0"/>
      <w:marRight w:val="0"/>
      <w:marTop w:val="0"/>
      <w:marBottom w:val="0"/>
      <w:divBdr>
        <w:top w:val="none" w:sz="0" w:space="0" w:color="auto"/>
        <w:left w:val="none" w:sz="0" w:space="0" w:color="auto"/>
        <w:bottom w:val="none" w:sz="0" w:space="0" w:color="auto"/>
        <w:right w:val="none" w:sz="0" w:space="0" w:color="auto"/>
      </w:divBdr>
    </w:div>
    <w:div w:id="1473325653">
      <w:bodyDiv w:val="1"/>
      <w:marLeft w:val="0"/>
      <w:marRight w:val="0"/>
      <w:marTop w:val="0"/>
      <w:marBottom w:val="0"/>
      <w:divBdr>
        <w:top w:val="none" w:sz="0" w:space="0" w:color="auto"/>
        <w:left w:val="none" w:sz="0" w:space="0" w:color="auto"/>
        <w:bottom w:val="none" w:sz="0" w:space="0" w:color="auto"/>
        <w:right w:val="none" w:sz="0" w:space="0" w:color="auto"/>
      </w:divBdr>
    </w:div>
    <w:div w:id="1480732973">
      <w:bodyDiv w:val="1"/>
      <w:marLeft w:val="0"/>
      <w:marRight w:val="0"/>
      <w:marTop w:val="0"/>
      <w:marBottom w:val="0"/>
      <w:divBdr>
        <w:top w:val="none" w:sz="0" w:space="0" w:color="auto"/>
        <w:left w:val="none" w:sz="0" w:space="0" w:color="auto"/>
        <w:bottom w:val="none" w:sz="0" w:space="0" w:color="auto"/>
        <w:right w:val="none" w:sz="0" w:space="0" w:color="auto"/>
      </w:divBdr>
    </w:div>
    <w:div w:id="1484077965">
      <w:bodyDiv w:val="1"/>
      <w:marLeft w:val="0"/>
      <w:marRight w:val="0"/>
      <w:marTop w:val="0"/>
      <w:marBottom w:val="0"/>
      <w:divBdr>
        <w:top w:val="none" w:sz="0" w:space="0" w:color="auto"/>
        <w:left w:val="none" w:sz="0" w:space="0" w:color="auto"/>
        <w:bottom w:val="none" w:sz="0" w:space="0" w:color="auto"/>
        <w:right w:val="none" w:sz="0" w:space="0" w:color="auto"/>
      </w:divBdr>
    </w:div>
    <w:div w:id="1490367606">
      <w:bodyDiv w:val="1"/>
      <w:marLeft w:val="0"/>
      <w:marRight w:val="0"/>
      <w:marTop w:val="0"/>
      <w:marBottom w:val="0"/>
      <w:divBdr>
        <w:top w:val="none" w:sz="0" w:space="0" w:color="auto"/>
        <w:left w:val="none" w:sz="0" w:space="0" w:color="auto"/>
        <w:bottom w:val="none" w:sz="0" w:space="0" w:color="auto"/>
        <w:right w:val="none" w:sz="0" w:space="0" w:color="auto"/>
      </w:divBdr>
    </w:div>
    <w:div w:id="1491629095">
      <w:bodyDiv w:val="1"/>
      <w:marLeft w:val="0"/>
      <w:marRight w:val="0"/>
      <w:marTop w:val="0"/>
      <w:marBottom w:val="0"/>
      <w:divBdr>
        <w:top w:val="none" w:sz="0" w:space="0" w:color="auto"/>
        <w:left w:val="none" w:sz="0" w:space="0" w:color="auto"/>
        <w:bottom w:val="none" w:sz="0" w:space="0" w:color="auto"/>
        <w:right w:val="none" w:sz="0" w:space="0" w:color="auto"/>
      </w:divBdr>
    </w:div>
    <w:div w:id="1492023566">
      <w:bodyDiv w:val="1"/>
      <w:marLeft w:val="0"/>
      <w:marRight w:val="0"/>
      <w:marTop w:val="0"/>
      <w:marBottom w:val="0"/>
      <w:divBdr>
        <w:top w:val="none" w:sz="0" w:space="0" w:color="auto"/>
        <w:left w:val="none" w:sz="0" w:space="0" w:color="auto"/>
        <w:bottom w:val="none" w:sz="0" w:space="0" w:color="auto"/>
        <w:right w:val="none" w:sz="0" w:space="0" w:color="auto"/>
      </w:divBdr>
    </w:div>
    <w:div w:id="1502236445">
      <w:bodyDiv w:val="1"/>
      <w:marLeft w:val="0"/>
      <w:marRight w:val="0"/>
      <w:marTop w:val="0"/>
      <w:marBottom w:val="0"/>
      <w:divBdr>
        <w:top w:val="none" w:sz="0" w:space="0" w:color="auto"/>
        <w:left w:val="none" w:sz="0" w:space="0" w:color="auto"/>
        <w:bottom w:val="none" w:sz="0" w:space="0" w:color="auto"/>
        <w:right w:val="none" w:sz="0" w:space="0" w:color="auto"/>
      </w:divBdr>
    </w:div>
    <w:div w:id="1505898476">
      <w:bodyDiv w:val="1"/>
      <w:marLeft w:val="0"/>
      <w:marRight w:val="0"/>
      <w:marTop w:val="0"/>
      <w:marBottom w:val="0"/>
      <w:divBdr>
        <w:top w:val="none" w:sz="0" w:space="0" w:color="auto"/>
        <w:left w:val="none" w:sz="0" w:space="0" w:color="auto"/>
        <w:bottom w:val="none" w:sz="0" w:space="0" w:color="auto"/>
        <w:right w:val="none" w:sz="0" w:space="0" w:color="auto"/>
      </w:divBdr>
    </w:div>
    <w:div w:id="1506439629">
      <w:bodyDiv w:val="1"/>
      <w:marLeft w:val="0"/>
      <w:marRight w:val="0"/>
      <w:marTop w:val="0"/>
      <w:marBottom w:val="0"/>
      <w:divBdr>
        <w:top w:val="none" w:sz="0" w:space="0" w:color="auto"/>
        <w:left w:val="none" w:sz="0" w:space="0" w:color="auto"/>
        <w:bottom w:val="none" w:sz="0" w:space="0" w:color="auto"/>
        <w:right w:val="none" w:sz="0" w:space="0" w:color="auto"/>
      </w:divBdr>
    </w:div>
    <w:div w:id="1517311484">
      <w:bodyDiv w:val="1"/>
      <w:marLeft w:val="0"/>
      <w:marRight w:val="0"/>
      <w:marTop w:val="0"/>
      <w:marBottom w:val="0"/>
      <w:divBdr>
        <w:top w:val="none" w:sz="0" w:space="0" w:color="auto"/>
        <w:left w:val="none" w:sz="0" w:space="0" w:color="auto"/>
        <w:bottom w:val="none" w:sz="0" w:space="0" w:color="auto"/>
        <w:right w:val="none" w:sz="0" w:space="0" w:color="auto"/>
      </w:divBdr>
    </w:div>
    <w:div w:id="1518501570">
      <w:bodyDiv w:val="1"/>
      <w:marLeft w:val="0"/>
      <w:marRight w:val="0"/>
      <w:marTop w:val="0"/>
      <w:marBottom w:val="0"/>
      <w:divBdr>
        <w:top w:val="none" w:sz="0" w:space="0" w:color="auto"/>
        <w:left w:val="none" w:sz="0" w:space="0" w:color="auto"/>
        <w:bottom w:val="none" w:sz="0" w:space="0" w:color="auto"/>
        <w:right w:val="none" w:sz="0" w:space="0" w:color="auto"/>
      </w:divBdr>
    </w:div>
    <w:div w:id="1531800197">
      <w:bodyDiv w:val="1"/>
      <w:marLeft w:val="0"/>
      <w:marRight w:val="0"/>
      <w:marTop w:val="0"/>
      <w:marBottom w:val="0"/>
      <w:divBdr>
        <w:top w:val="none" w:sz="0" w:space="0" w:color="auto"/>
        <w:left w:val="none" w:sz="0" w:space="0" w:color="auto"/>
        <w:bottom w:val="none" w:sz="0" w:space="0" w:color="auto"/>
        <w:right w:val="none" w:sz="0" w:space="0" w:color="auto"/>
      </w:divBdr>
    </w:div>
    <w:div w:id="1532187744">
      <w:bodyDiv w:val="1"/>
      <w:marLeft w:val="0"/>
      <w:marRight w:val="0"/>
      <w:marTop w:val="0"/>
      <w:marBottom w:val="0"/>
      <w:divBdr>
        <w:top w:val="none" w:sz="0" w:space="0" w:color="auto"/>
        <w:left w:val="none" w:sz="0" w:space="0" w:color="auto"/>
        <w:bottom w:val="none" w:sz="0" w:space="0" w:color="auto"/>
        <w:right w:val="none" w:sz="0" w:space="0" w:color="auto"/>
      </w:divBdr>
    </w:div>
    <w:div w:id="1532644838">
      <w:bodyDiv w:val="1"/>
      <w:marLeft w:val="0"/>
      <w:marRight w:val="0"/>
      <w:marTop w:val="0"/>
      <w:marBottom w:val="0"/>
      <w:divBdr>
        <w:top w:val="none" w:sz="0" w:space="0" w:color="auto"/>
        <w:left w:val="none" w:sz="0" w:space="0" w:color="auto"/>
        <w:bottom w:val="none" w:sz="0" w:space="0" w:color="auto"/>
        <w:right w:val="none" w:sz="0" w:space="0" w:color="auto"/>
      </w:divBdr>
    </w:div>
    <w:div w:id="1541628293">
      <w:bodyDiv w:val="1"/>
      <w:marLeft w:val="0"/>
      <w:marRight w:val="0"/>
      <w:marTop w:val="0"/>
      <w:marBottom w:val="0"/>
      <w:divBdr>
        <w:top w:val="none" w:sz="0" w:space="0" w:color="auto"/>
        <w:left w:val="none" w:sz="0" w:space="0" w:color="auto"/>
        <w:bottom w:val="none" w:sz="0" w:space="0" w:color="auto"/>
        <w:right w:val="none" w:sz="0" w:space="0" w:color="auto"/>
      </w:divBdr>
    </w:div>
    <w:div w:id="1541748414">
      <w:bodyDiv w:val="1"/>
      <w:marLeft w:val="0"/>
      <w:marRight w:val="0"/>
      <w:marTop w:val="0"/>
      <w:marBottom w:val="0"/>
      <w:divBdr>
        <w:top w:val="none" w:sz="0" w:space="0" w:color="auto"/>
        <w:left w:val="none" w:sz="0" w:space="0" w:color="auto"/>
        <w:bottom w:val="none" w:sz="0" w:space="0" w:color="auto"/>
        <w:right w:val="none" w:sz="0" w:space="0" w:color="auto"/>
      </w:divBdr>
    </w:div>
    <w:div w:id="1542133902">
      <w:bodyDiv w:val="1"/>
      <w:marLeft w:val="0"/>
      <w:marRight w:val="0"/>
      <w:marTop w:val="0"/>
      <w:marBottom w:val="0"/>
      <w:divBdr>
        <w:top w:val="none" w:sz="0" w:space="0" w:color="auto"/>
        <w:left w:val="none" w:sz="0" w:space="0" w:color="auto"/>
        <w:bottom w:val="none" w:sz="0" w:space="0" w:color="auto"/>
        <w:right w:val="none" w:sz="0" w:space="0" w:color="auto"/>
      </w:divBdr>
    </w:div>
    <w:div w:id="1554853836">
      <w:bodyDiv w:val="1"/>
      <w:marLeft w:val="0"/>
      <w:marRight w:val="0"/>
      <w:marTop w:val="0"/>
      <w:marBottom w:val="0"/>
      <w:divBdr>
        <w:top w:val="none" w:sz="0" w:space="0" w:color="auto"/>
        <w:left w:val="none" w:sz="0" w:space="0" w:color="auto"/>
        <w:bottom w:val="none" w:sz="0" w:space="0" w:color="auto"/>
        <w:right w:val="none" w:sz="0" w:space="0" w:color="auto"/>
      </w:divBdr>
    </w:div>
    <w:div w:id="1559394212">
      <w:bodyDiv w:val="1"/>
      <w:marLeft w:val="0"/>
      <w:marRight w:val="0"/>
      <w:marTop w:val="0"/>
      <w:marBottom w:val="0"/>
      <w:divBdr>
        <w:top w:val="none" w:sz="0" w:space="0" w:color="auto"/>
        <w:left w:val="none" w:sz="0" w:space="0" w:color="auto"/>
        <w:bottom w:val="none" w:sz="0" w:space="0" w:color="auto"/>
        <w:right w:val="none" w:sz="0" w:space="0" w:color="auto"/>
      </w:divBdr>
    </w:div>
    <w:div w:id="1567297455">
      <w:bodyDiv w:val="1"/>
      <w:marLeft w:val="0"/>
      <w:marRight w:val="0"/>
      <w:marTop w:val="0"/>
      <w:marBottom w:val="0"/>
      <w:divBdr>
        <w:top w:val="none" w:sz="0" w:space="0" w:color="auto"/>
        <w:left w:val="none" w:sz="0" w:space="0" w:color="auto"/>
        <w:bottom w:val="none" w:sz="0" w:space="0" w:color="auto"/>
        <w:right w:val="none" w:sz="0" w:space="0" w:color="auto"/>
      </w:divBdr>
    </w:div>
    <w:div w:id="1567762265">
      <w:bodyDiv w:val="1"/>
      <w:marLeft w:val="0"/>
      <w:marRight w:val="0"/>
      <w:marTop w:val="0"/>
      <w:marBottom w:val="0"/>
      <w:divBdr>
        <w:top w:val="none" w:sz="0" w:space="0" w:color="auto"/>
        <w:left w:val="none" w:sz="0" w:space="0" w:color="auto"/>
        <w:bottom w:val="none" w:sz="0" w:space="0" w:color="auto"/>
        <w:right w:val="none" w:sz="0" w:space="0" w:color="auto"/>
      </w:divBdr>
    </w:div>
    <w:div w:id="1573275977">
      <w:bodyDiv w:val="1"/>
      <w:marLeft w:val="0"/>
      <w:marRight w:val="0"/>
      <w:marTop w:val="0"/>
      <w:marBottom w:val="0"/>
      <w:divBdr>
        <w:top w:val="none" w:sz="0" w:space="0" w:color="auto"/>
        <w:left w:val="none" w:sz="0" w:space="0" w:color="auto"/>
        <w:bottom w:val="none" w:sz="0" w:space="0" w:color="auto"/>
        <w:right w:val="none" w:sz="0" w:space="0" w:color="auto"/>
      </w:divBdr>
      <w:divsChild>
        <w:div w:id="59711992">
          <w:marLeft w:val="480"/>
          <w:marRight w:val="0"/>
          <w:marTop w:val="0"/>
          <w:marBottom w:val="0"/>
          <w:divBdr>
            <w:top w:val="none" w:sz="0" w:space="0" w:color="auto"/>
            <w:left w:val="none" w:sz="0" w:space="0" w:color="auto"/>
            <w:bottom w:val="none" w:sz="0" w:space="0" w:color="auto"/>
            <w:right w:val="none" w:sz="0" w:space="0" w:color="auto"/>
          </w:divBdr>
        </w:div>
        <w:div w:id="69234820">
          <w:marLeft w:val="480"/>
          <w:marRight w:val="0"/>
          <w:marTop w:val="0"/>
          <w:marBottom w:val="0"/>
          <w:divBdr>
            <w:top w:val="none" w:sz="0" w:space="0" w:color="auto"/>
            <w:left w:val="none" w:sz="0" w:space="0" w:color="auto"/>
            <w:bottom w:val="none" w:sz="0" w:space="0" w:color="auto"/>
            <w:right w:val="none" w:sz="0" w:space="0" w:color="auto"/>
          </w:divBdr>
        </w:div>
        <w:div w:id="110788469">
          <w:marLeft w:val="480"/>
          <w:marRight w:val="0"/>
          <w:marTop w:val="0"/>
          <w:marBottom w:val="0"/>
          <w:divBdr>
            <w:top w:val="none" w:sz="0" w:space="0" w:color="auto"/>
            <w:left w:val="none" w:sz="0" w:space="0" w:color="auto"/>
            <w:bottom w:val="none" w:sz="0" w:space="0" w:color="auto"/>
            <w:right w:val="none" w:sz="0" w:space="0" w:color="auto"/>
          </w:divBdr>
        </w:div>
        <w:div w:id="123818713">
          <w:marLeft w:val="480"/>
          <w:marRight w:val="0"/>
          <w:marTop w:val="0"/>
          <w:marBottom w:val="0"/>
          <w:divBdr>
            <w:top w:val="none" w:sz="0" w:space="0" w:color="auto"/>
            <w:left w:val="none" w:sz="0" w:space="0" w:color="auto"/>
            <w:bottom w:val="none" w:sz="0" w:space="0" w:color="auto"/>
            <w:right w:val="none" w:sz="0" w:space="0" w:color="auto"/>
          </w:divBdr>
        </w:div>
        <w:div w:id="180123936">
          <w:marLeft w:val="480"/>
          <w:marRight w:val="0"/>
          <w:marTop w:val="0"/>
          <w:marBottom w:val="0"/>
          <w:divBdr>
            <w:top w:val="none" w:sz="0" w:space="0" w:color="auto"/>
            <w:left w:val="none" w:sz="0" w:space="0" w:color="auto"/>
            <w:bottom w:val="none" w:sz="0" w:space="0" w:color="auto"/>
            <w:right w:val="none" w:sz="0" w:space="0" w:color="auto"/>
          </w:divBdr>
        </w:div>
        <w:div w:id="185415150">
          <w:marLeft w:val="480"/>
          <w:marRight w:val="0"/>
          <w:marTop w:val="0"/>
          <w:marBottom w:val="0"/>
          <w:divBdr>
            <w:top w:val="none" w:sz="0" w:space="0" w:color="auto"/>
            <w:left w:val="none" w:sz="0" w:space="0" w:color="auto"/>
            <w:bottom w:val="none" w:sz="0" w:space="0" w:color="auto"/>
            <w:right w:val="none" w:sz="0" w:space="0" w:color="auto"/>
          </w:divBdr>
        </w:div>
        <w:div w:id="279649860">
          <w:marLeft w:val="480"/>
          <w:marRight w:val="0"/>
          <w:marTop w:val="0"/>
          <w:marBottom w:val="0"/>
          <w:divBdr>
            <w:top w:val="none" w:sz="0" w:space="0" w:color="auto"/>
            <w:left w:val="none" w:sz="0" w:space="0" w:color="auto"/>
            <w:bottom w:val="none" w:sz="0" w:space="0" w:color="auto"/>
            <w:right w:val="none" w:sz="0" w:space="0" w:color="auto"/>
          </w:divBdr>
        </w:div>
        <w:div w:id="282856464">
          <w:marLeft w:val="480"/>
          <w:marRight w:val="0"/>
          <w:marTop w:val="0"/>
          <w:marBottom w:val="0"/>
          <w:divBdr>
            <w:top w:val="none" w:sz="0" w:space="0" w:color="auto"/>
            <w:left w:val="none" w:sz="0" w:space="0" w:color="auto"/>
            <w:bottom w:val="none" w:sz="0" w:space="0" w:color="auto"/>
            <w:right w:val="none" w:sz="0" w:space="0" w:color="auto"/>
          </w:divBdr>
        </w:div>
        <w:div w:id="335961938">
          <w:marLeft w:val="480"/>
          <w:marRight w:val="0"/>
          <w:marTop w:val="0"/>
          <w:marBottom w:val="0"/>
          <w:divBdr>
            <w:top w:val="none" w:sz="0" w:space="0" w:color="auto"/>
            <w:left w:val="none" w:sz="0" w:space="0" w:color="auto"/>
            <w:bottom w:val="none" w:sz="0" w:space="0" w:color="auto"/>
            <w:right w:val="none" w:sz="0" w:space="0" w:color="auto"/>
          </w:divBdr>
        </w:div>
        <w:div w:id="344092456">
          <w:marLeft w:val="480"/>
          <w:marRight w:val="0"/>
          <w:marTop w:val="0"/>
          <w:marBottom w:val="0"/>
          <w:divBdr>
            <w:top w:val="none" w:sz="0" w:space="0" w:color="auto"/>
            <w:left w:val="none" w:sz="0" w:space="0" w:color="auto"/>
            <w:bottom w:val="none" w:sz="0" w:space="0" w:color="auto"/>
            <w:right w:val="none" w:sz="0" w:space="0" w:color="auto"/>
          </w:divBdr>
        </w:div>
        <w:div w:id="548494850">
          <w:marLeft w:val="480"/>
          <w:marRight w:val="0"/>
          <w:marTop w:val="0"/>
          <w:marBottom w:val="0"/>
          <w:divBdr>
            <w:top w:val="none" w:sz="0" w:space="0" w:color="auto"/>
            <w:left w:val="none" w:sz="0" w:space="0" w:color="auto"/>
            <w:bottom w:val="none" w:sz="0" w:space="0" w:color="auto"/>
            <w:right w:val="none" w:sz="0" w:space="0" w:color="auto"/>
          </w:divBdr>
        </w:div>
        <w:div w:id="558978190">
          <w:marLeft w:val="480"/>
          <w:marRight w:val="0"/>
          <w:marTop w:val="0"/>
          <w:marBottom w:val="0"/>
          <w:divBdr>
            <w:top w:val="none" w:sz="0" w:space="0" w:color="auto"/>
            <w:left w:val="none" w:sz="0" w:space="0" w:color="auto"/>
            <w:bottom w:val="none" w:sz="0" w:space="0" w:color="auto"/>
            <w:right w:val="none" w:sz="0" w:space="0" w:color="auto"/>
          </w:divBdr>
        </w:div>
        <w:div w:id="632490516">
          <w:marLeft w:val="480"/>
          <w:marRight w:val="0"/>
          <w:marTop w:val="0"/>
          <w:marBottom w:val="0"/>
          <w:divBdr>
            <w:top w:val="none" w:sz="0" w:space="0" w:color="auto"/>
            <w:left w:val="none" w:sz="0" w:space="0" w:color="auto"/>
            <w:bottom w:val="none" w:sz="0" w:space="0" w:color="auto"/>
            <w:right w:val="none" w:sz="0" w:space="0" w:color="auto"/>
          </w:divBdr>
        </w:div>
        <w:div w:id="663046441">
          <w:marLeft w:val="480"/>
          <w:marRight w:val="0"/>
          <w:marTop w:val="0"/>
          <w:marBottom w:val="0"/>
          <w:divBdr>
            <w:top w:val="none" w:sz="0" w:space="0" w:color="auto"/>
            <w:left w:val="none" w:sz="0" w:space="0" w:color="auto"/>
            <w:bottom w:val="none" w:sz="0" w:space="0" w:color="auto"/>
            <w:right w:val="none" w:sz="0" w:space="0" w:color="auto"/>
          </w:divBdr>
        </w:div>
        <w:div w:id="668406802">
          <w:marLeft w:val="480"/>
          <w:marRight w:val="0"/>
          <w:marTop w:val="0"/>
          <w:marBottom w:val="0"/>
          <w:divBdr>
            <w:top w:val="none" w:sz="0" w:space="0" w:color="auto"/>
            <w:left w:val="none" w:sz="0" w:space="0" w:color="auto"/>
            <w:bottom w:val="none" w:sz="0" w:space="0" w:color="auto"/>
            <w:right w:val="none" w:sz="0" w:space="0" w:color="auto"/>
          </w:divBdr>
        </w:div>
        <w:div w:id="693112689">
          <w:marLeft w:val="480"/>
          <w:marRight w:val="0"/>
          <w:marTop w:val="0"/>
          <w:marBottom w:val="0"/>
          <w:divBdr>
            <w:top w:val="none" w:sz="0" w:space="0" w:color="auto"/>
            <w:left w:val="none" w:sz="0" w:space="0" w:color="auto"/>
            <w:bottom w:val="none" w:sz="0" w:space="0" w:color="auto"/>
            <w:right w:val="none" w:sz="0" w:space="0" w:color="auto"/>
          </w:divBdr>
        </w:div>
        <w:div w:id="716508018">
          <w:marLeft w:val="480"/>
          <w:marRight w:val="0"/>
          <w:marTop w:val="0"/>
          <w:marBottom w:val="0"/>
          <w:divBdr>
            <w:top w:val="none" w:sz="0" w:space="0" w:color="auto"/>
            <w:left w:val="none" w:sz="0" w:space="0" w:color="auto"/>
            <w:bottom w:val="none" w:sz="0" w:space="0" w:color="auto"/>
            <w:right w:val="none" w:sz="0" w:space="0" w:color="auto"/>
          </w:divBdr>
        </w:div>
        <w:div w:id="719204457">
          <w:marLeft w:val="480"/>
          <w:marRight w:val="0"/>
          <w:marTop w:val="0"/>
          <w:marBottom w:val="0"/>
          <w:divBdr>
            <w:top w:val="none" w:sz="0" w:space="0" w:color="auto"/>
            <w:left w:val="none" w:sz="0" w:space="0" w:color="auto"/>
            <w:bottom w:val="none" w:sz="0" w:space="0" w:color="auto"/>
            <w:right w:val="none" w:sz="0" w:space="0" w:color="auto"/>
          </w:divBdr>
        </w:div>
        <w:div w:id="779685781">
          <w:marLeft w:val="480"/>
          <w:marRight w:val="0"/>
          <w:marTop w:val="0"/>
          <w:marBottom w:val="0"/>
          <w:divBdr>
            <w:top w:val="none" w:sz="0" w:space="0" w:color="auto"/>
            <w:left w:val="none" w:sz="0" w:space="0" w:color="auto"/>
            <w:bottom w:val="none" w:sz="0" w:space="0" w:color="auto"/>
            <w:right w:val="none" w:sz="0" w:space="0" w:color="auto"/>
          </w:divBdr>
        </w:div>
        <w:div w:id="780564448">
          <w:marLeft w:val="480"/>
          <w:marRight w:val="0"/>
          <w:marTop w:val="0"/>
          <w:marBottom w:val="0"/>
          <w:divBdr>
            <w:top w:val="none" w:sz="0" w:space="0" w:color="auto"/>
            <w:left w:val="none" w:sz="0" w:space="0" w:color="auto"/>
            <w:bottom w:val="none" w:sz="0" w:space="0" w:color="auto"/>
            <w:right w:val="none" w:sz="0" w:space="0" w:color="auto"/>
          </w:divBdr>
        </w:div>
        <w:div w:id="818302573">
          <w:marLeft w:val="480"/>
          <w:marRight w:val="0"/>
          <w:marTop w:val="0"/>
          <w:marBottom w:val="0"/>
          <w:divBdr>
            <w:top w:val="none" w:sz="0" w:space="0" w:color="auto"/>
            <w:left w:val="none" w:sz="0" w:space="0" w:color="auto"/>
            <w:bottom w:val="none" w:sz="0" w:space="0" w:color="auto"/>
            <w:right w:val="none" w:sz="0" w:space="0" w:color="auto"/>
          </w:divBdr>
        </w:div>
        <w:div w:id="891502007">
          <w:marLeft w:val="480"/>
          <w:marRight w:val="0"/>
          <w:marTop w:val="0"/>
          <w:marBottom w:val="0"/>
          <w:divBdr>
            <w:top w:val="none" w:sz="0" w:space="0" w:color="auto"/>
            <w:left w:val="none" w:sz="0" w:space="0" w:color="auto"/>
            <w:bottom w:val="none" w:sz="0" w:space="0" w:color="auto"/>
            <w:right w:val="none" w:sz="0" w:space="0" w:color="auto"/>
          </w:divBdr>
        </w:div>
        <w:div w:id="950236146">
          <w:marLeft w:val="480"/>
          <w:marRight w:val="0"/>
          <w:marTop w:val="0"/>
          <w:marBottom w:val="0"/>
          <w:divBdr>
            <w:top w:val="none" w:sz="0" w:space="0" w:color="auto"/>
            <w:left w:val="none" w:sz="0" w:space="0" w:color="auto"/>
            <w:bottom w:val="none" w:sz="0" w:space="0" w:color="auto"/>
            <w:right w:val="none" w:sz="0" w:space="0" w:color="auto"/>
          </w:divBdr>
        </w:div>
        <w:div w:id="969243822">
          <w:marLeft w:val="480"/>
          <w:marRight w:val="0"/>
          <w:marTop w:val="0"/>
          <w:marBottom w:val="0"/>
          <w:divBdr>
            <w:top w:val="none" w:sz="0" w:space="0" w:color="auto"/>
            <w:left w:val="none" w:sz="0" w:space="0" w:color="auto"/>
            <w:bottom w:val="none" w:sz="0" w:space="0" w:color="auto"/>
            <w:right w:val="none" w:sz="0" w:space="0" w:color="auto"/>
          </w:divBdr>
        </w:div>
        <w:div w:id="973946189">
          <w:marLeft w:val="480"/>
          <w:marRight w:val="0"/>
          <w:marTop w:val="0"/>
          <w:marBottom w:val="0"/>
          <w:divBdr>
            <w:top w:val="none" w:sz="0" w:space="0" w:color="auto"/>
            <w:left w:val="none" w:sz="0" w:space="0" w:color="auto"/>
            <w:bottom w:val="none" w:sz="0" w:space="0" w:color="auto"/>
            <w:right w:val="none" w:sz="0" w:space="0" w:color="auto"/>
          </w:divBdr>
        </w:div>
        <w:div w:id="996688975">
          <w:marLeft w:val="480"/>
          <w:marRight w:val="0"/>
          <w:marTop w:val="0"/>
          <w:marBottom w:val="0"/>
          <w:divBdr>
            <w:top w:val="none" w:sz="0" w:space="0" w:color="auto"/>
            <w:left w:val="none" w:sz="0" w:space="0" w:color="auto"/>
            <w:bottom w:val="none" w:sz="0" w:space="0" w:color="auto"/>
            <w:right w:val="none" w:sz="0" w:space="0" w:color="auto"/>
          </w:divBdr>
        </w:div>
        <w:div w:id="1048148772">
          <w:marLeft w:val="480"/>
          <w:marRight w:val="0"/>
          <w:marTop w:val="0"/>
          <w:marBottom w:val="0"/>
          <w:divBdr>
            <w:top w:val="none" w:sz="0" w:space="0" w:color="auto"/>
            <w:left w:val="none" w:sz="0" w:space="0" w:color="auto"/>
            <w:bottom w:val="none" w:sz="0" w:space="0" w:color="auto"/>
            <w:right w:val="none" w:sz="0" w:space="0" w:color="auto"/>
          </w:divBdr>
        </w:div>
        <w:div w:id="1065881452">
          <w:marLeft w:val="480"/>
          <w:marRight w:val="0"/>
          <w:marTop w:val="0"/>
          <w:marBottom w:val="0"/>
          <w:divBdr>
            <w:top w:val="none" w:sz="0" w:space="0" w:color="auto"/>
            <w:left w:val="none" w:sz="0" w:space="0" w:color="auto"/>
            <w:bottom w:val="none" w:sz="0" w:space="0" w:color="auto"/>
            <w:right w:val="none" w:sz="0" w:space="0" w:color="auto"/>
          </w:divBdr>
        </w:div>
        <w:div w:id="1070157240">
          <w:marLeft w:val="480"/>
          <w:marRight w:val="0"/>
          <w:marTop w:val="0"/>
          <w:marBottom w:val="0"/>
          <w:divBdr>
            <w:top w:val="none" w:sz="0" w:space="0" w:color="auto"/>
            <w:left w:val="none" w:sz="0" w:space="0" w:color="auto"/>
            <w:bottom w:val="none" w:sz="0" w:space="0" w:color="auto"/>
            <w:right w:val="none" w:sz="0" w:space="0" w:color="auto"/>
          </w:divBdr>
        </w:div>
        <w:div w:id="1077286386">
          <w:marLeft w:val="480"/>
          <w:marRight w:val="0"/>
          <w:marTop w:val="0"/>
          <w:marBottom w:val="0"/>
          <w:divBdr>
            <w:top w:val="none" w:sz="0" w:space="0" w:color="auto"/>
            <w:left w:val="none" w:sz="0" w:space="0" w:color="auto"/>
            <w:bottom w:val="none" w:sz="0" w:space="0" w:color="auto"/>
            <w:right w:val="none" w:sz="0" w:space="0" w:color="auto"/>
          </w:divBdr>
        </w:div>
        <w:div w:id="1134639824">
          <w:marLeft w:val="480"/>
          <w:marRight w:val="0"/>
          <w:marTop w:val="0"/>
          <w:marBottom w:val="0"/>
          <w:divBdr>
            <w:top w:val="none" w:sz="0" w:space="0" w:color="auto"/>
            <w:left w:val="none" w:sz="0" w:space="0" w:color="auto"/>
            <w:bottom w:val="none" w:sz="0" w:space="0" w:color="auto"/>
            <w:right w:val="none" w:sz="0" w:space="0" w:color="auto"/>
          </w:divBdr>
        </w:div>
        <w:div w:id="1194269309">
          <w:marLeft w:val="480"/>
          <w:marRight w:val="0"/>
          <w:marTop w:val="0"/>
          <w:marBottom w:val="0"/>
          <w:divBdr>
            <w:top w:val="none" w:sz="0" w:space="0" w:color="auto"/>
            <w:left w:val="none" w:sz="0" w:space="0" w:color="auto"/>
            <w:bottom w:val="none" w:sz="0" w:space="0" w:color="auto"/>
            <w:right w:val="none" w:sz="0" w:space="0" w:color="auto"/>
          </w:divBdr>
        </w:div>
        <w:div w:id="1251113227">
          <w:marLeft w:val="480"/>
          <w:marRight w:val="0"/>
          <w:marTop w:val="0"/>
          <w:marBottom w:val="0"/>
          <w:divBdr>
            <w:top w:val="none" w:sz="0" w:space="0" w:color="auto"/>
            <w:left w:val="none" w:sz="0" w:space="0" w:color="auto"/>
            <w:bottom w:val="none" w:sz="0" w:space="0" w:color="auto"/>
            <w:right w:val="none" w:sz="0" w:space="0" w:color="auto"/>
          </w:divBdr>
        </w:div>
        <w:div w:id="1265959785">
          <w:marLeft w:val="480"/>
          <w:marRight w:val="0"/>
          <w:marTop w:val="0"/>
          <w:marBottom w:val="0"/>
          <w:divBdr>
            <w:top w:val="none" w:sz="0" w:space="0" w:color="auto"/>
            <w:left w:val="none" w:sz="0" w:space="0" w:color="auto"/>
            <w:bottom w:val="none" w:sz="0" w:space="0" w:color="auto"/>
            <w:right w:val="none" w:sz="0" w:space="0" w:color="auto"/>
          </w:divBdr>
        </w:div>
        <w:div w:id="1274288165">
          <w:marLeft w:val="480"/>
          <w:marRight w:val="0"/>
          <w:marTop w:val="0"/>
          <w:marBottom w:val="0"/>
          <w:divBdr>
            <w:top w:val="none" w:sz="0" w:space="0" w:color="auto"/>
            <w:left w:val="none" w:sz="0" w:space="0" w:color="auto"/>
            <w:bottom w:val="none" w:sz="0" w:space="0" w:color="auto"/>
            <w:right w:val="none" w:sz="0" w:space="0" w:color="auto"/>
          </w:divBdr>
        </w:div>
        <w:div w:id="1287586167">
          <w:marLeft w:val="480"/>
          <w:marRight w:val="0"/>
          <w:marTop w:val="0"/>
          <w:marBottom w:val="0"/>
          <w:divBdr>
            <w:top w:val="none" w:sz="0" w:space="0" w:color="auto"/>
            <w:left w:val="none" w:sz="0" w:space="0" w:color="auto"/>
            <w:bottom w:val="none" w:sz="0" w:space="0" w:color="auto"/>
            <w:right w:val="none" w:sz="0" w:space="0" w:color="auto"/>
          </w:divBdr>
        </w:div>
        <w:div w:id="1309747731">
          <w:marLeft w:val="480"/>
          <w:marRight w:val="0"/>
          <w:marTop w:val="0"/>
          <w:marBottom w:val="0"/>
          <w:divBdr>
            <w:top w:val="none" w:sz="0" w:space="0" w:color="auto"/>
            <w:left w:val="none" w:sz="0" w:space="0" w:color="auto"/>
            <w:bottom w:val="none" w:sz="0" w:space="0" w:color="auto"/>
            <w:right w:val="none" w:sz="0" w:space="0" w:color="auto"/>
          </w:divBdr>
        </w:div>
        <w:div w:id="1318459854">
          <w:marLeft w:val="480"/>
          <w:marRight w:val="0"/>
          <w:marTop w:val="0"/>
          <w:marBottom w:val="0"/>
          <w:divBdr>
            <w:top w:val="none" w:sz="0" w:space="0" w:color="auto"/>
            <w:left w:val="none" w:sz="0" w:space="0" w:color="auto"/>
            <w:bottom w:val="none" w:sz="0" w:space="0" w:color="auto"/>
            <w:right w:val="none" w:sz="0" w:space="0" w:color="auto"/>
          </w:divBdr>
        </w:div>
        <w:div w:id="1397581274">
          <w:marLeft w:val="480"/>
          <w:marRight w:val="0"/>
          <w:marTop w:val="0"/>
          <w:marBottom w:val="0"/>
          <w:divBdr>
            <w:top w:val="none" w:sz="0" w:space="0" w:color="auto"/>
            <w:left w:val="none" w:sz="0" w:space="0" w:color="auto"/>
            <w:bottom w:val="none" w:sz="0" w:space="0" w:color="auto"/>
            <w:right w:val="none" w:sz="0" w:space="0" w:color="auto"/>
          </w:divBdr>
        </w:div>
        <w:div w:id="1462112224">
          <w:marLeft w:val="480"/>
          <w:marRight w:val="0"/>
          <w:marTop w:val="0"/>
          <w:marBottom w:val="0"/>
          <w:divBdr>
            <w:top w:val="none" w:sz="0" w:space="0" w:color="auto"/>
            <w:left w:val="none" w:sz="0" w:space="0" w:color="auto"/>
            <w:bottom w:val="none" w:sz="0" w:space="0" w:color="auto"/>
            <w:right w:val="none" w:sz="0" w:space="0" w:color="auto"/>
          </w:divBdr>
        </w:div>
        <w:div w:id="1470827529">
          <w:marLeft w:val="480"/>
          <w:marRight w:val="0"/>
          <w:marTop w:val="0"/>
          <w:marBottom w:val="0"/>
          <w:divBdr>
            <w:top w:val="none" w:sz="0" w:space="0" w:color="auto"/>
            <w:left w:val="none" w:sz="0" w:space="0" w:color="auto"/>
            <w:bottom w:val="none" w:sz="0" w:space="0" w:color="auto"/>
            <w:right w:val="none" w:sz="0" w:space="0" w:color="auto"/>
          </w:divBdr>
        </w:div>
        <w:div w:id="1513377591">
          <w:marLeft w:val="480"/>
          <w:marRight w:val="0"/>
          <w:marTop w:val="0"/>
          <w:marBottom w:val="0"/>
          <w:divBdr>
            <w:top w:val="none" w:sz="0" w:space="0" w:color="auto"/>
            <w:left w:val="none" w:sz="0" w:space="0" w:color="auto"/>
            <w:bottom w:val="none" w:sz="0" w:space="0" w:color="auto"/>
            <w:right w:val="none" w:sz="0" w:space="0" w:color="auto"/>
          </w:divBdr>
        </w:div>
        <w:div w:id="1543396367">
          <w:marLeft w:val="480"/>
          <w:marRight w:val="0"/>
          <w:marTop w:val="0"/>
          <w:marBottom w:val="0"/>
          <w:divBdr>
            <w:top w:val="none" w:sz="0" w:space="0" w:color="auto"/>
            <w:left w:val="none" w:sz="0" w:space="0" w:color="auto"/>
            <w:bottom w:val="none" w:sz="0" w:space="0" w:color="auto"/>
            <w:right w:val="none" w:sz="0" w:space="0" w:color="auto"/>
          </w:divBdr>
        </w:div>
        <w:div w:id="1618482416">
          <w:marLeft w:val="480"/>
          <w:marRight w:val="0"/>
          <w:marTop w:val="0"/>
          <w:marBottom w:val="0"/>
          <w:divBdr>
            <w:top w:val="none" w:sz="0" w:space="0" w:color="auto"/>
            <w:left w:val="none" w:sz="0" w:space="0" w:color="auto"/>
            <w:bottom w:val="none" w:sz="0" w:space="0" w:color="auto"/>
            <w:right w:val="none" w:sz="0" w:space="0" w:color="auto"/>
          </w:divBdr>
        </w:div>
        <w:div w:id="1707172377">
          <w:marLeft w:val="480"/>
          <w:marRight w:val="0"/>
          <w:marTop w:val="0"/>
          <w:marBottom w:val="0"/>
          <w:divBdr>
            <w:top w:val="none" w:sz="0" w:space="0" w:color="auto"/>
            <w:left w:val="none" w:sz="0" w:space="0" w:color="auto"/>
            <w:bottom w:val="none" w:sz="0" w:space="0" w:color="auto"/>
            <w:right w:val="none" w:sz="0" w:space="0" w:color="auto"/>
          </w:divBdr>
        </w:div>
        <w:div w:id="1719668104">
          <w:marLeft w:val="480"/>
          <w:marRight w:val="0"/>
          <w:marTop w:val="0"/>
          <w:marBottom w:val="0"/>
          <w:divBdr>
            <w:top w:val="none" w:sz="0" w:space="0" w:color="auto"/>
            <w:left w:val="none" w:sz="0" w:space="0" w:color="auto"/>
            <w:bottom w:val="none" w:sz="0" w:space="0" w:color="auto"/>
            <w:right w:val="none" w:sz="0" w:space="0" w:color="auto"/>
          </w:divBdr>
        </w:div>
        <w:div w:id="1768499997">
          <w:marLeft w:val="480"/>
          <w:marRight w:val="0"/>
          <w:marTop w:val="0"/>
          <w:marBottom w:val="0"/>
          <w:divBdr>
            <w:top w:val="none" w:sz="0" w:space="0" w:color="auto"/>
            <w:left w:val="none" w:sz="0" w:space="0" w:color="auto"/>
            <w:bottom w:val="none" w:sz="0" w:space="0" w:color="auto"/>
            <w:right w:val="none" w:sz="0" w:space="0" w:color="auto"/>
          </w:divBdr>
        </w:div>
        <w:div w:id="1774398960">
          <w:marLeft w:val="480"/>
          <w:marRight w:val="0"/>
          <w:marTop w:val="0"/>
          <w:marBottom w:val="0"/>
          <w:divBdr>
            <w:top w:val="none" w:sz="0" w:space="0" w:color="auto"/>
            <w:left w:val="none" w:sz="0" w:space="0" w:color="auto"/>
            <w:bottom w:val="none" w:sz="0" w:space="0" w:color="auto"/>
            <w:right w:val="none" w:sz="0" w:space="0" w:color="auto"/>
          </w:divBdr>
        </w:div>
        <w:div w:id="1794711820">
          <w:marLeft w:val="480"/>
          <w:marRight w:val="0"/>
          <w:marTop w:val="0"/>
          <w:marBottom w:val="0"/>
          <w:divBdr>
            <w:top w:val="none" w:sz="0" w:space="0" w:color="auto"/>
            <w:left w:val="none" w:sz="0" w:space="0" w:color="auto"/>
            <w:bottom w:val="none" w:sz="0" w:space="0" w:color="auto"/>
            <w:right w:val="none" w:sz="0" w:space="0" w:color="auto"/>
          </w:divBdr>
        </w:div>
        <w:div w:id="1836721522">
          <w:marLeft w:val="480"/>
          <w:marRight w:val="0"/>
          <w:marTop w:val="0"/>
          <w:marBottom w:val="0"/>
          <w:divBdr>
            <w:top w:val="none" w:sz="0" w:space="0" w:color="auto"/>
            <w:left w:val="none" w:sz="0" w:space="0" w:color="auto"/>
            <w:bottom w:val="none" w:sz="0" w:space="0" w:color="auto"/>
            <w:right w:val="none" w:sz="0" w:space="0" w:color="auto"/>
          </w:divBdr>
        </w:div>
        <w:div w:id="1883129007">
          <w:marLeft w:val="480"/>
          <w:marRight w:val="0"/>
          <w:marTop w:val="0"/>
          <w:marBottom w:val="0"/>
          <w:divBdr>
            <w:top w:val="none" w:sz="0" w:space="0" w:color="auto"/>
            <w:left w:val="none" w:sz="0" w:space="0" w:color="auto"/>
            <w:bottom w:val="none" w:sz="0" w:space="0" w:color="auto"/>
            <w:right w:val="none" w:sz="0" w:space="0" w:color="auto"/>
          </w:divBdr>
        </w:div>
        <w:div w:id="1958636164">
          <w:marLeft w:val="480"/>
          <w:marRight w:val="0"/>
          <w:marTop w:val="0"/>
          <w:marBottom w:val="0"/>
          <w:divBdr>
            <w:top w:val="none" w:sz="0" w:space="0" w:color="auto"/>
            <w:left w:val="none" w:sz="0" w:space="0" w:color="auto"/>
            <w:bottom w:val="none" w:sz="0" w:space="0" w:color="auto"/>
            <w:right w:val="none" w:sz="0" w:space="0" w:color="auto"/>
          </w:divBdr>
        </w:div>
        <w:div w:id="1975866033">
          <w:marLeft w:val="480"/>
          <w:marRight w:val="0"/>
          <w:marTop w:val="0"/>
          <w:marBottom w:val="0"/>
          <w:divBdr>
            <w:top w:val="none" w:sz="0" w:space="0" w:color="auto"/>
            <w:left w:val="none" w:sz="0" w:space="0" w:color="auto"/>
            <w:bottom w:val="none" w:sz="0" w:space="0" w:color="auto"/>
            <w:right w:val="none" w:sz="0" w:space="0" w:color="auto"/>
          </w:divBdr>
        </w:div>
        <w:div w:id="2030066079">
          <w:marLeft w:val="480"/>
          <w:marRight w:val="0"/>
          <w:marTop w:val="0"/>
          <w:marBottom w:val="0"/>
          <w:divBdr>
            <w:top w:val="none" w:sz="0" w:space="0" w:color="auto"/>
            <w:left w:val="none" w:sz="0" w:space="0" w:color="auto"/>
            <w:bottom w:val="none" w:sz="0" w:space="0" w:color="auto"/>
            <w:right w:val="none" w:sz="0" w:space="0" w:color="auto"/>
          </w:divBdr>
        </w:div>
        <w:div w:id="2041591326">
          <w:marLeft w:val="480"/>
          <w:marRight w:val="0"/>
          <w:marTop w:val="0"/>
          <w:marBottom w:val="0"/>
          <w:divBdr>
            <w:top w:val="none" w:sz="0" w:space="0" w:color="auto"/>
            <w:left w:val="none" w:sz="0" w:space="0" w:color="auto"/>
            <w:bottom w:val="none" w:sz="0" w:space="0" w:color="auto"/>
            <w:right w:val="none" w:sz="0" w:space="0" w:color="auto"/>
          </w:divBdr>
        </w:div>
        <w:div w:id="2086413469">
          <w:marLeft w:val="480"/>
          <w:marRight w:val="0"/>
          <w:marTop w:val="0"/>
          <w:marBottom w:val="0"/>
          <w:divBdr>
            <w:top w:val="none" w:sz="0" w:space="0" w:color="auto"/>
            <w:left w:val="none" w:sz="0" w:space="0" w:color="auto"/>
            <w:bottom w:val="none" w:sz="0" w:space="0" w:color="auto"/>
            <w:right w:val="none" w:sz="0" w:space="0" w:color="auto"/>
          </w:divBdr>
        </w:div>
        <w:div w:id="2121140351">
          <w:marLeft w:val="480"/>
          <w:marRight w:val="0"/>
          <w:marTop w:val="0"/>
          <w:marBottom w:val="0"/>
          <w:divBdr>
            <w:top w:val="none" w:sz="0" w:space="0" w:color="auto"/>
            <w:left w:val="none" w:sz="0" w:space="0" w:color="auto"/>
            <w:bottom w:val="none" w:sz="0" w:space="0" w:color="auto"/>
            <w:right w:val="none" w:sz="0" w:space="0" w:color="auto"/>
          </w:divBdr>
        </w:div>
      </w:divsChild>
    </w:div>
    <w:div w:id="1579750777">
      <w:bodyDiv w:val="1"/>
      <w:marLeft w:val="0"/>
      <w:marRight w:val="0"/>
      <w:marTop w:val="0"/>
      <w:marBottom w:val="0"/>
      <w:divBdr>
        <w:top w:val="none" w:sz="0" w:space="0" w:color="auto"/>
        <w:left w:val="none" w:sz="0" w:space="0" w:color="auto"/>
        <w:bottom w:val="none" w:sz="0" w:space="0" w:color="auto"/>
        <w:right w:val="none" w:sz="0" w:space="0" w:color="auto"/>
      </w:divBdr>
    </w:div>
    <w:div w:id="1581210097">
      <w:bodyDiv w:val="1"/>
      <w:marLeft w:val="0"/>
      <w:marRight w:val="0"/>
      <w:marTop w:val="0"/>
      <w:marBottom w:val="0"/>
      <w:divBdr>
        <w:top w:val="none" w:sz="0" w:space="0" w:color="auto"/>
        <w:left w:val="none" w:sz="0" w:space="0" w:color="auto"/>
        <w:bottom w:val="none" w:sz="0" w:space="0" w:color="auto"/>
        <w:right w:val="none" w:sz="0" w:space="0" w:color="auto"/>
      </w:divBdr>
    </w:div>
    <w:div w:id="1583828516">
      <w:bodyDiv w:val="1"/>
      <w:marLeft w:val="0"/>
      <w:marRight w:val="0"/>
      <w:marTop w:val="0"/>
      <w:marBottom w:val="0"/>
      <w:divBdr>
        <w:top w:val="none" w:sz="0" w:space="0" w:color="auto"/>
        <w:left w:val="none" w:sz="0" w:space="0" w:color="auto"/>
        <w:bottom w:val="none" w:sz="0" w:space="0" w:color="auto"/>
        <w:right w:val="none" w:sz="0" w:space="0" w:color="auto"/>
      </w:divBdr>
    </w:div>
    <w:div w:id="1584802109">
      <w:bodyDiv w:val="1"/>
      <w:marLeft w:val="0"/>
      <w:marRight w:val="0"/>
      <w:marTop w:val="0"/>
      <w:marBottom w:val="0"/>
      <w:divBdr>
        <w:top w:val="none" w:sz="0" w:space="0" w:color="auto"/>
        <w:left w:val="none" w:sz="0" w:space="0" w:color="auto"/>
        <w:bottom w:val="none" w:sz="0" w:space="0" w:color="auto"/>
        <w:right w:val="none" w:sz="0" w:space="0" w:color="auto"/>
      </w:divBdr>
    </w:div>
    <w:div w:id="1586113523">
      <w:bodyDiv w:val="1"/>
      <w:marLeft w:val="0"/>
      <w:marRight w:val="0"/>
      <w:marTop w:val="0"/>
      <w:marBottom w:val="0"/>
      <w:divBdr>
        <w:top w:val="none" w:sz="0" w:space="0" w:color="auto"/>
        <w:left w:val="none" w:sz="0" w:space="0" w:color="auto"/>
        <w:bottom w:val="none" w:sz="0" w:space="0" w:color="auto"/>
        <w:right w:val="none" w:sz="0" w:space="0" w:color="auto"/>
      </w:divBdr>
    </w:div>
    <w:div w:id="1596287375">
      <w:bodyDiv w:val="1"/>
      <w:marLeft w:val="0"/>
      <w:marRight w:val="0"/>
      <w:marTop w:val="0"/>
      <w:marBottom w:val="0"/>
      <w:divBdr>
        <w:top w:val="none" w:sz="0" w:space="0" w:color="auto"/>
        <w:left w:val="none" w:sz="0" w:space="0" w:color="auto"/>
        <w:bottom w:val="none" w:sz="0" w:space="0" w:color="auto"/>
        <w:right w:val="none" w:sz="0" w:space="0" w:color="auto"/>
      </w:divBdr>
    </w:div>
    <w:div w:id="1599026260">
      <w:bodyDiv w:val="1"/>
      <w:marLeft w:val="0"/>
      <w:marRight w:val="0"/>
      <w:marTop w:val="0"/>
      <w:marBottom w:val="0"/>
      <w:divBdr>
        <w:top w:val="none" w:sz="0" w:space="0" w:color="auto"/>
        <w:left w:val="none" w:sz="0" w:space="0" w:color="auto"/>
        <w:bottom w:val="none" w:sz="0" w:space="0" w:color="auto"/>
        <w:right w:val="none" w:sz="0" w:space="0" w:color="auto"/>
      </w:divBdr>
    </w:div>
    <w:div w:id="1604457039">
      <w:bodyDiv w:val="1"/>
      <w:marLeft w:val="0"/>
      <w:marRight w:val="0"/>
      <w:marTop w:val="0"/>
      <w:marBottom w:val="0"/>
      <w:divBdr>
        <w:top w:val="none" w:sz="0" w:space="0" w:color="auto"/>
        <w:left w:val="none" w:sz="0" w:space="0" w:color="auto"/>
        <w:bottom w:val="none" w:sz="0" w:space="0" w:color="auto"/>
        <w:right w:val="none" w:sz="0" w:space="0" w:color="auto"/>
      </w:divBdr>
    </w:div>
    <w:div w:id="1604611837">
      <w:bodyDiv w:val="1"/>
      <w:marLeft w:val="0"/>
      <w:marRight w:val="0"/>
      <w:marTop w:val="0"/>
      <w:marBottom w:val="0"/>
      <w:divBdr>
        <w:top w:val="none" w:sz="0" w:space="0" w:color="auto"/>
        <w:left w:val="none" w:sz="0" w:space="0" w:color="auto"/>
        <w:bottom w:val="none" w:sz="0" w:space="0" w:color="auto"/>
        <w:right w:val="none" w:sz="0" w:space="0" w:color="auto"/>
      </w:divBdr>
    </w:div>
    <w:div w:id="1605304908">
      <w:bodyDiv w:val="1"/>
      <w:marLeft w:val="0"/>
      <w:marRight w:val="0"/>
      <w:marTop w:val="0"/>
      <w:marBottom w:val="0"/>
      <w:divBdr>
        <w:top w:val="none" w:sz="0" w:space="0" w:color="auto"/>
        <w:left w:val="none" w:sz="0" w:space="0" w:color="auto"/>
        <w:bottom w:val="none" w:sz="0" w:space="0" w:color="auto"/>
        <w:right w:val="none" w:sz="0" w:space="0" w:color="auto"/>
      </w:divBdr>
    </w:div>
    <w:div w:id="1605336253">
      <w:bodyDiv w:val="1"/>
      <w:marLeft w:val="0"/>
      <w:marRight w:val="0"/>
      <w:marTop w:val="0"/>
      <w:marBottom w:val="0"/>
      <w:divBdr>
        <w:top w:val="none" w:sz="0" w:space="0" w:color="auto"/>
        <w:left w:val="none" w:sz="0" w:space="0" w:color="auto"/>
        <w:bottom w:val="none" w:sz="0" w:space="0" w:color="auto"/>
        <w:right w:val="none" w:sz="0" w:space="0" w:color="auto"/>
      </w:divBdr>
    </w:div>
    <w:div w:id="1606112231">
      <w:bodyDiv w:val="1"/>
      <w:marLeft w:val="0"/>
      <w:marRight w:val="0"/>
      <w:marTop w:val="0"/>
      <w:marBottom w:val="0"/>
      <w:divBdr>
        <w:top w:val="none" w:sz="0" w:space="0" w:color="auto"/>
        <w:left w:val="none" w:sz="0" w:space="0" w:color="auto"/>
        <w:bottom w:val="none" w:sz="0" w:space="0" w:color="auto"/>
        <w:right w:val="none" w:sz="0" w:space="0" w:color="auto"/>
      </w:divBdr>
    </w:div>
    <w:div w:id="1608080730">
      <w:bodyDiv w:val="1"/>
      <w:marLeft w:val="0"/>
      <w:marRight w:val="0"/>
      <w:marTop w:val="0"/>
      <w:marBottom w:val="0"/>
      <w:divBdr>
        <w:top w:val="none" w:sz="0" w:space="0" w:color="auto"/>
        <w:left w:val="none" w:sz="0" w:space="0" w:color="auto"/>
        <w:bottom w:val="none" w:sz="0" w:space="0" w:color="auto"/>
        <w:right w:val="none" w:sz="0" w:space="0" w:color="auto"/>
      </w:divBdr>
    </w:div>
    <w:div w:id="1610502310">
      <w:bodyDiv w:val="1"/>
      <w:marLeft w:val="0"/>
      <w:marRight w:val="0"/>
      <w:marTop w:val="0"/>
      <w:marBottom w:val="0"/>
      <w:divBdr>
        <w:top w:val="none" w:sz="0" w:space="0" w:color="auto"/>
        <w:left w:val="none" w:sz="0" w:space="0" w:color="auto"/>
        <w:bottom w:val="none" w:sz="0" w:space="0" w:color="auto"/>
        <w:right w:val="none" w:sz="0" w:space="0" w:color="auto"/>
      </w:divBdr>
    </w:div>
    <w:div w:id="1629437187">
      <w:bodyDiv w:val="1"/>
      <w:marLeft w:val="0"/>
      <w:marRight w:val="0"/>
      <w:marTop w:val="0"/>
      <w:marBottom w:val="0"/>
      <w:divBdr>
        <w:top w:val="none" w:sz="0" w:space="0" w:color="auto"/>
        <w:left w:val="none" w:sz="0" w:space="0" w:color="auto"/>
        <w:bottom w:val="none" w:sz="0" w:space="0" w:color="auto"/>
        <w:right w:val="none" w:sz="0" w:space="0" w:color="auto"/>
      </w:divBdr>
    </w:div>
    <w:div w:id="1632590654">
      <w:bodyDiv w:val="1"/>
      <w:marLeft w:val="0"/>
      <w:marRight w:val="0"/>
      <w:marTop w:val="0"/>
      <w:marBottom w:val="0"/>
      <w:divBdr>
        <w:top w:val="none" w:sz="0" w:space="0" w:color="auto"/>
        <w:left w:val="none" w:sz="0" w:space="0" w:color="auto"/>
        <w:bottom w:val="none" w:sz="0" w:space="0" w:color="auto"/>
        <w:right w:val="none" w:sz="0" w:space="0" w:color="auto"/>
      </w:divBdr>
    </w:div>
    <w:div w:id="1660495638">
      <w:bodyDiv w:val="1"/>
      <w:marLeft w:val="0"/>
      <w:marRight w:val="0"/>
      <w:marTop w:val="0"/>
      <w:marBottom w:val="0"/>
      <w:divBdr>
        <w:top w:val="none" w:sz="0" w:space="0" w:color="auto"/>
        <w:left w:val="none" w:sz="0" w:space="0" w:color="auto"/>
        <w:bottom w:val="none" w:sz="0" w:space="0" w:color="auto"/>
        <w:right w:val="none" w:sz="0" w:space="0" w:color="auto"/>
      </w:divBdr>
    </w:div>
    <w:div w:id="1665011775">
      <w:bodyDiv w:val="1"/>
      <w:marLeft w:val="0"/>
      <w:marRight w:val="0"/>
      <w:marTop w:val="0"/>
      <w:marBottom w:val="0"/>
      <w:divBdr>
        <w:top w:val="none" w:sz="0" w:space="0" w:color="auto"/>
        <w:left w:val="none" w:sz="0" w:space="0" w:color="auto"/>
        <w:bottom w:val="none" w:sz="0" w:space="0" w:color="auto"/>
        <w:right w:val="none" w:sz="0" w:space="0" w:color="auto"/>
      </w:divBdr>
      <w:divsChild>
        <w:div w:id="31853980">
          <w:marLeft w:val="480"/>
          <w:marRight w:val="0"/>
          <w:marTop w:val="0"/>
          <w:marBottom w:val="0"/>
          <w:divBdr>
            <w:top w:val="none" w:sz="0" w:space="0" w:color="auto"/>
            <w:left w:val="none" w:sz="0" w:space="0" w:color="auto"/>
            <w:bottom w:val="none" w:sz="0" w:space="0" w:color="auto"/>
            <w:right w:val="none" w:sz="0" w:space="0" w:color="auto"/>
          </w:divBdr>
        </w:div>
        <w:div w:id="53893756">
          <w:marLeft w:val="480"/>
          <w:marRight w:val="0"/>
          <w:marTop w:val="0"/>
          <w:marBottom w:val="0"/>
          <w:divBdr>
            <w:top w:val="none" w:sz="0" w:space="0" w:color="auto"/>
            <w:left w:val="none" w:sz="0" w:space="0" w:color="auto"/>
            <w:bottom w:val="none" w:sz="0" w:space="0" w:color="auto"/>
            <w:right w:val="none" w:sz="0" w:space="0" w:color="auto"/>
          </w:divBdr>
        </w:div>
        <w:div w:id="54395272">
          <w:marLeft w:val="480"/>
          <w:marRight w:val="0"/>
          <w:marTop w:val="0"/>
          <w:marBottom w:val="0"/>
          <w:divBdr>
            <w:top w:val="none" w:sz="0" w:space="0" w:color="auto"/>
            <w:left w:val="none" w:sz="0" w:space="0" w:color="auto"/>
            <w:bottom w:val="none" w:sz="0" w:space="0" w:color="auto"/>
            <w:right w:val="none" w:sz="0" w:space="0" w:color="auto"/>
          </w:divBdr>
        </w:div>
        <w:div w:id="94056489">
          <w:marLeft w:val="480"/>
          <w:marRight w:val="0"/>
          <w:marTop w:val="0"/>
          <w:marBottom w:val="0"/>
          <w:divBdr>
            <w:top w:val="none" w:sz="0" w:space="0" w:color="auto"/>
            <w:left w:val="none" w:sz="0" w:space="0" w:color="auto"/>
            <w:bottom w:val="none" w:sz="0" w:space="0" w:color="auto"/>
            <w:right w:val="none" w:sz="0" w:space="0" w:color="auto"/>
          </w:divBdr>
        </w:div>
        <w:div w:id="115611795">
          <w:marLeft w:val="480"/>
          <w:marRight w:val="0"/>
          <w:marTop w:val="0"/>
          <w:marBottom w:val="0"/>
          <w:divBdr>
            <w:top w:val="none" w:sz="0" w:space="0" w:color="auto"/>
            <w:left w:val="none" w:sz="0" w:space="0" w:color="auto"/>
            <w:bottom w:val="none" w:sz="0" w:space="0" w:color="auto"/>
            <w:right w:val="none" w:sz="0" w:space="0" w:color="auto"/>
          </w:divBdr>
        </w:div>
        <w:div w:id="115686557">
          <w:marLeft w:val="480"/>
          <w:marRight w:val="0"/>
          <w:marTop w:val="0"/>
          <w:marBottom w:val="0"/>
          <w:divBdr>
            <w:top w:val="none" w:sz="0" w:space="0" w:color="auto"/>
            <w:left w:val="none" w:sz="0" w:space="0" w:color="auto"/>
            <w:bottom w:val="none" w:sz="0" w:space="0" w:color="auto"/>
            <w:right w:val="none" w:sz="0" w:space="0" w:color="auto"/>
          </w:divBdr>
        </w:div>
        <w:div w:id="156263413">
          <w:marLeft w:val="480"/>
          <w:marRight w:val="0"/>
          <w:marTop w:val="0"/>
          <w:marBottom w:val="0"/>
          <w:divBdr>
            <w:top w:val="none" w:sz="0" w:space="0" w:color="auto"/>
            <w:left w:val="none" w:sz="0" w:space="0" w:color="auto"/>
            <w:bottom w:val="none" w:sz="0" w:space="0" w:color="auto"/>
            <w:right w:val="none" w:sz="0" w:space="0" w:color="auto"/>
          </w:divBdr>
        </w:div>
        <w:div w:id="166215402">
          <w:marLeft w:val="480"/>
          <w:marRight w:val="0"/>
          <w:marTop w:val="0"/>
          <w:marBottom w:val="0"/>
          <w:divBdr>
            <w:top w:val="none" w:sz="0" w:space="0" w:color="auto"/>
            <w:left w:val="none" w:sz="0" w:space="0" w:color="auto"/>
            <w:bottom w:val="none" w:sz="0" w:space="0" w:color="auto"/>
            <w:right w:val="none" w:sz="0" w:space="0" w:color="auto"/>
          </w:divBdr>
        </w:div>
        <w:div w:id="232862482">
          <w:marLeft w:val="480"/>
          <w:marRight w:val="0"/>
          <w:marTop w:val="0"/>
          <w:marBottom w:val="0"/>
          <w:divBdr>
            <w:top w:val="none" w:sz="0" w:space="0" w:color="auto"/>
            <w:left w:val="none" w:sz="0" w:space="0" w:color="auto"/>
            <w:bottom w:val="none" w:sz="0" w:space="0" w:color="auto"/>
            <w:right w:val="none" w:sz="0" w:space="0" w:color="auto"/>
          </w:divBdr>
        </w:div>
        <w:div w:id="308482791">
          <w:marLeft w:val="480"/>
          <w:marRight w:val="0"/>
          <w:marTop w:val="0"/>
          <w:marBottom w:val="0"/>
          <w:divBdr>
            <w:top w:val="none" w:sz="0" w:space="0" w:color="auto"/>
            <w:left w:val="none" w:sz="0" w:space="0" w:color="auto"/>
            <w:bottom w:val="none" w:sz="0" w:space="0" w:color="auto"/>
            <w:right w:val="none" w:sz="0" w:space="0" w:color="auto"/>
          </w:divBdr>
        </w:div>
        <w:div w:id="325548053">
          <w:marLeft w:val="480"/>
          <w:marRight w:val="0"/>
          <w:marTop w:val="0"/>
          <w:marBottom w:val="0"/>
          <w:divBdr>
            <w:top w:val="none" w:sz="0" w:space="0" w:color="auto"/>
            <w:left w:val="none" w:sz="0" w:space="0" w:color="auto"/>
            <w:bottom w:val="none" w:sz="0" w:space="0" w:color="auto"/>
            <w:right w:val="none" w:sz="0" w:space="0" w:color="auto"/>
          </w:divBdr>
        </w:div>
        <w:div w:id="388309551">
          <w:marLeft w:val="480"/>
          <w:marRight w:val="0"/>
          <w:marTop w:val="0"/>
          <w:marBottom w:val="0"/>
          <w:divBdr>
            <w:top w:val="none" w:sz="0" w:space="0" w:color="auto"/>
            <w:left w:val="none" w:sz="0" w:space="0" w:color="auto"/>
            <w:bottom w:val="none" w:sz="0" w:space="0" w:color="auto"/>
            <w:right w:val="none" w:sz="0" w:space="0" w:color="auto"/>
          </w:divBdr>
        </w:div>
        <w:div w:id="427580379">
          <w:marLeft w:val="480"/>
          <w:marRight w:val="0"/>
          <w:marTop w:val="0"/>
          <w:marBottom w:val="0"/>
          <w:divBdr>
            <w:top w:val="none" w:sz="0" w:space="0" w:color="auto"/>
            <w:left w:val="none" w:sz="0" w:space="0" w:color="auto"/>
            <w:bottom w:val="none" w:sz="0" w:space="0" w:color="auto"/>
            <w:right w:val="none" w:sz="0" w:space="0" w:color="auto"/>
          </w:divBdr>
        </w:div>
        <w:div w:id="648632138">
          <w:marLeft w:val="480"/>
          <w:marRight w:val="0"/>
          <w:marTop w:val="0"/>
          <w:marBottom w:val="0"/>
          <w:divBdr>
            <w:top w:val="none" w:sz="0" w:space="0" w:color="auto"/>
            <w:left w:val="none" w:sz="0" w:space="0" w:color="auto"/>
            <w:bottom w:val="none" w:sz="0" w:space="0" w:color="auto"/>
            <w:right w:val="none" w:sz="0" w:space="0" w:color="auto"/>
          </w:divBdr>
        </w:div>
        <w:div w:id="663780426">
          <w:marLeft w:val="480"/>
          <w:marRight w:val="0"/>
          <w:marTop w:val="0"/>
          <w:marBottom w:val="0"/>
          <w:divBdr>
            <w:top w:val="none" w:sz="0" w:space="0" w:color="auto"/>
            <w:left w:val="none" w:sz="0" w:space="0" w:color="auto"/>
            <w:bottom w:val="none" w:sz="0" w:space="0" w:color="auto"/>
            <w:right w:val="none" w:sz="0" w:space="0" w:color="auto"/>
          </w:divBdr>
        </w:div>
        <w:div w:id="752818309">
          <w:marLeft w:val="480"/>
          <w:marRight w:val="0"/>
          <w:marTop w:val="0"/>
          <w:marBottom w:val="0"/>
          <w:divBdr>
            <w:top w:val="none" w:sz="0" w:space="0" w:color="auto"/>
            <w:left w:val="none" w:sz="0" w:space="0" w:color="auto"/>
            <w:bottom w:val="none" w:sz="0" w:space="0" w:color="auto"/>
            <w:right w:val="none" w:sz="0" w:space="0" w:color="auto"/>
          </w:divBdr>
        </w:div>
        <w:div w:id="760613616">
          <w:marLeft w:val="480"/>
          <w:marRight w:val="0"/>
          <w:marTop w:val="0"/>
          <w:marBottom w:val="0"/>
          <w:divBdr>
            <w:top w:val="none" w:sz="0" w:space="0" w:color="auto"/>
            <w:left w:val="none" w:sz="0" w:space="0" w:color="auto"/>
            <w:bottom w:val="none" w:sz="0" w:space="0" w:color="auto"/>
            <w:right w:val="none" w:sz="0" w:space="0" w:color="auto"/>
          </w:divBdr>
        </w:div>
        <w:div w:id="769008428">
          <w:marLeft w:val="480"/>
          <w:marRight w:val="0"/>
          <w:marTop w:val="0"/>
          <w:marBottom w:val="0"/>
          <w:divBdr>
            <w:top w:val="none" w:sz="0" w:space="0" w:color="auto"/>
            <w:left w:val="none" w:sz="0" w:space="0" w:color="auto"/>
            <w:bottom w:val="none" w:sz="0" w:space="0" w:color="auto"/>
            <w:right w:val="none" w:sz="0" w:space="0" w:color="auto"/>
          </w:divBdr>
        </w:div>
        <w:div w:id="804011840">
          <w:marLeft w:val="480"/>
          <w:marRight w:val="0"/>
          <w:marTop w:val="0"/>
          <w:marBottom w:val="0"/>
          <w:divBdr>
            <w:top w:val="none" w:sz="0" w:space="0" w:color="auto"/>
            <w:left w:val="none" w:sz="0" w:space="0" w:color="auto"/>
            <w:bottom w:val="none" w:sz="0" w:space="0" w:color="auto"/>
            <w:right w:val="none" w:sz="0" w:space="0" w:color="auto"/>
          </w:divBdr>
        </w:div>
        <w:div w:id="820854160">
          <w:marLeft w:val="480"/>
          <w:marRight w:val="0"/>
          <w:marTop w:val="0"/>
          <w:marBottom w:val="0"/>
          <w:divBdr>
            <w:top w:val="none" w:sz="0" w:space="0" w:color="auto"/>
            <w:left w:val="none" w:sz="0" w:space="0" w:color="auto"/>
            <w:bottom w:val="none" w:sz="0" w:space="0" w:color="auto"/>
            <w:right w:val="none" w:sz="0" w:space="0" w:color="auto"/>
          </w:divBdr>
        </w:div>
        <w:div w:id="855659473">
          <w:marLeft w:val="480"/>
          <w:marRight w:val="0"/>
          <w:marTop w:val="0"/>
          <w:marBottom w:val="0"/>
          <w:divBdr>
            <w:top w:val="none" w:sz="0" w:space="0" w:color="auto"/>
            <w:left w:val="none" w:sz="0" w:space="0" w:color="auto"/>
            <w:bottom w:val="none" w:sz="0" w:space="0" w:color="auto"/>
            <w:right w:val="none" w:sz="0" w:space="0" w:color="auto"/>
          </w:divBdr>
        </w:div>
        <w:div w:id="929773630">
          <w:marLeft w:val="480"/>
          <w:marRight w:val="0"/>
          <w:marTop w:val="0"/>
          <w:marBottom w:val="0"/>
          <w:divBdr>
            <w:top w:val="none" w:sz="0" w:space="0" w:color="auto"/>
            <w:left w:val="none" w:sz="0" w:space="0" w:color="auto"/>
            <w:bottom w:val="none" w:sz="0" w:space="0" w:color="auto"/>
            <w:right w:val="none" w:sz="0" w:space="0" w:color="auto"/>
          </w:divBdr>
        </w:div>
        <w:div w:id="930702938">
          <w:marLeft w:val="480"/>
          <w:marRight w:val="0"/>
          <w:marTop w:val="0"/>
          <w:marBottom w:val="0"/>
          <w:divBdr>
            <w:top w:val="none" w:sz="0" w:space="0" w:color="auto"/>
            <w:left w:val="none" w:sz="0" w:space="0" w:color="auto"/>
            <w:bottom w:val="none" w:sz="0" w:space="0" w:color="auto"/>
            <w:right w:val="none" w:sz="0" w:space="0" w:color="auto"/>
          </w:divBdr>
        </w:div>
        <w:div w:id="944270289">
          <w:marLeft w:val="480"/>
          <w:marRight w:val="0"/>
          <w:marTop w:val="0"/>
          <w:marBottom w:val="0"/>
          <w:divBdr>
            <w:top w:val="none" w:sz="0" w:space="0" w:color="auto"/>
            <w:left w:val="none" w:sz="0" w:space="0" w:color="auto"/>
            <w:bottom w:val="none" w:sz="0" w:space="0" w:color="auto"/>
            <w:right w:val="none" w:sz="0" w:space="0" w:color="auto"/>
          </w:divBdr>
        </w:div>
        <w:div w:id="1013146885">
          <w:marLeft w:val="480"/>
          <w:marRight w:val="0"/>
          <w:marTop w:val="0"/>
          <w:marBottom w:val="0"/>
          <w:divBdr>
            <w:top w:val="none" w:sz="0" w:space="0" w:color="auto"/>
            <w:left w:val="none" w:sz="0" w:space="0" w:color="auto"/>
            <w:bottom w:val="none" w:sz="0" w:space="0" w:color="auto"/>
            <w:right w:val="none" w:sz="0" w:space="0" w:color="auto"/>
          </w:divBdr>
        </w:div>
        <w:div w:id="1020007956">
          <w:marLeft w:val="480"/>
          <w:marRight w:val="0"/>
          <w:marTop w:val="0"/>
          <w:marBottom w:val="0"/>
          <w:divBdr>
            <w:top w:val="none" w:sz="0" w:space="0" w:color="auto"/>
            <w:left w:val="none" w:sz="0" w:space="0" w:color="auto"/>
            <w:bottom w:val="none" w:sz="0" w:space="0" w:color="auto"/>
            <w:right w:val="none" w:sz="0" w:space="0" w:color="auto"/>
          </w:divBdr>
        </w:div>
        <w:div w:id="1028524887">
          <w:marLeft w:val="480"/>
          <w:marRight w:val="0"/>
          <w:marTop w:val="0"/>
          <w:marBottom w:val="0"/>
          <w:divBdr>
            <w:top w:val="none" w:sz="0" w:space="0" w:color="auto"/>
            <w:left w:val="none" w:sz="0" w:space="0" w:color="auto"/>
            <w:bottom w:val="none" w:sz="0" w:space="0" w:color="auto"/>
            <w:right w:val="none" w:sz="0" w:space="0" w:color="auto"/>
          </w:divBdr>
        </w:div>
        <w:div w:id="1040520089">
          <w:marLeft w:val="480"/>
          <w:marRight w:val="0"/>
          <w:marTop w:val="0"/>
          <w:marBottom w:val="0"/>
          <w:divBdr>
            <w:top w:val="none" w:sz="0" w:space="0" w:color="auto"/>
            <w:left w:val="none" w:sz="0" w:space="0" w:color="auto"/>
            <w:bottom w:val="none" w:sz="0" w:space="0" w:color="auto"/>
            <w:right w:val="none" w:sz="0" w:space="0" w:color="auto"/>
          </w:divBdr>
        </w:div>
        <w:div w:id="1053892389">
          <w:marLeft w:val="480"/>
          <w:marRight w:val="0"/>
          <w:marTop w:val="0"/>
          <w:marBottom w:val="0"/>
          <w:divBdr>
            <w:top w:val="none" w:sz="0" w:space="0" w:color="auto"/>
            <w:left w:val="none" w:sz="0" w:space="0" w:color="auto"/>
            <w:bottom w:val="none" w:sz="0" w:space="0" w:color="auto"/>
            <w:right w:val="none" w:sz="0" w:space="0" w:color="auto"/>
          </w:divBdr>
        </w:div>
        <w:div w:id="1058437319">
          <w:marLeft w:val="480"/>
          <w:marRight w:val="0"/>
          <w:marTop w:val="0"/>
          <w:marBottom w:val="0"/>
          <w:divBdr>
            <w:top w:val="none" w:sz="0" w:space="0" w:color="auto"/>
            <w:left w:val="none" w:sz="0" w:space="0" w:color="auto"/>
            <w:bottom w:val="none" w:sz="0" w:space="0" w:color="auto"/>
            <w:right w:val="none" w:sz="0" w:space="0" w:color="auto"/>
          </w:divBdr>
        </w:div>
        <w:div w:id="1139418290">
          <w:marLeft w:val="480"/>
          <w:marRight w:val="0"/>
          <w:marTop w:val="0"/>
          <w:marBottom w:val="0"/>
          <w:divBdr>
            <w:top w:val="none" w:sz="0" w:space="0" w:color="auto"/>
            <w:left w:val="none" w:sz="0" w:space="0" w:color="auto"/>
            <w:bottom w:val="none" w:sz="0" w:space="0" w:color="auto"/>
            <w:right w:val="none" w:sz="0" w:space="0" w:color="auto"/>
          </w:divBdr>
        </w:div>
        <w:div w:id="1169520938">
          <w:marLeft w:val="480"/>
          <w:marRight w:val="0"/>
          <w:marTop w:val="0"/>
          <w:marBottom w:val="0"/>
          <w:divBdr>
            <w:top w:val="none" w:sz="0" w:space="0" w:color="auto"/>
            <w:left w:val="none" w:sz="0" w:space="0" w:color="auto"/>
            <w:bottom w:val="none" w:sz="0" w:space="0" w:color="auto"/>
            <w:right w:val="none" w:sz="0" w:space="0" w:color="auto"/>
          </w:divBdr>
        </w:div>
        <w:div w:id="1172182125">
          <w:marLeft w:val="480"/>
          <w:marRight w:val="0"/>
          <w:marTop w:val="0"/>
          <w:marBottom w:val="0"/>
          <w:divBdr>
            <w:top w:val="none" w:sz="0" w:space="0" w:color="auto"/>
            <w:left w:val="none" w:sz="0" w:space="0" w:color="auto"/>
            <w:bottom w:val="none" w:sz="0" w:space="0" w:color="auto"/>
            <w:right w:val="none" w:sz="0" w:space="0" w:color="auto"/>
          </w:divBdr>
        </w:div>
        <w:div w:id="1189292673">
          <w:marLeft w:val="480"/>
          <w:marRight w:val="0"/>
          <w:marTop w:val="0"/>
          <w:marBottom w:val="0"/>
          <w:divBdr>
            <w:top w:val="none" w:sz="0" w:space="0" w:color="auto"/>
            <w:left w:val="none" w:sz="0" w:space="0" w:color="auto"/>
            <w:bottom w:val="none" w:sz="0" w:space="0" w:color="auto"/>
            <w:right w:val="none" w:sz="0" w:space="0" w:color="auto"/>
          </w:divBdr>
        </w:div>
        <w:div w:id="1210528165">
          <w:marLeft w:val="480"/>
          <w:marRight w:val="0"/>
          <w:marTop w:val="0"/>
          <w:marBottom w:val="0"/>
          <w:divBdr>
            <w:top w:val="none" w:sz="0" w:space="0" w:color="auto"/>
            <w:left w:val="none" w:sz="0" w:space="0" w:color="auto"/>
            <w:bottom w:val="none" w:sz="0" w:space="0" w:color="auto"/>
            <w:right w:val="none" w:sz="0" w:space="0" w:color="auto"/>
          </w:divBdr>
        </w:div>
        <w:div w:id="1286695247">
          <w:marLeft w:val="480"/>
          <w:marRight w:val="0"/>
          <w:marTop w:val="0"/>
          <w:marBottom w:val="0"/>
          <w:divBdr>
            <w:top w:val="none" w:sz="0" w:space="0" w:color="auto"/>
            <w:left w:val="none" w:sz="0" w:space="0" w:color="auto"/>
            <w:bottom w:val="none" w:sz="0" w:space="0" w:color="auto"/>
            <w:right w:val="none" w:sz="0" w:space="0" w:color="auto"/>
          </w:divBdr>
        </w:div>
        <w:div w:id="1395398579">
          <w:marLeft w:val="480"/>
          <w:marRight w:val="0"/>
          <w:marTop w:val="0"/>
          <w:marBottom w:val="0"/>
          <w:divBdr>
            <w:top w:val="none" w:sz="0" w:space="0" w:color="auto"/>
            <w:left w:val="none" w:sz="0" w:space="0" w:color="auto"/>
            <w:bottom w:val="none" w:sz="0" w:space="0" w:color="auto"/>
            <w:right w:val="none" w:sz="0" w:space="0" w:color="auto"/>
          </w:divBdr>
        </w:div>
        <w:div w:id="1445533784">
          <w:marLeft w:val="480"/>
          <w:marRight w:val="0"/>
          <w:marTop w:val="0"/>
          <w:marBottom w:val="0"/>
          <w:divBdr>
            <w:top w:val="none" w:sz="0" w:space="0" w:color="auto"/>
            <w:left w:val="none" w:sz="0" w:space="0" w:color="auto"/>
            <w:bottom w:val="none" w:sz="0" w:space="0" w:color="auto"/>
            <w:right w:val="none" w:sz="0" w:space="0" w:color="auto"/>
          </w:divBdr>
        </w:div>
        <w:div w:id="1447458321">
          <w:marLeft w:val="480"/>
          <w:marRight w:val="0"/>
          <w:marTop w:val="0"/>
          <w:marBottom w:val="0"/>
          <w:divBdr>
            <w:top w:val="none" w:sz="0" w:space="0" w:color="auto"/>
            <w:left w:val="none" w:sz="0" w:space="0" w:color="auto"/>
            <w:bottom w:val="none" w:sz="0" w:space="0" w:color="auto"/>
            <w:right w:val="none" w:sz="0" w:space="0" w:color="auto"/>
          </w:divBdr>
        </w:div>
        <w:div w:id="1508595764">
          <w:marLeft w:val="480"/>
          <w:marRight w:val="0"/>
          <w:marTop w:val="0"/>
          <w:marBottom w:val="0"/>
          <w:divBdr>
            <w:top w:val="none" w:sz="0" w:space="0" w:color="auto"/>
            <w:left w:val="none" w:sz="0" w:space="0" w:color="auto"/>
            <w:bottom w:val="none" w:sz="0" w:space="0" w:color="auto"/>
            <w:right w:val="none" w:sz="0" w:space="0" w:color="auto"/>
          </w:divBdr>
        </w:div>
        <w:div w:id="1511291791">
          <w:marLeft w:val="480"/>
          <w:marRight w:val="0"/>
          <w:marTop w:val="0"/>
          <w:marBottom w:val="0"/>
          <w:divBdr>
            <w:top w:val="none" w:sz="0" w:space="0" w:color="auto"/>
            <w:left w:val="none" w:sz="0" w:space="0" w:color="auto"/>
            <w:bottom w:val="none" w:sz="0" w:space="0" w:color="auto"/>
            <w:right w:val="none" w:sz="0" w:space="0" w:color="auto"/>
          </w:divBdr>
        </w:div>
        <w:div w:id="1517768032">
          <w:marLeft w:val="480"/>
          <w:marRight w:val="0"/>
          <w:marTop w:val="0"/>
          <w:marBottom w:val="0"/>
          <w:divBdr>
            <w:top w:val="none" w:sz="0" w:space="0" w:color="auto"/>
            <w:left w:val="none" w:sz="0" w:space="0" w:color="auto"/>
            <w:bottom w:val="none" w:sz="0" w:space="0" w:color="auto"/>
            <w:right w:val="none" w:sz="0" w:space="0" w:color="auto"/>
          </w:divBdr>
        </w:div>
        <w:div w:id="1541699021">
          <w:marLeft w:val="480"/>
          <w:marRight w:val="0"/>
          <w:marTop w:val="0"/>
          <w:marBottom w:val="0"/>
          <w:divBdr>
            <w:top w:val="none" w:sz="0" w:space="0" w:color="auto"/>
            <w:left w:val="none" w:sz="0" w:space="0" w:color="auto"/>
            <w:bottom w:val="none" w:sz="0" w:space="0" w:color="auto"/>
            <w:right w:val="none" w:sz="0" w:space="0" w:color="auto"/>
          </w:divBdr>
        </w:div>
        <w:div w:id="1550414357">
          <w:marLeft w:val="480"/>
          <w:marRight w:val="0"/>
          <w:marTop w:val="0"/>
          <w:marBottom w:val="0"/>
          <w:divBdr>
            <w:top w:val="none" w:sz="0" w:space="0" w:color="auto"/>
            <w:left w:val="none" w:sz="0" w:space="0" w:color="auto"/>
            <w:bottom w:val="none" w:sz="0" w:space="0" w:color="auto"/>
            <w:right w:val="none" w:sz="0" w:space="0" w:color="auto"/>
          </w:divBdr>
        </w:div>
        <w:div w:id="1633436960">
          <w:marLeft w:val="480"/>
          <w:marRight w:val="0"/>
          <w:marTop w:val="0"/>
          <w:marBottom w:val="0"/>
          <w:divBdr>
            <w:top w:val="none" w:sz="0" w:space="0" w:color="auto"/>
            <w:left w:val="none" w:sz="0" w:space="0" w:color="auto"/>
            <w:bottom w:val="none" w:sz="0" w:space="0" w:color="auto"/>
            <w:right w:val="none" w:sz="0" w:space="0" w:color="auto"/>
          </w:divBdr>
        </w:div>
        <w:div w:id="1665235244">
          <w:marLeft w:val="480"/>
          <w:marRight w:val="0"/>
          <w:marTop w:val="0"/>
          <w:marBottom w:val="0"/>
          <w:divBdr>
            <w:top w:val="none" w:sz="0" w:space="0" w:color="auto"/>
            <w:left w:val="none" w:sz="0" w:space="0" w:color="auto"/>
            <w:bottom w:val="none" w:sz="0" w:space="0" w:color="auto"/>
            <w:right w:val="none" w:sz="0" w:space="0" w:color="auto"/>
          </w:divBdr>
        </w:div>
        <w:div w:id="1666322980">
          <w:marLeft w:val="480"/>
          <w:marRight w:val="0"/>
          <w:marTop w:val="0"/>
          <w:marBottom w:val="0"/>
          <w:divBdr>
            <w:top w:val="none" w:sz="0" w:space="0" w:color="auto"/>
            <w:left w:val="none" w:sz="0" w:space="0" w:color="auto"/>
            <w:bottom w:val="none" w:sz="0" w:space="0" w:color="auto"/>
            <w:right w:val="none" w:sz="0" w:space="0" w:color="auto"/>
          </w:divBdr>
        </w:div>
        <w:div w:id="1673601594">
          <w:marLeft w:val="480"/>
          <w:marRight w:val="0"/>
          <w:marTop w:val="0"/>
          <w:marBottom w:val="0"/>
          <w:divBdr>
            <w:top w:val="none" w:sz="0" w:space="0" w:color="auto"/>
            <w:left w:val="none" w:sz="0" w:space="0" w:color="auto"/>
            <w:bottom w:val="none" w:sz="0" w:space="0" w:color="auto"/>
            <w:right w:val="none" w:sz="0" w:space="0" w:color="auto"/>
          </w:divBdr>
        </w:div>
        <w:div w:id="1732802982">
          <w:marLeft w:val="480"/>
          <w:marRight w:val="0"/>
          <w:marTop w:val="0"/>
          <w:marBottom w:val="0"/>
          <w:divBdr>
            <w:top w:val="none" w:sz="0" w:space="0" w:color="auto"/>
            <w:left w:val="none" w:sz="0" w:space="0" w:color="auto"/>
            <w:bottom w:val="none" w:sz="0" w:space="0" w:color="auto"/>
            <w:right w:val="none" w:sz="0" w:space="0" w:color="auto"/>
          </w:divBdr>
        </w:div>
        <w:div w:id="1749106940">
          <w:marLeft w:val="480"/>
          <w:marRight w:val="0"/>
          <w:marTop w:val="0"/>
          <w:marBottom w:val="0"/>
          <w:divBdr>
            <w:top w:val="none" w:sz="0" w:space="0" w:color="auto"/>
            <w:left w:val="none" w:sz="0" w:space="0" w:color="auto"/>
            <w:bottom w:val="none" w:sz="0" w:space="0" w:color="auto"/>
            <w:right w:val="none" w:sz="0" w:space="0" w:color="auto"/>
          </w:divBdr>
        </w:div>
        <w:div w:id="1773932431">
          <w:marLeft w:val="480"/>
          <w:marRight w:val="0"/>
          <w:marTop w:val="0"/>
          <w:marBottom w:val="0"/>
          <w:divBdr>
            <w:top w:val="none" w:sz="0" w:space="0" w:color="auto"/>
            <w:left w:val="none" w:sz="0" w:space="0" w:color="auto"/>
            <w:bottom w:val="none" w:sz="0" w:space="0" w:color="auto"/>
            <w:right w:val="none" w:sz="0" w:space="0" w:color="auto"/>
          </w:divBdr>
        </w:div>
        <w:div w:id="1890679543">
          <w:marLeft w:val="480"/>
          <w:marRight w:val="0"/>
          <w:marTop w:val="0"/>
          <w:marBottom w:val="0"/>
          <w:divBdr>
            <w:top w:val="none" w:sz="0" w:space="0" w:color="auto"/>
            <w:left w:val="none" w:sz="0" w:space="0" w:color="auto"/>
            <w:bottom w:val="none" w:sz="0" w:space="0" w:color="auto"/>
            <w:right w:val="none" w:sz="0" w:space="0" w:color="auto"/>
          </w:divBdr>
        </w:div>
        <w:div w:id="1914579080">
          <w:marLeft w:val="480"/>
          <w:marRight w:val="0"/>
          <w:marTop w:val="0"/>
          <w:marBottom w:val="0"/>
          <w:divBdr>
            <w:top w:val="none" w:sz="0" w:space="0" w:color="auto"/>
            <w:left w:val="none" w:sz="0" w:space="0" w:color="auto"/>
            <w:bottom w:val="none" w:sz="0" w:space="0" w:color="auto"/>
            <w:right w:val="none" w:sz="0" w:space="0" w:color="auto"/>
          </w:divBdr>
        </w:div>
        <w:div w:id="1943995044">
          <w:marLeft w:val="480"/>
          <w:marRight w:val="0"/>
          <w:marTop w:val="0"/>
          <w:marBottom w:val="0"/>
          <w:divBdr>
            <w:top w:val="none" w:sz="0" w:space="0" w:color="auto"/>
            <w:left w:val="none" w:sz="0" w:space="0" w:color="auto"/>
            <w:bottom w:val="none" w:sz="0" w:space="0" w:color="auto"/>
            <w:right w:val="none" w:sz="0" w:space="0" w:color="auto"/>
          </w:divBdr>
        </w:div>
        <w:div w:id="1977879331">
          <w:marLeft w:val="480"/>
          <w:marRight w:val="0"/>
          <w:marTop w:val="0"/>
          <w:marBottom w:val="0"/>
          <w:divBdr>
            <w:top w:val="none" w:sz="0" w:space="0" w:color="auto"/>
            <w:left w:val="none" w:sz="0" w:space="0" w:color="auto"/>
            <w:bottom w:val="none" w:sz="0" w:space="0" w:color="auto"/>
            <w:right w:val="none" w:sz="0" w:space="0" w:color="auto"/>
          </w:divBdr>
        </w:div>
        <w:div w:id="2009743594">
          <w:marLeft w:val="480"/>
          <w:marRight w:val="0"/>
          <w:marTop w:val="0"/>
          <w:marBottom w:val="0"/>
          <w:divBdr>
            <w:top w:val="none" w:sz="0" w:space="0" w:color="auto"/>
            <w:left w:val="none" w:sz="0" w:space="0" w:color="auto"/>
            <w:bottom w:val="none" w:sz="0" w:space="0" w:color="auto"/>
            <w:right w:val="none" w:sz="0" w:space="0" w:color="auto"/>
          </w:divBdr>
        </w:div>
        <w:div w:id="2050883922">
          <w:marLeft w:val="480"/>
          <w:marRight w:val="0"/>
          <w:marTop w:val="0"/>
          <w:marBottom w:val="0"/>
          <w:divBdr>
            <w:top w:val="none" w:sz="0" w:space="0" w:color="auto"/>
            <w:left w:val="none" w:sz="0" w:space="0" w:color="auto"/>
            <w:bottom w:val="none" w:sz="0" w:space="0" w:color="auto"/>
            <w:right w:val="none" w:sz="0" w:space="0" w:color="auto"/>
          </w:divBdr>
        </w:div>
        <w:div w:id="2077699390">
          <w:marLeft w:val="480"/>
          <w:marRight w:val="0"/>
          <w:marTop w:val="0"/>
          <w:marBottom w:val="0"/>
          <w:divBdr>
            <w:top w:val="none" w:sz="0" w:space="0" w:color="auto"/>
            <w:left w:val="none" w:sz="0" w:space="0" w:color="auto"/>
            <w:bottom w:val="none" w:sz="0" w:space="0" w:color="auto"/>
            <w:right w:val="none" w:sz="0" w:space="0" w:color="auto"/>
          </w:divBdr>
        </w:div>
        <w:div w:id="2120252517">
          <w:marLeft w:val="480"/>
          <w:marRight w:val="0"/>
          <w:marTop w:val="0"/>
          <w:marBottom w:val="0"/>
          <w:divBdr>
            <w:top w:val="none" w:sz="0" w:space="0" w:color="auto"/>
            <w:left w:val="none" w:sz="0" w:space="0" w:color="auto"/>
            <w:bottom w:val="none" w:sz="0" w:space="0" w:color="auto"/>
            <w:right w:val="none" w:sz="0" w:space="0" w:color="auto"/>
          </w:divBdr>
        </w:div>
      </w:divsChild>
    </w:div>
    <w:div w:id="1665930737">
      <w:bodyDiv w:val="1"/>
      <w:marLeft w:val="0"/>
      <w:marRight w:val="0"/>
      <w:marTop w:val="0"/>
      <w:marBottom w:val="0"/>
      <w:divBdr>
        <w:top w:val="none" w:sz="0" w:space="0" w:color="auto"/>
        <w:left w:val="none" w:sz="0" w:space="0" w:color="auto"/>
        <w:bottom w:val="none" w:sz="0" w:space="0" w:color="auto"/>
        <w:right w:val="none" w:sz="0" w:space="0" w:color="auto"/>
      </w:divBdr>
    </w:div>
    <w:div w:id="1671983190">
      <w:bodyDiv w:val="1"/>
      <w:marLeft w:val="0"/>
      <w:marRight w:val="0"/>
      <w:marTop w:val="0"/>
      <w:marBottom w:val="0"/>
      <w:divBdr>
        <w:top w:val="none" w:sz="0" w:space="0" w:color="auto"/>
        <w:left w:val="none" w:sz="0" w:space="0" w:color="auto"/>
        <w:bottom w:val="none" w:sz="0" w:space="0" w:color="auto"/>
        <w:right w:val="none" w:sz="0" w:space="0" w:color="auto"/>
      </w:divBdr>
    </w:div>
    <w:div w:id="1672564265">
      <w:bodyDiv w:val="1"/>
      <w:marLeft w:val="0"/>
      <w:marRight w:val="0"/>
      <w:marTop w:val="0"/>
      <w:marBottom w:val="0"/>
      <w:divBdr>
        <w:top w:val="none" w:sz="0" w:space="0" w:color="auto"/>
        <w:left w:val="none" w:sz="0" w:space="0" w:color="auto"/>
        <w:bottom w:val="none" w:sz="0" w:space="0" w:color="auto"/>
        <w:right w:val="none" w:sz="0" w:space="0" w:color="auto"/>
      </w:divBdr>
    </w:div>
    <w:div w:id="1675836088">
      <w:bodyDiv w:val="1"/>
      <w:marLeft w:val="0"/>
      <w:marRight w:val="0"/>
      <w:marTop w:val="0"/>
      <w:marBottom w:val="0"/>
      <w:divBdr>
        <w:top w:val="none" w:sz="0" w:space="0" w:color="auto"/>
        <w:left w:val="none" w:sz="0" w:space="0" w:color="auto"/>
        <w:bottom w:val="none" w:sz="0" w:space="0" w:color="auto"/>
        <w:right w:val="none" w:sz="0" w:space="0" w:color="auto"/>
      </w:divBdr>
    </w:div>
    <w:div w:id="1679845887">
      <w:bodyDiv w:val="1"/>
      <w:marLeft w:val="0"/>
      <w:marRight w:val="0"/>
      <w:marTop w:val="0"/>
      <w:marBottom w:val="0"/>
      <w:divBdr>
        <w:top w:val="none" w:sz="0" w:space="0" w:color="auto"/>
        <w:left w:val="none" w:sz="0" w:space="0" w:color="auto"/>
        <w:bottom w:val="none" w:sz="0" w:space="0" w:color="auto"/>
        <w:right w:val="none" w:sz="0" w:space="0" w:color="auto"/>
      </w:divBdr>
    </w:div>
    <w:div w:id="1680235545">
      <w:bodyDiv w:val="1"/>
      <w:marLeft w:val="0"/>
      <w:marRight w:val="0"/>
      <w:marTop w:val="0"/>
      <w:marBottom w:val="0"/>
      <w:divBdr>
        <w:top w:val="none" w:sz="0" w:space="0" w:color="auto"/>
        <w:left w:val="none" w:sz="0" w:space="0" w:color="auto"/>
        <w:bottom w:val="none" w:sz="0" w:space="0" w:color="auto"/>
        <w:right w:val="none" w:sz="0" w:space="0" w:color="auto"/>
      </w:divBdr>
    </w:div>
    <w:div w:id="1683630122">
      <w:bodyDiv w:val="1"/>
      <w:marLeft w:val="0"/>
      <w:marRight w:val="0"/>
      <w:marTop w:val="0"/>
      <w:marBottom w:val="0"/>
      <w:divBdr>
        <w:top w:val="none" w:sz="0" w:space="0" w:color="auto"/>
        <w:left w:val="none" w:sz="0" w:space="0" w:color="auto"/>
        <w:bottom w:val="none" w:sz="0" w:space="0" w:color="auto"/>
        <w:right w:val="none" w:sz="0" w:space="0" w:color="auto"/>
      </w:divBdr>
    </w:div>
    <w:div w:id="1692956534">
      <w:bodyDiv w:val="1"/>
      <w:marLeft w:val="0"/>
      <w:marRight w:val="0"/>
      <w:marTop w:val="0"/>
      <w:marBottom w:val="0"/>
      <w:divBdr>
        <w:top w:val="none" w:sz="0" w:space="0" w:color="auto"/>
        <w:left w:val="none" w:sz="0" w:space="0" w:color="auto"/>
        <w:bottom w:val="none" w:sz="0" w:space="0" w:color="auto"/>
        <w:right w:val="none" w:sz="0" w:space="0" w:color="auto"/>
      </w:divBdr>
    </w:div>
    <w:div w:id="1693536246">
      <w:bodyDiv w:val="1"/>
      <w:marLeft w:val="0"/>
      <w:marRight w:val="0"/>
      <w:marTop w:val="0"/>
      <w:marBottom w:val="0"/>
      <w:divBdr>
        <w:top w:val="none" w:sz="0" w:space="0" w:color="auto"/>
        <w:left w:val="none" w:sz="0" w:space="0" w:color="auto"/>
        <w:bottom w:val="none" w:sz="0" w:space="0" w:color="auto"/>
        <w:right w:val="none" w:sz="0" w:space="0" w:color="auto"/>
      </w:divBdr>
    </w:div>
    <w:div w:id="1694302244">
      <w:bodyDiv w:val="1"/>
      <w:marLeft w:val="0"/>
      <w:marRight w:val="0"/>
      <w:marTop w:val="0"/>
      <w:marBottom w:val="0"/>
      <w:divBdr>
        <w:top w:val="none" w:sz="0" w:space="0" w:color="auto"/>
        <w:left w:val="none" w:sz="0" w:space="0" w:color="auto"/>
        <w:bottom w:val="none" w:sz="0" w:space="0" w:color="auto"/>
        <w:right w:val="none" w:sz="0" w:space="0" w:color="auto"/>
      </w:divBdr>
      <w:divsChild>
        <w:div w:id="144321071">
          <w:marLeft w:val="480"/>
          <w:marRight w:val="0"/>
          <w:marTop w:val="0"/>
          <w:marBottom w:val="0"/>
          <w:divBdr>
            <w:top w:val="none" w:sz="0" w:space="0" w:color="auto"/>
            <w:left w:val="none" w:sz="0" w:space="0" w:color="auto"/>
            <w:bottom w:val="none" w:sz="0" w:space="0" w:color="auto"/>
            <w:right w:val="none" w:sz="0" w:space="0" w:color="auto"/>
          </w:divBdr>
        </w:div>
        <w:div w:id="198975322">
          <w:marLeft w:val="480"/>
          <w:marRight w:val="0"/>
          <w:marTop w:val="0"/>
          <w:marBottom w:val="0"/>
          <w:divBdr>
            <w:top w:val="none" w:sz="0" w:space="0" w:color="auto"/>
            <w:left w:val="none" w:sz="0" w:space="0" w:color="auto"/>
            <w:bottom w:val="none" w:sz="0" w:space="0" w:color="auto"/>
            <w:right w:val="none" w:sz="0" w:space="0" w:color="auto"/>
          </w:divBdr>
        </w:div>
        <w:div w:id="220094968">
          <w:marLeft w:val="480"/>
          <w:marRight w:val="0"/>
          <w:marTop w:val="0"/>
          <w:marBottom w:val="0"/>
          <w:divBdr>
            <w:top w:val="none" w:sz="0" w:space="0" w:color="auto"/>
            <w:left w:val="none" w:sz="0" w:space="0" w:color="auto"/>
            <w:bottom w:val="none" w:sz="0" w:space="0" w:color="auto"/>
            <w:right w:val="none" w:sz="0" w:space="0" w:color="auto"/>
          </w:divBdr>
        </w:div>
        <w:div w:id="229387255">
          <w:marLeft w:val="480"/>
          <w:marRight w:val="0"/>
          <w:marTop w:val="0"/>
          <w:marBottom w:val="0"/>
          <w:divBdr>
            <w:top w:val="none" w:sz="0" w:space="0" w:color="auto"/>
            <w:left w:val="none" w:sz="0" w:space="0" w:color="auto"/>
            <w:bottom w:val="none" w:sz="0" w:space="0" w:color="auto"/>
            <w:right w:val="none" w:sz="0" w:space="0" w:color="auto"/>
          </w:divBdr>
        </w:div>
        <w:div w:id="229577391">
          <w:marLeft w:val="480"/>
          <w:marRight w:val="0"/>
          <w:marTop w:val="0"/>
          <w:marBottom w:val="0"/>
          <w:divBdr>
            <w:top w:val="none" w:sz="0" w:space="0" w:color="auto"/>
            <w:left w:val="none" w:sz="0" w:space="0" w:color="auto"/>
            <w:bottom w:val="none" w:sz="0" w:space="0" w:color="auto"/>
            <w:right w:val="none" w:sz="0" w:space="0" w:color="auto"/>
          </w:divBdr>
        </w:div>
        <w:div w:id="318702708">
          <w:marLeft w:val="480"/>
          <w:marRight w:val="0"/>
          <w:marTop w:val="0"/>
          <w:marBottom w:val="0"/>
          <w:divBdr>
            <w:top w:val="none" w:sz="0" w:space="0" w:color="auto"/>
            <w:left w:val="none" w:sz="0" w:space="0" w:color="auto"/>
            <w:bottom w:val="none" w:sz="0" w:space="0" w:color="auto"/>
            <w:right w:val="none" w:sz="0" w:space="0" w:color="auto"/>
          </w:divBdr>
        </w:div>
        <w:div w:id="361177255">
          <w:marLeft w:val="480"/>
          <w:marRight w:val="0"/>
          <w:marTop w:val="0"/>
          <w:marBottom w:val="0"/>
          <w:divBdr>
            <w:top w:val="none" w:sz="0" w:space="0" w:color="auto"/>
            <w:left w:val="none" w:sz="0" w:space="0" w:color="auto"/>
            <w:bottom w:val="none" w:sz="0" w:space="0" w:color="auto"/>
            <w:right w:val="none" w:sz="0" w:space="0" w:color="auto"/>
          </w:divBdr>
        </w:div>
        <w:div w:id="440537108">
          <w:marLeft w:val="480"/>
          <w:marRight w:val="0"/>
          <w:marTop w:val="0"/>
          <w:marBottom w:val="0"/>
          <w:divBdr>
            <w:top w:val="none" w:sz="0" w:space="0" w:color="auto"/>
            <w:left w:val="none" w:sz="0" w:space="0" w:color="auto"/>
            <w:bottom w:val="none" w:sz="0" w:space="0" w:color="auto"/>
            <w:right w:val="none" w:sz="0" w:space="0" w:color="auto"/>
          </w:divBdr>
        </w:div>
        <w:div w:id="452944374">
          <w:marLeft w:val="480"/>
          <w:marRight w:val="0"/>
          <w:marTop w:val="0"/>
          <w:marBottom w:val="0"/>
          <w:divBdr>
            <w:top w:val="none" w:sz="0" w:space="0" w:color="auto"/>
            <w:left w:val="none" w:sz="0" w:space="0" w:color="auto"/>
            <w:bottom w:val="none" w:sz="0" w:space="0" w:color="auto"/>
            <w:right w:val="none" w:sz="0" w:space="0" w:color="auto"/>
          </w:divBdr>
        </w:div>
        <w:div w:id="500437021">
          <w:marLeft w:val="480"/>
          <w:marRight w:val="0"/>
          <w:marTop w:val="0"/>
          <w:marBottom w:val="0"/>
          <w:divBdr>
            <w:top w:val="none" w:sz="0" w:space="0" w:color="auto"/>
            <w:left w:val="none" w:sz="0" w:space="0" w:color="auto"/>
            <w:bottom w:val="none" w:sz="0" w:space="0" w:color="auto"/>
            <w:right w:val="none" w:sz="0" w:space="0" w:color="auto"/>
          </w:divBdr>
        </w:div>
        <w:div w:id="540821506">
          <w:marLeft w:val="480"/>
          <w:marRight w:val="0"/>
          <w:marTop w:val="0"/>
          <w:marBottom w:val="0"/>
          <w:divBdr>
            <w:top w:val="none" w:sz="0" w:space="0" w:color="auto"/>
            <w:left w:val="none" w:sz="0" w:space="0" w:color="auto"/>
            <w:bottom w:val="none" w:sz="0" w:space="0" w:color="auto"/>
            <w:right w:val="none" w:sz="0" w:space="0" w:color="auto"/>
          </w:divBdr>
        </w:div>
        <w:div w:id="582107821">
          <w:marLeft w:val="480"/>
          <w:marRight w:val="0"/>
          <w:marTop w:val="0"/>
          <w:marBottom w:val="0"/>
          <w:divBdr>
            <w:top w:val="none" w:sz="0" w:space="0" w:color="auto"/>
            <w:left w:val="none" w:sz="0" w:space="0" w:color="auto"/>
            <w:bottom w:val="none" w:sz="0" w:space="0" w:color="auto"/>
            <w:right w:val="none" w:sz="0" w:space="0" w:color="auto"/>
          </w:divBdr>
        </w:div>
        <w:div w:id="619721324">
          <w:marLeft w:val="480"/>
          <w:marRight w:val="0"/>
          <w:marTop w:val="0"/>
          <w:marBottom w:val="0"/>
          <w:divBdr>
            <w:top w:val="none" w:sz="0" w:space="0" w:color="auto"/>
            <w:left w:val="none" w:sz="0" w:space="0" w:color="auto"/>
            <w:bottom w:val="none" w:sz="0" w:space="0" w:color="auto"/>
            <w:right w:val="none" w:sz="0" w:space="0" w:color="auto"/>
          </w:divBdr>
        </w:div>
        <w:div w:id="622735188">
          <w:marLeft w:val="480"/>
          <w:marRight w:val="0"/>
          <w:marTop w:val="0"/>
          <w:marBottom w:val="0"/>
          <w:divBdr>
            <w:top w:val="none" w:sz="0" w:space="0" w:color="auto"/>
            <w:left w:val="none" w:sz="0" w:space="0" w:color="auto"/>
            <w:bottom w:val="none" w:sz="0" w:space="0" w:color="auto"/>
            <w:right w:val="none" w:sz="0" w:space="0" w:color="auto"/>
          </w:divBdr>
        </w:div>
        <w:div w:id="717247724">
          <w:marLeft w:val="480"/>
          <w:marRight w:val="0"/>
          <w:marTop w:val="0"/>
          <w:marBottom w:val="0"/>
          <w:divBdr>
            <w:top w:val="none" w:sz="0" w:space="0" w:color="auto"/>
            <w:left w:val="none" w:sz="0" w:space="0" w:color="auto"/>
            <w:bottom w:val="none" w:sz="0" w:space="0" w:color="auto"/>
            <w:right w:val="none" w:sz="0" w:space="0" w:color="auto"/>
          </w:divBdr>
        </w:div>
        <w:div w:id="721909578">
          <w:marLeft w:val="480"/>
          <w:marRight w:val="0"/>
          <w:marTop w:val="0"/>
          <w:marBottom w:val="0"/>
          <w:divBdr>
            <w:top w:val="none" w:sz="0" w:space="0" w:color="auto"/>
            <w:left w:val="none" w:sz="0" w:space="0" w:color="auto"/>
            <w:bottom w:val="none" w:sz="0" w:space="0" w:color="auto"/>
            <w:right w:val="none" w:sz="0" w:space="0" w:color="auto"/>
          </w:divBdr>
        </w:div>
        <w:div w:id="726954314">
          <w:marLeft w:val="480"/>
          <w:marRight w:val="0"/>
          <w:marTop w:val="0"/>
          <w:marBottom w:val="0"/>
          <w:divBdr>
            <w:top w:val="none" w:sz="0" w:space="0" w:color="auto"/>
            <w:left w:val="none" w:sz="0" w:space="0" w:color="auto"/>
            <w:bottom w:val="none" w:sz="0" w:space="0" w:color="auto"/>
            <w:right w:val="none" w:sz="0" w:space="0" w:color="auto"/>
          </w:divBdr>
        </w:div>
        <w:div w:id="814029129">
          <w:marLeft w:val="480"/>
          <w:marRight w:val="0"/>
          <w:marTop w:val="0"/>
          <w:marBottom w:val="0"/>
          <w:divBdr>
            <w:top w:val="none" w:sz="0" w:space="0" w:color="auto"/>
            <w:left w:val="none" w:sz="0" w:space="0" w:color="auto"/>
            <w:bottom w:val="none" w:sz="0" w:space="0" w:color="auto"/>
            <w:right w:val="none" w:sz="0" w:space="0" w:color="auto"/>
          </w:divBdr>
        </w:div>
        <w:div w:id="832993550">
          <w:marLeft w:val="480"/>
          <w:marRight w:val="0"/>
          <w:marTop w:val="0"/>
          <w:marBottom w:val="0"/>
          <w:divBdr>
            <w:top w:val="none" w:sz="0" w:space="0" w:color="auto"/>
            <w:left w:val="none" w:sz="0" w:space="0" w:color="auto"/>
            <w:bottom w:val="none" w:sz="0" w:space="0" w:color="auto"/>
            <w:right w:val="none" w:sz="0" w:space="0" w:color="auto"/>
          </w:divBdr>
        </w:div>
        <w:div w:id="873274052">
          <w:marLeft w:val="480"/>
          <w:marRight w:val="0"/>
          <w:marTop w:val="0"/>
          <w:marBottom w:val="0"/>
          <w:divBdr>
            <w:top w:val="none" w:sz="0" w:space="0" w:color="auto"/>
            <w:left w:val="none" w:sz="0" w:space="0" w:color="auto"/>
            <w:bottom w:val="none" w:sz="0" w:space="0" w:color="auto"/>
            <w:right w:val="none" w:sz="0" w:space="0" w:color="auto"/>
          </w:divBdr>
        </w:div>
        <w:div w:id="911503704">
          <w:marLeft w:val="480"/>
          <w:marRight w:val="0"/>
          <w:marTop w:val="0"/>
          <w:marBottom w:val="0"/>
          <w:divBdr>
            <w:top w:val="none" w:sz="0" w:space="0" w:color="auto"/>
            <w:left w:val="none" w:sz="0" w:space="0" w:color="auto"/>
            <w:bottom w:val="none" w:sz="0" w:space="0" w:color="auto"/>
            <w:right w:val="none" w:sz="0" w:space="0" w:color="auto"/>
          </w:divBdr>
        </w:div>
        <w:div w:id="962421357">
          <w:marLeft w:val="480"/>
          <w:marRight w:val="0"/>
          <w:marTop w:val="0"/>
          <w:marBottom w:val="0"/>
          <w:divBdr>
            <w:top w:val="none" w:sz="0" w:space="0" w:color="auto"/>
            <w:left w:val="none" w:sz="0" w:space="0" w:color="auto"/>
            <w:bottom w:val="none" w:sz="0" w:space="0" w:color="auto"/>
            <w:right w:val="none" w:sz="0" w:space="0" w:color="auto"/>
          </w:divBdr>
        </w:div>
        <w:div w:id="966550013">
          <w:marLeft w:val="480"/>
          <w:marRight w:val="0"/>
          <w:marTop w:val="0"/>
          <w:marBottom w:val="0"/>
          <w:divBdr>
            <w:top w:val="none" w:sz="0" w:space="0" w:color="auto"/>
            <w:left w:val="none" w:sz="0" w:space="0" w:color="auto"/>
            <w:bottom w:val="none" w:sz="0" w:space="0" w:color="auto"/>
            <w:right w:val="none" w:sz="0" w:space="0" w:color="auto"/>
          </w:divBdr>
        </w:div>
        <w:div w:id="994721422">
          <w:marLeft w:val="480"/>
          <w:marRight w:val="0"/>
          <w:marTop w:val="0"/>
          <w:marBottom w:val="0"/>
          <w:divBdr>
            <w:top w:val="none" w:sz="0" w:space="0" w:color="auto"/>
            <w:left w:val="none" w:sz="0" w:space="0" w:color="auto"/>
            <w:bottom w:val="none" w:sz="0" w:space="0" w:color="auto"/>
            <w:right w:val="none" w:sz="0" w:space="0" w:color="auto"/>
          </w:divBdr>
        </w:div>
        <w:div w:id="1059667227">
          <w:marLeft w:val="480"/>
          <w:marRight w:val="0"/>
          <w:marTop w:val="0"/>
          <w:marBottom w:val="0"/>
          <w:divBdr>
            <w:top w:val="none" w:sz="0" w:space="0" w:color="auto"/>
            <w:left w:val="none" w:sz="0" w:space="0" w:color="auto"/>
            <w:bottom w:val="none" w:sz="0" w:space="0" w:color="auto"/>
            <w:right w:val="none" w:sz="0" w:space="0" w:color="auto"/>
          </w:divBdr>
        </w:div>
        <w:div w:id="1063018886">
          <w:marLeft w:val="480"/>
          <w:marRight w:val="0"/>
          <w:marTop w:val="0"/>
          <w:marBottom w:val="0"/>
          <w:divBdr>
            <w:top w:val="none" w:sz="0" w:space="0" w:color="auto"/>
            <w:left w:val="none" w:sz="0" w:space="0" w:color="auto"/>
            <w:bottom w:val="none" w:sz="0" w:space="0" w:color="auto"/>
            <w:right w:val="none" w:sz="0" w:space="0" w:color="auto"/>
          </w:divBdr>
        </w:div>
        <w:div w:id="1160075582">
          <w:marLeft w:val="480"/>
          <w:marRight w:val="0"/>
          <w:marTop w:val="0"/>
          <w:marBottom w:val="0"/>
          <w:divBdr>
            <w:top w:val="none" w:sz="0" w:space="0" w:color="auto"/>
            <w:left w:val="none" w:sz="0" w:space="0" w:color="auto"/>
            <w:bottom w:val="none" w:sz="0" w:space="0" w:color="auto"/>
            <w:right w:val="none" w:sz="0" w:space="0" w:color="auto"/>
          </w:divBdr>
        </w:div>
        <w:div w:id="1200706930">
          <w:marLeft w:val="480"/>
          <w:marRight w:val="0"/>
          <w:marTop w:val="0"/>
          <w:marBottom w:val="0"/>
          <w:divBdr>
            <w:top w:val="none" w:sz="0" w:space="0" w:color="auto"/>
            <w:left w:val="none" w:sz="0" w:space="0" w:color="auto"/>
            <w:bottom w:val="none" w:sz="0" w:space="0" w:color="auto"/>
            <w:right w:val="none" w:sz="0" w:space="0" w:color="auto"/>
          </w:divBdr>
        </w:div>
        <w:div w:id="1275750394">
          <w:marLeft w:val="480"/>
          <w:marRight w:val="0"/>
          <w:marTop w:val="0"/>
          <w:marBottom w:val="0"/>
          <w:divBdr>
            <w:top w:val="none" w:sz="0" w:space="0" w:color="auto"/>
            <w:left w:val="none" w:sz="0" w:space="0" w:color="auto"/>
            <w:bottom w:val="none" w:sz="0" w:space="0" w:color="auto"/>
            <w:right w:val="none" w:sz="0" w:space="0" w:color="auto"/>
          </w:divBdr>
        </w:div>
        <w:div w:id="1302882549">
          <w:marLeft w:val="480"/>
          <w:marRight w:val="0"/>
          <w:marTop w:val="0"/>
          <w:marBottom w:val="0"/>
          <w:divBdr>
            <w:top w:val="none" w:sz="0" w:space="0" w:color="auto"/>
            <w:left w:val="none" w:sz="0" w:space="0" w:color="auto"/>
            <w:bottom w:val="none" w:sz="0" w:space="0" w:color="auto"/>
            <w:right w:val="none" w:sz="0" w:space="0" w:color="auto"/>
          </w:divBdr>
        </w:div>
        <w:div w:id="1366523357">
          <w:marLeft w:val="480"/>
          <w:marRight w:val="0"/>
          <w:marTop w:val="0"/>
          <w:marBottom w:val="0"/>
          <w:divBdr>
            <w:top w:val="none" w:sz="0" w:space="0" w:color="auto"/>
            <w:left w:val="none" w:sz="0" w:space="0" w:color="auto"/>
            <w:bottom w:val="none" w:sz="0" w:space="0" w:color="auto"/>
            <w:right w:val="none" w:sz="0" w:space="0" w:color="auto"/>
          </w:divBdr>
        </w:div>
        <w:div w:id="1374618415">
          <w:marLeft w:val="480"/>
          <w:marRight w:val="0"/>
          <w:marTop w:val="0"/>
          <w:marBottom w:val="0"/>
          <w:divBdr>
            <w:top w:val="none" w:sz="0" w:space="0" w:color="auto"/>
            <w:left w:val="none" w:sz="0" w:space="0" w:color="auto"/>
            <w:bottom w:val="none" w:sz="0" w:space="0" w:color="auto"/>
            <w:right w:val="none" w:sz="0" w:space="0" w:color="auto"/>
          </w:divBdr>
        </w:div>
        <w:div w:id="1377438017">
          <w:marLeft w:val="480"/>
          <w:marRight w:val="0"/>
          <w:marTop w:val="0"/>
          <w:marBottom w:val="0"/>
          <w:divBdr>
            <w:top w:val="none" w:sz="0" w:space="0" w:color="auto"/>
            <w:left w:val="none" w:sz="0" w:space="0" w:color="auto"/>
            <w:bottom w:val="none" w:sz="0" w:space="0" w:color="auto"/>
            <w:right w:val="none" w:sz="0" w:space="0" w:color="auto"/>
          </w:divBdr>
        </w:div>
        <w:div w:id="1400403394">
          <w:marLeft w:val="480"/>
          <w:marRight w:val="0"/>
          <w:marTop w:val="0"/>
          <w:marBottom w:val="0"/>
          <w:divBdr>
            <w:top w:val="none" w:sz="0" w:space="0" w:color="auto"/>
            <w:left w:val="none" w:sz="0" w:space="0" w:color="auto"/>
            <w:bottom w:val="none" w:sz="0" w:space="0" w:color="auto"/>
            <w:right w:val="none" w:sz="0" w:space="0" w:color="auto"/>
          </w:divBdr>
        </w:div>
        <w:div w:id="1415319693">
          <w:marLeft w:val="480"/>
          <w:marRight w:val="0"/>
          <w:marTop w:val="0"/>
          <w:marBottom w:val="0"/>
          <w:divBdr>
            <w:top w:val="none" w:sz="0" w:space="0" w:color="auto"/>
            <w:left w:val="none" w:sz="0" w:space="0" w:color="auto"/>
            <w:bottom w:val="none" w:sz="0" w:space="0" w:color="auto"/>
            <w:right w:val="none" w:sz="0" w:space="0" w:color="auto"/>
          </w:divBdr>
        </w:div>
        <w:div w:id="1465195257">
          <w:marLeft w:val="480"/>
          <w:marRight w:val="0"/>
          <w:marTop w:val="0"/>
          <w:marBottom w:val="0"/>
          <w:divBdr>
            <w:top w:val="none" w:sz="0" w:space="0" w:color="auto"/>
            <w:left w:val="none" w:sz="0" w:space="0" w:color="auto"/>
            <w:bottom w:val="none" w:sz="0" w:space="0" w:color="auto"/>
            <w:right w:val="none" w:sz="0" w:space="0" w:color="auto"/>
          </w:divBdr>
        </w:div>
        <w:div w:id="1483473578">
          <w:marLeft w:val="480"/>
          <w:marRight w:val="0"/>
          <w:marTop w:val="0"/>
          <w:marBottom w:val="0"/>
          <w:divBdr>
            <w:top w:val="none" w:sz="0" w:space="0" w:color="auto"/>
            <w:left w:val="none" w:sz="0" w:space="0" w:color="auto"/>
            <w:bottom w:val="none" w:sz="0" w:space="0" w:color="auto"/>
            <w:right w:val="none" w:sz="0" w:space="0" w:color="auto"/>
          </w:divBdr>
        </w:div>
        <w:div w:id="1549800585">
          <w:marLeft w:val="480"/>
          <w:marRight w:val="0"/>
          <w:marTop w:val="0"/>
          <w:marBottom w:val="0"/>
          <w:divBdr>
            <w:top w:val="none" w:sz="0" w:space="0" w:color="auto"/>
            <w:left w:val="none" w:sz="0" w:space="0" w:color="auto"/>
            <w:bottom w:val="none" w:sz="0" w:space="0" w:color="auto"/>
            <w:right w:val="none" w:sz="0" w:space="0" w:color="auto"/>
          </w:divBdr>
        </w:div>
        <w:div w:id="1576209936">
          <w:marLeft w:val="480"/>
          <w:marRight w:val="0"/>
          <w:marTop w:val="0"/>
          <w:marBottom w:val="0"/>
          <w:divBdr>
            <w:top w:val="none" w:sz="0" w:space="0" w:color="auto"/>
            <w:left w:val="none" w:sz="0" w:space="0" w:color="auto"/>
            <w:bottom w:val="none" w:sz="0" w:space="0" w:color="auto"/>
            <w:right w:val="none" w:sz="0" w:space="0" w:color="auto"/>
          </w:divBdr>
        </w:div>
        <w:div w:id="1595212780">
          <w:marLeft w:val="480"/>
          <w:marRight w:val="0"/>
          <w:marTop w:val="0"/>
          <w:marBottom w:val="0"/>
          <w:divBdr>
            <w:top w:val="none" w:sz="0" w:space="0" w:color="auto"/>
            <w:left w:val="none" w:sz="0" w:space="0" w:color="auto"/>
            <w:bottom w:val="none" w:sz="0" w:space="0" w:color="auto"/>
            <w:right w:val="none" w:sz="0" w:space="0" w:color="auto"/>
          </w:divBdr>
        </w:div>
        <w:div w:id="1619727031">
          <w:marLeft w:val="480"/>
          <w:marRight w:val="0"/>
          <w:marTop w:val="0"/>
          <w:marBottom w:val="0"/>
          <w:divBdr>
            <w:top w:val="none" w:sz="0" w:space="0" w:color="auto"/>
            <w:left w:val="none" w:sz="0" w:space="0" w:color="auto"/>
            <w:bottom w:val="none" w:sz="0" w:space="0" w:color="auto"/>
            <w:right w:val="none" w:sz="0" w:space="0" w:color="auto"/>
          </w:divBdr>
        </w:div>
        <w:div w:id="1623000719">
          <w:marLeft w:val="480"/>
          <w:marRight w:val="0"/>
          <w:marTop w:val="0"/>
          <w:marBottom w:val="0"/>
          <w:divBdr>
            <w:top w:val="none" w:sz="0" w:space="0" w:color="auto"/>
            <w:left w:val="none" w:sz="0" w:space="0" w:color="auto"/>
            <w:bottom w:val="none" w:sz="0" w:space="0" w:color="auto"/>
            <w:right w:val="none" w:sz="0" w:space="0" w:color="auto"/>
          </w:divBdr>
        </w:div>
        <w:div w:id="1657952044">
          <w:marLeft w:val="480"/>
          <w:marRight w:val="0"/>
          <w:marTop w:val="0"/>
          <w:marBottom w:val="0"/>
          <w:divBdr>
            <w:top w:val="none" w:sz="0" w:space="0" w:color="auto"/>
            <w:left w:val="none" w:sz="0" w:space="0" w:color="auto"/>
            <w:bottom w:val="none" w:sz="0" w:space="0" w:color="auto"/>
            <w:right w:val="none" w:sz="0" w:space="0" w:color="auto"/>
          </w:divBdr>
        </w:div>
        <w:div w:id="1683506670">
          <w:marLeft w:val="480"/>
          <w:marRight w:val="0"/>
          <w:marTop w:val="0"/>
          <w:marBottom w:val="0"/>
          <w:divBdr>
            <w:top w:val="none" w:sz="0" w:space="0" w:color="auto"/>
            <w:left w:val="none" w:sz="0" w:space="0" w:color="auto"/>
            <w:bottom w:val="none" w:sz="0" w:space="0" w:color="auto"/>
            <w:right w:val="none" w:sz="0" w:space="0" w:color="auto"/>
          </w:divBdr>
        </w:div>
        <w:div w:id="1715033258">
          <w:marLeft w:val="480"/>
          <w:marRight w:val="0"/>
          <w:marTop w:val="0"/>
          <w:marBottom w:val="0"/>
          <w:divBdr>
            <w:top w:val="none" w:sz="0" w:space="0" w:color="auto"/>
            <w:left w:val="none" w:sz="0" w:space="0" w:color="auto"/>
            <w:bottom w:val="none" w:sz="0" w:space="0" w:color="auto"/>
            <w:right w:val="none" w:sz="0" w:space="0" w:color="auto"/>
          </w:divBdr>
        </w:div>
        <w:div w:id="1721588216">
          <w:marLeft w:val="480"/>
          <w:marRight w:val="0"/>
          <w:marTop w:val="0"/>
          <w:marBottom w:val="0"/>
          <w:divBdr>
            <w:top w:val="none" w:sz="0" w:space="0" w:color="auto"/>
            <w:left w:val="none" w:sz="0" w:space="0" w:color="auto"/>
            <w:bottom w:val="none" w:sz="0" w:space="0" w:color="auto"/>
            <w:right w:val="none" w:sz="0" w:space="0" w:color="auto"/>
          </w:divBdr>
        </w:div>
        <w:div w:id="1745181818">
          <w:marLeft w:val="480"/>
          <w:marRight w:val="0"/>
          <w:marTop w:val="0"/>
          <w:marBottom w:val="0"/>
          <w:divBdr>
            <w:top w:val="none" w:sz="0" w:space="0" w:color="auto"/>
            <w:left w:val="none" w:sz="0" w:space="0" w:color="auto"/>
            <w:bottom w:val="none" w:sz="0" w:space="0" w:color="auto"/>
            <w:right w:val="none" w:sz="0" w:space="0" w:color="auto"/>
          </w:divBdr>
        </w:div>
        <w:div w:id="1773276350">
          <w:marLeft w:val="480"/>
          <w:marRight w:val="0"/>
          <w:marTop w:val="0"/>
          <w:marBottom w:val="0"/>
          <w:divBdr>
            <w:top w:val="none" w:sz="0" w:space="0" w:color="auto"/>
            <w:left w:val="none" w:sz="0" w:space="0" w:color="auto"/>
            <w:bottom w:val="none" w:sz="0" w:space="0" w:color="auto"/>
            <w:right w:val="none" w:sz="0" w:space="0" w:color="auto"/>
          </w:divBdr>
        </w:div>
        <w:div w:id="1775322863">
          <w:marLeft w:val="480"/>
          <w:marRight w:val="0"/>
          <w:marTop w:val="0"/>
          <w:marBottom w:val="0"/>
          <w:divBdr>
            <w:top w:val="none" w:sz="0" w:space="0" w:color="auto"/>
            <w:left w:val="none" w:sz="0" w:space="0" w:color="auto"/>
            <w:bottom w:val="none" w:sz="0" w:space="0" w:color="auto"/>
            <w:right w:val="none" w:sz="0" w:space="0" w:color="auto"/>
          </w:divBdr>
        </w:div>
        <w:div w:id="1810632870">
          <w:marLeft w:val="480"/>
          <w:marRight w:val="0"/>
          <w:marTop w:val="0"/>
          <w:marBottom w:val="0"/>
          <w:divBdr>
            <w:top w:val="none" w:sz="0" w:space="0" w:color="auto"/>
            <w:left w:val="none" w:sz="0" w:space="0" w:color="auto"/>
            <w:bottom w:val="none" w:sz="0" w:space="0" w:color="auto"/>
            <w:right w:val="none" w:sz="0" w:space="0" w:color="auto"/>
          </w:divBdr>
        </w:div>
        <w:div w:id="1846942649">
          <w:marLeft w:val="480"/>
          <w:marRight w:val="0"/>
          <w:marTop w:val="0"/>
          <w:marBottom w:val="0"/>
          <w:divBdr>
            <w:top w:val="none" w:sz="0" w:space="0" w:color="auto"/>
            <w:left w:val="none" w:sz="0" w:space="0" w:color="auto"/>
            <w:bottom w:val="none" w:sz="0" w:space="0" w:color="auto"/>
            <w:right w:val="none" w:sz="0" w:space="0" w:color="auto"/>
          </w:divBdr>
        </w:div>
        <w:div w:id="1882940225">
          <w:marLeft w:val="480"/>
          <w:marRight w:val="0"/>
          <w:marTop w:val="0"/>
          <w:marBottom w:val="0"/>
          <w:divBdr>
            <w:top w:val="none" w:sz="0" w:space="0" w:color="auto"/>
            <w:left w:val="none" w:sz="0" w:space="0" w:color="auto"/>
            <w:bottom w:val="none" w:sz="0" w:space="0" w:color="auto"/>
            <w:right w:val="none" w:sz="0" w:space="0" w:color="auto"/>
          </w:divBdr>
        </w:div>
        <w:div w:id="1893495220">
          <w:marLeft w:val="480"/>
          <w:marRight w:val="0"/>
          <w:marTop w:val="0"/>
          <w:marBottom w:val="0"/>
          <w:divBdr>
            <w:top w:val="none" w:sz="0" w:space="0" w:color="auto"/>
            <w:left w:val="none" w:sz="0" w:space="0" w:color="auto"/>
            <w:bottom w:val="none" w:sz="0" w:space="0" w:color="auto"/>
            <w:right w:val="none" w:sz="0" w:space="0" w:color="auto"/>
          </w:divBdr>
        </w:div>
        <w:div w:id="2027125195">
          <w:marLeft w:val="480"/>
          <w:marRight w:val="0"/>
          <w:marTop w:val="0"/>
          <w:marBottom w:val="0"/>
          <w:divBdr>
            <w:top w:val="none" w:sz="0" w:space="0" w:color="auto"/>
            <w:left w:val="none" w:sz="0" w:space="0" w:color="auto"/>
            <w:bottom w:val="none" w:sz="0" w:space="0" w:color="auto"/>
            <w:right w:val="none" w:sz="0" w:space="0" w:color="auto"/>
          </w:divBdr>
        </w:div>
        <w:div w:id="2052339939">
          <w:marLeft w:val="480"/>
          <w:marRight w:val="0"/>
          <w:marTop w:val="0"/>
          <w:marBottom w:val="0"/>
          <w:divBdr>
            <w:top w:val="none" w:sz="0" w:space="0" w:color="auto"/>
            <w:left w:val="none" w:sz="0" w:space="0" w:color="auto"/>
            <w:bottom w:val="none" w:sz="0" w:space="0" w:color="auto"/>
            <w:right w:val="none" w:sz="0" w:space="0" w:color="auto"/>
          </w:divBdr>
        </w:div>
        <w:div w:id="2075397626">
          <w:marLeft w:val="480"/>
          <w:marRight w:val="0"/>
          <w:marTop w:val="0"/>
          <w:marBottom w:val="0"/>
          <w:divBdr>
            <w:top w:val="none" w:sz="0" w:space="0" w:color="auto"/>
            <w:left w:val="none" w:sz="0" w:space="0" w:color="auto"/>
            <w:bottom w:val="none" w:sz="0" w:space="0" w:color="auto"/>
            <w:right w:val="none" w:sz="0" w:space="0" w:color="auto"/>
          </w:divBdr>
        </w:div>
        <w:div w:id="2137024112">
          <w:marLeft w:val="480"/>
          <w:marRight w:val="0"/>
          <w:marTop w:val="0"/>
          <w:marBottom w:val="0"/>
          <w:divBdr>
            <w:top w:val="none" w:sz="0" w:space="0" w:color="auto"/>
            <w:left w:val="none" w:sz="0" w:space="0" w:color="auto"/>
            <w:bottom w:val="none" w:sz="0" w:space="0" w:color="auto"/>
            <w:right w:val="none" w:sz="0" w:space="0" w:color="auto"/>
          </w:divBdr>
        </w:div>
      </w:divsChild>
    </w:div>
    <w:div w:id="1699702115">
      <w:bodyDiv w:val="1"/>
      <w:marLeft w:val="0"/>
      <w:marRight w:val="0"/>
      <w:marTop w:val="0"/>
      <w:marBottom w:val="0"/>
      <w:divBdr>
        <w:top w:val="none" w:sz="0" w:space="0" w:color="auto"/>
        <w:left w:val="none" w:sz="0" w:space="0" w:color="auto"/>
        <w:bottom w:val="none" w:sz="0" w:space="0" w:color="auto"/>
        <w:right w:val="none" w:sz="0" w:space="0" w:color="auto"/>
      </w:divBdr>
    </w:div>
    <w:div w:id="1717780412">
      <w:bodyDiv w:val="1"/>
      <w:marLeft w:val="0"/>
      <w:marRight w:val="0"/>
      <w:marTop w:val="0"/>
      <w:marBottom w:val="0"/>
      <w:divBdr>
        <w:top w:val="none" w:sz="0" w:space="0" w:color="auto"/>
        <w:left w:val="none" w:sz="0" w:space="0" w:color="auto"/>
        <w:bottom w:val="none" w:sz="0" w:space="0" w:color="auto"/>
        <w:right w:val="none" w:sz="0" w:space="0" w:color="auto"/>
      </w:divBdr>
    </w:div>
    <w:div w:id="1720398842">
      <w:bodyDiv w:val="1"/>
      <w:marLeft w:val="0"/>
      <w:marRight w:val="0"/>
      <w:marTop w:val="0"/>
      <w:marBottom w:val="0"/>
      <w:divBdr>
        <w:top w:val="none" w:sz="0" w:space="0" w:color="auto"/>
        <w:left w:val="none" w:sz="0" w:space="0" w:color="auto"/>
        <w:bottom w:val="none" w:sz="0" w:space="0" w:color="auto"/>
        <w:right w:val="none" w:sz="0" w:space="0" w:color="auto"/>
      </w:divBdr>
    </w:div>
    <w:div w:id="1720864260">
      <w:bodyDiv w:val="1"/>
      <w:marLeft w:val="0"/>
      <w:marRight w:val="0"/>
      <w:marTop w:val="0"/>
      <w:marBottom w:val="0"/>
      <w:divBdr>
        <w:top w:val="none" w:sz="0" w:space="0" w:color="auto"/>
        <w:left w:val="none" w:sz="0" w:space="0" w:color="auto"/>
        <w:bottom w:val="none" w:sz="0" w:space="0" w:color="auto"/>
        <w:right w:val="none" w:sz="0" w:space="0" w:color="auto"/>
      </w:divBdr>
    </w:div>
    <w:div w:id="1720931027">
      <w:bodyDiv w:val="1"/>
      <w:marLeft w:val="0"/>
      <w:marRight w:val="0"/>
      <w:marTop w:val="0"/>
      <w:marBottom w:val="0"/>
      <w:divBdr>
        <w:top w:val="none" w:sz="0" w:space="0" w:color="auto"/>
        <w:left w:val="none" w:sz="0" w:space="0" w:color="auto"/>
        <w:bottom w:val="none" w:sz="0" w:space="0" w:color="auto"/>
        <w:right w:val="none" w:sz="0" w:space="0" w:color="auto"/>
      </w:divBdr>
    </w:div>
    <w:div w:id="1725332938">
      <w:bodyDiv w:val="1"/>
      <w:marLeft w:val="0"/>
      <w:marRight w:val="0"/>
      <w:marTop w:val="0"/>
      <w:marBottom w:val="0"/>
      <w:divBdr>
        <w:top w:val="none" w:sz="0" w:space="0" w:color="auto"/>
        <w:left w:val="none" w:sz="0" w:space="0" w:color="auto"/>
        <w:bottom w:val="none" w:sz="0" w:space="0" w:color="auto"/>
        <w:right w:val="none" w:sz="0" w:space="0" w:color="auto"/>
      </w:divBdr>
    </w:div>
    <w:div w:id="1728407165">
      <w:bodyDiv w:val="1"/>
      <w:marLeft w:val="0"/>
      <w:marRight w:val="0"/>
      <w:marTop w:val="0"/>
      <w:marBottom w:val="0"/>
      <w:divBdr>
        <w:top w:val="none" w:sz="0" w:space="0" w:color="auto"/>
        <w:left w:val="none" w:sz="0" w:space="0" w:color="auto"/>
        <w:bottom w:val="none" w:sz="0" w:space="0" w:color="auto"/>
        <w:right w:val="none" w:sz="0" w:space="0" w:color="auto"/>
      </w:divBdr>
    </w:div>
    <w:div w:id="1732002117">
      <w:bodyDiv w:val="1"/>
      <w:marLeft w:val="0"/>
      <w:marRight w:val="0"/>
      <w:marTop w:val="0"/>
      <w:marBottom w:val="0"/>
      <w:divBdr>
        <w:top w:val="none" w:sz="0" w:space="0" w:color="auto"/>
        <w:left w:val="none" w:sz="0" w:space="0" w:color="auto"/>
        <w:bottom w:val="none" w:sz="0" w:space="0" w:color="auto"/>
        <w:right w:val="none" w:sz="0" w:space="0" w:color="auto"/>
      </w:divBdr>
    </w:div>
    <w:div w:id="1734891494">
      <w:bodyDiv w:val="1"/>
      <w:marLeft w:val="0"/>
      <w:marRight w:val="0"/>
      <w:marTop w:val="0"/>
      <w:marBottom w:val="0"/>
      <w:divBdr>
        <w:top w:val="none" w:sz="0" w:space="0" w:color="auto"/>
        <w:left w:val="none" w:sz="0" w:space="0" w:color="auto"/>
        <w:bottom w:val="none" w:sz="0" w:space="0" w:color="auto"/>
        <w:right w:val="none" w:sz="0" w:space="0" w:color="auto"/>
      </w:divBdr>
    </w:div>
    <w:div w:id="1736313005">
      <w:bodyDiv w:val="1"/>
      <w:marLeft w:val="0"/>
      <w:marRight w:val="0"/>
      <w:marTop w:val="0"/>
      <w:marBottom w:val="0"/>
      <w:divBdr>
        <w:top w:val="none" w:sz="0" w:space="0" w:color="auto"/>
        <w:left w:val="none" w:sz="0" w:space="0" w:color="auto"/>
        <w:bottom w:val="none" w:sz="0" w:space="0" w:color="auto"/>
        <w:right w:val="none" w:sz="0" w:space="0" w:color="auto"/>
      </w:divBdr>
    </w:div>
    <w:div w:id="1738434080">
      <w:bodyDiv w:val="1"/>
      <w:marLeft w:val="0"/>
      <w:marRight w:val="0"/>
      <w:marTop w:val="0"/>
      <w:marBottom w:val="0"/>
      <w:divBdr>
        <w:top w:val="none" w:sz="0" w:space="0" w:color="auto"/>
        <w:left w:val="none" w:sz="0" w:space="0" w:color="auto"/>
        <w:bottom w:val="none" w:sz="0" w:space="0" w:color="auto"/>
        <w:right w:val="none" w:sz="0" w:space="0" w:color="auto"/>
      </w:divBdr>
    </w:div>
    <w:div w:id="1750348442">
      <w:bodyDiv w:val="1"/>
      <w:marLeft w:val="0"/>
      <w:marRight w:val="0"/>
      <w:marTop w:val="0"/>
      <w:marBottom w:val="0"/>
      <w:divBdr>
        <w:top w:val="none" w:sz="0" w:space="0" w:color="auto"/>
        <w:left w:val="none" w:sz="0" w:space="0" w:color="auto"/>
        <w:bottom w:val="none" w:sz="0" w:space="0" w:color="auto"/>
        <w:right w:val="none" w:sz="0" w:space="0" w:color="auto"/>
      </w:divBdr>
    </w:div>
    <w:div w:id="1753233953">
      <w:bodyDiv w:val="1"/>
      <w:marLeft w:val="0"/>
      <w:marRight w:val="0"/>
      <w:marTop w:val="0"/>
      <w:marBottom w:val="0"/>
      <w:divBdr>
        <w:top w:val="none" w:sz="0" w:space="0" w:color="auto"/>
        <w:left w:val="none" w:sz="0" w:space="0" w:color="auto"/>
        <w:bottom w:val="none" w:sz="0" w:space="0" w:color="auto"/>
        <w:right w:val="none" w:sz="0" w:space="0" w:color="auto"/>
      </w:divBdr>
    </w:div>
    <w:div w:id="1755007571">
      <w:bodyDiv w:val="1"/>
      <w:marLeft w:val="0"/>
      <w:marRight w:val="0"/>
      <w:marTop w:val="0"/>
      <w:marBottom w:val="0"/>
      <w:divBdr>
        <w:top w:val="none" w:sz="0" w:space="0" w:color="auto"/>
        <w:left w:val="none" w:sz="0" w:space="0" w:color="auto"/>
        <w:bottom w:val="none" w:sz="0" w:space="0" w:color="auto"/>
        <w:right w:val="none" w:sz="0" w:space="0" w:color="auto"/>
      </w:divBdr>
    </w:div>
    <w:div w:id="1774399897">
      <w:bodyDiv w:val="1"/>
      <w:marLeft w:val="0"/>
      <w:marRight w:val="0"/>
      <w:marTop w:val="0"/>
      <w:marBottom w:val="0"/>
      <w:divBdr>
        <w:top w:val="none" w:sz="0" w:space="0" w:color="auto"/>
        <w:left w:val="none" w:sz="0" w:space="0" w:color="auto"/>
        <w:bottom w:val="none" w:sz="0" w:space="0" w:color="auto"/>
        <w:right w:val="none" w:sz="0" w:space="0" w:color="auto"/>
      </w:divBdr>
    </w:div>
    <w:div w:id="1779593236">
      <w:bodyDiv w:val="1"/>
      <w:marLeft w:val="0"/>
      <w:marRight w:val="0"/>
      <w:marTop w:val="0"/>
      <w:marBottom w:val="0"/>
      <w:divBdr>
        <w:top w:val="none" w:sz="0" w:space="0" w:color="auto"/>
        <w:left w:val="none" w:sz="0" w:space="0" w:color="auto"/>
        <w:bottom w:val="none" w:sz="0" w:space="0" w:color="auto"/>
        <w:right w:val="none" w:sz="0" w:space="0" w:color="auto"/>
      </w:divBdr>
    </w:div>
    <w:div w:id="1782335003">
      <w:bodyDiv w:val="1"/>
      <w:marLeft w:val="0"/>
      <w:marRight w:val="0"/>
      <w:marTop w:val="0"/>
      <w:marBottom w:val="0"/>
      <w:divBdr>
        <w:top w:val="none" w:sz="0" w:space="0" w:color="auto"/>
        <w:left w:val="none" w:sz="0" w:space="0" w:color="auto"/>
        <w:bottom w:val="none" w:sz="0" w:space="0" w:color="auto"/>
        <w:right w:val="none" w:sz="0" w:space="0" w:color="auto"/>
      </w:divBdr>
    </w:div>
    <w:div w:id="1785729429">
      <w:bodyDiv w:val="1"/>
      <w:marLeft w:val="0"/>
      <w:marRight w:val="0"/>
      <w:marTop w:val="0"/>
      <w:marBottom w:val="0"/>
      <w:divBdr>
        <w:top w:val="none" w:sz="0" w:space="0" w:color="auto"/>
        <w:left w:val="none" w:sz="0" w:space="0" w:color="auto"/>
        <w:bottom w:val="none" w:sz="0" w:space="0" w:color="auto"/>
        <w:right w:val="none" w:sz="0" w:space="0" w:color="auto"/>
      </w:divBdr>
    </w:div>
    <w:div w:id="1790778037">
      <w:bodyDiv w:val="1"/>
      <w:marLeft w:val="0"/>
      <w:marRight w:val="0"/>
      <w:marTop w:val="0"/>
      <w:marBottom w:val="0"/>
      <w:divBdr>
        <w:top w:val="none" w:sz="0" w:space="0" w:color="auto"/>
        <w:left w:val="none" w:sz="0" w:space="0" w:color="auto"/>
        <w:bottom w:val="none" w:sz="0" w:space="0" w:color="auto"/>
        <w:right w:val="none" w:sz="0" w:space="0" w:color="auto"/>
      </w:divBdr>
    </w:div>
    <w:div w:id="1810321592">
      <w:bodyDiv w:val="1"/>
      <w:marLeft w:val="0"/>
      <w:marRight w:val="0"/>
      <w:marTop w:val="0"/>
      <w:marBottom w:val="0"/>
      <w:divBdr>
        <w:top w:val="none" w:sz="0" w:space="0" w:color="auto"/>
        <w:left w:val="none" w:sz="0" w:space="0" w:color="auto"/>
        <w:bottom w:val="none" w:sz="0" w:space="0" w:color="auto"/>
        <w:right w:val="none" w:sz="0" w:space="0" w:color="auto"/>
      </w:divBdr>
    </w:div>
    <w:div w:id="1810854694">
      <w:bodyDiv w:val="1"/>
      <w:marLeft w:val="0"/>
      <w:marRight w:val="0"/>
      <w:marTop w:val="0"/>
      <w:marBottom w:val="0"/>
      <w:divBdr>
        <w:top w:val="none" w:sz="0" w:space="0" w:color="auto"/>
        <w:left w:val="none" w:sz="0" w:space="0" w:color="auto"/>
        <w:bottom w:val="none" w:sz="0" w:space="0" w:color="auto"/>
        <w:right w:val="none" w:sz="0" w:space="0" w:color="auto"/>
      </w:divBdr>
    </w:div>
    <w:div w:id="1813668630">
      <w:bodyDiv w:val="1"/>
      <w:marLeft w:val="0"/>
      <w:marRight w:val="0"/>
      <w:marTop w:val="0"/>
      <w:marBottom w:val="0"/>
      <w:divBdr>
        <w:top w:val="none" w:sz="0" w:space="0" w:color="auto"/>
        <w:left w:val="none" w:sz="0" w:space="0" w:color="auto"/>
        <w:bottom w:val="none" w:sz="0" w:space="0" w:color="auto"/>
        <w:right w:val="none" w:sz="0" w:space="0" w:color="auto"/>
      </w:divBdr>
    </w:div>
    <w:div w:id="1817840508">
      <w:bodyDiv w:val="1"/>
      <w:marLeft w:val="0"/>
      <w:marRight w:val="0"/>
      <w:marTop w:val="0"/>
      <w:marBottom w:val="0"/>
      <w:divBdr>
        <w:top w:val="none" w:sz="0" w:space="0" w:color="auto"/>
        <w:left w:val="none" w:sz="0" w:space="0" w:color="auto"/>
        <w:bottom w:val="none" w:sz="0" w:space="0" w:color="auto"/>
        <w:right w:val="none" w:sz="0" w:space="0" w:color="auto"/>
      </w:divBdr>
    </w:div>
    <w:div w:id="1818841545">
      <w:bodyDiv w:val="1"/>
      <w:marLeft w:val="0"/>
      <w:marRight w:val="0"/>
      <w:marTop w:val="0"/>
      <w:marBottom w:val="0"/>
      <w:divBdr>
        <w:top w:val="none" w:sz="0" w:space="0" w:color="auto"/>
        <w:left w:val="none" w:sz="0" w:space="0" w:color="auto"/>
        <w:bottom w:val="none" w:sz="0" w:space="0" w:color="auto"/>
        <w:right w:val="none" w:sz="0" w:space="0" w:color="auto"/>
      </w:divBdr>
    </w:div>
    <w:div w:id="1823423075">
      <w:bodyDiv w:val="1"/>
      <w:marLeft w:val="0"/>
      <w:marRight w:val="0"/>
      <w:marTop w:val="0"/>
      <w:marBottom w:val="0"/>
      <w:divBdr>
        <w:top w:val="none" w:sz="0" w:space="0" w:color="auto"/>
        <w:left w:val="none" w:sz="0" w:space="0" w:color="auto"/>
        <w:bottom w:val="none" w:sz="0" w:space="0" w:color="auto"/>
        <w:right w:val="none" w:sz="0" w:space="0" w:color="auto"/>
      </w:divBdr>
    </w:div>
    <w:div w:id="1824155762">
      <w:bodyDiv w:val="1"/>
      <w:marLeft w:val="0"/>
      <w:marRight w:val="0"/>
      <w:marTop w:val="0"/>
      <w:marBottom w:val="0"/>
      <w:divBdr>
        <w:top w:val="none" w:sz="0" w:space="0" w:color="auto"/>
        <w:left w:val="none" w:sz="0" w:space="0" w:color="auto"/>
        <w:bottom w:val="none" w:sz="0" w:space="0" w:color="auto"/>
        <w:right w:val="none" w:sz="0" w:space="0" w:color="auto"/>
      </w:divBdr>
    </w:div>
    <w:div w:id="1837108276">
      <w:bodyDiv w:val="1"/>
      <w:marLeft w:val="0"/>
      <w:marRight w:val="0"/>
      <w:marTop w:val="0"/>
      <w:marBottom w:val="0"/>
      <w:divBdr>
        <w:top w:val="none" w:sz="0" w:space="0" w:color="auto"/>
        <w:left w:val="none" w:sz="0" w:space="0" w:color="auto"/>
        <w:bottom w:val="none" w:sz="0" w:space="0" w:color="auto"/>
        <w:right w:val="none" w:sz="0" w:space="0" w:color="auto"/>
      </w:divBdr>
    </w:div>
    <w:div w:id="1837457525">
      <w:bodyDiv w:val="1"/>
      <w:marLeft w:val="0"/>
      <w:marRight w:val="0"/>
      <w:marTop w:val="0"/>
      <w:marBottom w:val="0"/>
      <w:divBdr>
        <w:top w:val="none" w:sz="0" w:space="0" w:color="auto"/>
        <w:left w:val="none" w:sz="0" w:space="0" w:color="auto"/>
        <w:bottom w:val="none" w:sz="0" w:space="0" w:color="auto"/>
        <w:right w:val="none" w:sz="0" w:space="0" w:color="auto"/>
      </w:divBdr>
    </w:div>
    <w:div w:id="1841575155">
      <w:bodyDiv w:val="1"/>
      <w:marLeft w:val="0"/>
      <w:marRight w:val="0"/>
      <w:marTop w:val="0"/>
      <w:marBottom w:val="0"/>
      <w:divBdr>
        <w:top w:val="none" w:sz="0" w:space="0" w:color="auto"/>
        <w:left w:val="none" w:sz="0" w:space="0" w:color="auto"/>
        <w:bottom w:val="none" w:sz="0" w:space="0" w:color="auto"/>
        <w:right w:val="none" w:sz="0" w:space="0" w:color="auto"/>
      </w:divBdr>
    </w:div>
    <w:div w:id="1844203846">
      <w:bodyDiv w:val="1"/>
      <w:marLeft w:val="0"/>
      <w:marRight w:val="0"/>
      <w:marTop w:val="0"/>
      <w:marBottom w:val="0"/>
      <w:divBdr>
        <w:top w:val="none" w:sz="0" w:space="0" w:color="auto"/>
        <w:left w:val="none" w:sz="0" w:space="0" w:color="auto"/>
        <w:bottom w:val="none" w:sz="0" w:space="0" w:color="auto"/>
        <w:right w:val="none" w:sz="0" w:space="0" w:color="auto"/>
      </w:divBdr>
    </w:div>
    <w:div w:id="1851525558">
      <w:bodyDiv w:val="1"/>
      <w:marLeft w:val="0"/>
      <w:marRight w:val="0"/>
      <w:marTop w:val="0"/>
      <w:marBottom w:val="0"/>
      <w:divBdr>
        <w:top w:val="none" w:sz="0" w:space="0" w:color="auto"/>
        <w:left w:val="none" w:sz="0" w:space="0" w:color="auto"/>
        <w:bottom w:val="none" w:sz="0" w:space="0" w:color="auto"/>
        <w:right w:val="none" w:sz="0" w:space="0" w:color="auto"/>
      </w:divBdr>
    </w:div>
    <w:div w:id="1855535660">
      <w:bodyDiv w:val="1"/>
      <w:marLeft w:val="0"/>
      <w:marRight w:val="0"/>
      <w:marTop w:val="0"/>
      <w:marBottom w:val="0"/>
      <w:divBdr>
        <w:top w:val="none" w:sz="0" w:space="0" w:color="auto"/>
        <w:left w:val="none" w:sz="0" w:space="0" w:color="auto"/>
        <w:bottom w:val="none" w:sz="0" w:space="0" w:color="auto"/>
        <w:right w:val="none" w:sz="0" w:space="0" w:color="auto"/>
      </w:divBdr>
    </w:div>
    <w:div w:id="1861040482">
      <w:bodyDiv w:val="1"/>
      <w:marLeft w:val="0"/>
      <w:marRight w:val="0"/>
      <w:marTop w:val="0"/>
      <w:marBottom w:val="0"/>
      <w:divBdr>
        <w:top w:val="none" w:sz="0" w:space="0" w:color="auto"/>
        <w:left w:val="none" w:sz="0" w:space="0" w:color="auto"/>
        <w:bottom w:val="none" w:sz="0" w:space="0" w:color="auto"/>
        <w:right w:val="none" w:sz="0" w:space="0" w:color="auto"/>
      </w:divBdr>
    </w:div>
    <w:div w:id="1874029176">
      <w:bodyDiv w:val="1"/>
      <w:marLeft w:val="0"/>
      <w:marRight w:val="0"/>
      <w:marTop w:val="0"/>
      <w:marBottom w:val="0"/>
      <w:divBdr>
        <w:top w:val="none" w:sz="0" w:space="0" w:color="auto"/>
        <w:left w:val="none" w:sz="0" w:space="0" w:color="auto"/>
        <w:bottom w:val="none" w:sz="0" w:space="0" w:color="auto"/>
        <w:right w:val="none" w:sz="0" w:space="0" w:color="auto"/>
      </w:divBdr>
    </w:div>
    <w:div w:id="1874147646">
      <w:bodyDiv w:val="1"/>
      <w:marLeft w:val="0"/>
      <w:marRight w:val="0"/>
      <w:marTop w:val="0"/>
      <w:marBottom w:val="0"/>
      <w:divBdr>
        <w:top w:val="none" w:sz="0" w:space="0" w:color="auto"/>
        <w:left w:val="none" w:sz="0" w:space="0" w:color="auto"/>
        <w:bottom w:val="none" w:sz="0" w:space="0" w:color="auto"/>
        <w:right w:val="none" w:sz="0" w:space="0" w:color="auto"/>
      </w:divBdr>
    </w:div>
    <w:div w:id="1876623406">
      <w:bodyDiv w:val="1"/>
      <w:marLeft w:val="0"/>
      <w:marRight w:val="0"/>
      <w:marTop w:val="0"/>
      <w:marBottom w:val="0"/>
      <w:divBdr>
        <w:top w:val="none" w:sz="0" w:space="0" w:color="auto"/>
        <w:left w:val="none" w:sz="0" w:space="0" w:color="auto"/>
        <w:bottom w:val="none" w:sz="0" w:space="0" w:color="auto"/>
        <w:right w:val="none" w:sz="0" w:space="0" w:color="auto"/>
      </w:divBdr>
    </w:div>
    <w:div w:id="1877423654">
      <w:bodyDiv w:val="1"/>
      <w:marLeft w:val="0"/>
      <w:marRight w:val="0"/>
      <w:marTop w:val="0"/>
      <w:marBottom w:val="0"/>
      <w:divBdr>
        <w:top w:val="none" w:sz="0" w:space="0" w:color="auto"/>
        <w:left w:val="none" w:sz="0" w:space="0" w:color="auto"/>
        <w:bottom w:val="none" w:sz="0" w:space="0" w:color="auto"/>
        <w:right w:val="none" w:sz="0" w:space="0" w:color="auto"/>
      </w:divBdr>
    </w:div>
    <w:div w:id="1877934327">
      <w:bodyDiv w:val="1"/>
      <w:marLeft w:val="0"/>
      <w:marRight w:val="0"/>
      <w:marTop w:val="0"/>
      <w:marBottom w:val="0"/>
      <w:divBdr>
        <w:top w:val="none" w:sz="0" w:space="0" w:color="auto"/>
        <w:left w:val="none" w:sz="0" w:space="0" w:color="auto"/>
        <w:bottom w:val="none" w:sz="0" w:space="0" w:color="auto"/>
        <w:right w:val="none" w:sz="0" w:space="0" w:color="auto"/>
      </w:divBdr>
    </w:div>
    <w:div w:id="1879968235">
      <w:bodyDiv w:val="1"/>
      <w:marLeft w:val="0"/>
      <w:marRight w:val="0"/>
      <w:marTop w:val="0"/>
      <w:marBottom w:val="0"/>
      <w:divBdr>
        <w:top w:val="none" w:sz="0" w:space="0" w:color="auto"/>
        <w:left w:val="none" w:sz="0" w:space="0" w:color="auto"/>
        <w:bottom w:val="none" w:sz="0" w:space="0" w:color="auto"/>
        <w:right w:val="none" w:sz="0" w:space="0" w:color="auto"/>
      </w:divBdr>
    </w:div>
    <w:div w:id="1880311568">
      <w:bodyDiv w:val="1"/>
      <w:marLeft w:val="0"/>
      <w:marRight w:val="0"/>
      <w:marTop w:val="0"/>
      <w:marBottom w:val="0"/>
      <w:divBdr>
        <w:top w:val="none" w:sz="0" w:space="0" w:color="auto"/>
        <w:left w:val="none" w:sz="0" w:space="0" w:color="auto"/>
        <w:bottom w:val="none" w:sz="0" w:space="0" w:color="auto"/>
        <w:right w:val="none" w:sz="0" w:space="0" w:color="auto"/>
      </w:divBdr>
    </w:div>
    <w:div w:id="1880556891">
      <w:bodyDiv w:val="1"/>
      <w:marLeft w:val="0"/>
      <w:marRight w:val="0"/>
      <w:marTop w:val="0"/>
      <w:marBottom w:val="0"/>
      <w:divBdr>
        <w:top w:val="none" w:sz="0" w:space="0" w:color="auto"/>
        <w:left w:val="none" w:sz="0" w:space="0" w:color="auto"/>
        <w:bottom w:val="none" w:sz="0" w:space="0" w:color="auto"/>
        <w:right w:val="none" w:sz="0" w:space="0" w:color="auto"/>
      </w:divBdr>
    </w:div>
    <w:div w:id="1896507153">
      <w:bodyDiv w:val="1"/>
      <w:marLeft w:val="0"/>
      <w:marRight w:val="0"/>
      <w:marTop w:val="0"/>
      <w:marBottom w:val="0"/>
      <w:divBdr>
        <w:top w:val="none" w:sz="0" w:space="0" w:color="auto"/>
        <w:left w:val="none" w:sz="0" w:space="0" w:color="auto"/>
        <w:bottom w:val="none" w:sz="0" w:space="0" w:color="auto"/>
        <w:right w:val="none" w:sz="0" w:space="0" w:color="auto"/>
      </w:divBdr>
    </w:div>
    <w:div w:id="1906601219">
      <w:bodyDiv w:val="1"/>
      <w:marLeft w:val="0"/>
      <w:marRight w:val="0"/>
      <w:marTop w:val="0"/>
      <w:marBottom w:val="0"/>
      <w:divBdr>
        <w:top w:val="none" w:sz="0" w:space="0" w:color="auto"/>
        <w:left w:val="none" w:sz="0" w:space="0" w:color="auto"/>
        <w:bottom w:val="none" w:sz="0" w:space="0" w:color="auto"/>
        <w:right w:val="none" w:sz="0" w:space="0" w:color="auto"/>
      </w:divBdr>
    </w:div>
    <w:div w:id="1916547283">
      <w:bodyDiv w:val="1"/>
      <w:marLeft w:val="0"/>
      <w:marRight w:val="0"/>
      <w:marTop w:val="0"/>
      <w:marBottom w:val="0"/>
      <w:divBdr>
        <w:top w:val="none" w:sz="0" w:space="0" w:color="auto"/>
        <w:left w:val="none" w:sz="0" w:space="0" w:color="auto"/>
        <w:bottom w:val="none" w:sz="0" w:space="0" w:color="auto"/>
        <w:right w:val="none" w:sz="0" w:space="0" w:color="auto"/>
      </w:divBdr>
    </w:div>
    <w:div w:id="1920141133">
      <w:bodyDiv w:val="1"/>
      <w:marLeft w:val="0"/>
      <w:marRight w:val="0"/>
      <w:marTop w:val="0"/>
      <w:marBottom w:val="0"/>
      <w:divBdr>
        <w:top w:val="none" w:sz="0" w:space="0" w:color="auto"/>
        <w:left w:val="none" w:sz="0" w:space="0" w:color="auto"/>
        <w:bottom w:val="none" w:sz="0" w:space="0" w:color="auto"/>
        <w:right w:val="none" w:sz="0" w:space="0" w:color="auto"/>
      </w:divBdr>
    </w:div>
    <w:div w:id="1928034106">
      <w:bodyDiv w:val="1"/>
      <w:marLeft w:val="0"/>
      <w:marRight w:val="0"/>
      <w:marTop w:val="0"/>
      <w:marBottom w:val="0"/>
      <w:divBdr>
        <w:top w:val="none" w:sz="0" w:space="0" w:color="auto"/>
        <w:left w:val="none" w:sz="0" w:space="0" w:color="auto"/>
        <w:bottom w:val="none" w:sz="0" w:space="0" w:color="auto"/>
        <w:right w:val="none" w:sz="0" w:space="0" w:color="auto"/>
      </w:divBdr>
      <w:divsChild>
        <w:div w:id="26830804">
          <w:marLeft w:val="480"/>
          <w:marRight w:val="0"/>
          <w:marTop w:val="0"/>
          <w:marBottom w:val="0"/>
          <w:divBdr>
            <w:top w:val="none" w:sz="0" w:space="0" w:color="auto"/>
            <w:left w:val="none" w:sz="0" w:space="0" w:color="auto"/>
            <w:bottom w:val="none" w:sz="0" w:space="0" w:color="auto"/>
            <w:right w:val="none" w:sz="0" w:space="0" w:color="auto"/>
          </w:divBdr>
        </w:div>
        <w:div w:id="97258070">
          <w:marLeft w:val="480"/>
          <w:marRight w:val="0"/>
          <w:marTop w:val="0"/>
          <w:marBottom w:val="0"/>
          <w:divBdr>
            <w:top w:val="none" w:sz="0" w:space="0" w:color="auto"/>
            <w:left w:val="none" w:sz="0" w:space="0" w:color="auto"/>
            <w:bottom w:val="none" w:sz="0" w:space="0" w:color="auto"/>
            <w:right w:val="none" w:sz="0" w:space="0" w:color="auto"/>
          </w:divBdr>
        </w:div>
        <w:div w:id="110436832">
          <w:marLeft w:val="480"/>
          <w:marRight w:val="0"/>
          <w:marTop w:val="0"/>
          <w:marBottom w:val="0"/>
          <w:divBdr>
            <w:top w:val="none" w:sz="0" w:space="0" w:color="auto"/>
            <w:left w:val="none" w:sz="0" w:space="0" w:color="auto"/>
            <w:bottom w:val="none" w:sz="0" w:space="0" w:color="auto"/>
            <w:right w:val="none" w:sz="0" w:space="0" w:color="auto"/>
          </w:divBdr>
        </w:div>
        <w:div w:id="160198167">
          <w:marLeft w:val="480"/>
          <w:marRight w:val="0"/>
          <w:marTop w:val="0"/>
          <w:marBottom w:val="0"/>
          <w:divBdr>
            <w:top w:val="none" w:sz="0" w:space="0" w:color="auto"/>
            <w:left w:val="none" w:sz="0" w:space="0" w:color="auto"/>
            <w:bottom w:val="none" w:sz="0" w:space="0" w:color="auto"/>
            <w:right w:val="none" w:sz="0" w:space="0" w:color="auto"/>
          </w:divBdr>
        </w:div>
        <w:div w:id="208616470">
          <w:marLeft w:val="480"/>
          <w:marRight w:val="0"/>
          <w:marTop w:val="0"/>
          <w:marBottom w:val="0"/>
          <w:divBdr>
            <w:top w:val="none" w:sz="0" w:space="0" w:color="auto"/>
            <w:left w:val="none" w:sz="0" w:space="0" w:color="auto"/>
            <w:bottom w:val="none" w:sz="0" w:space="0" w:color="auto"/>
            <w:right w:val="none" w:sz="0" w:space="0" w:color="auto"/>
          </w:divBdr>
        </w:div>
        <w:div w:id="225578605">
          <w:marLeft w:val="480"/>
          <w:marRight w:val="0"/>
          <w:marTop w:val="0"/>
          <w:marBottom w:val="0"/>
          <w:divBdr>
            <w:top w:val="none" w:sz="0" w:space="0" w:color="auto"/>
            <w:left w:val="none" w:sz="0" w:space="0" w:color="auto"/>
            <w:bottom w:val="none" w:sz="0" w:space="0" w:color="auto"/>
            <w:right w:val="none" w:sz="0" w:space="0" w:color="auto"/>
          </w:divBdr>
        </w:div>
        <w:div w:id="243102542">
          <w:marLeft w:val="480"/>
          <w:marRight w:val="0"/>
          <w:marTop w:val="0"/>
          <w:marBottom w:val="0"/>
          <w:divBdr>
            <w:top w:val="none" w:sz="0" w:space="0" w:color="auto"/>
            <w:left w:val="none" w:sz="0" w:space="0" w:color="auto"/>
            <w:bottom w:val="none" w:sz="0" w:space="0" w:color="auto"/>
            <w:right w:val="none" w:sz="0" w:space="0" w:color="auto"/>
          </w:divBdr>
        </w:div>
        <w:div w:id="274141203">
          <w:marLeft w:val="480"/>
          <w:marRight w:val="0"/>
          <w:marTop w:val="0"/>
          <w:marBottom w:val="0"/>
          <w:divBdr>
            <w:top w:val="none" w:sz="0" w:space="0" w:color="auto"/>
            <w:left w:val="none" w:sz="0" w:space="0" w:color="auto"/>
            <w:bottom w:val="none" w:sz="0" w:space="0" w:color="auto"/>
            <w:right w:val="none" w:sz="0" w:space="0" w:color="auto"/>
          </w:divBdr>
        </w:div>
        <w:div w:id="305015100">
          <w:marLeft w:val="480"/>
          <w:marRight w:val="0"/>
          <w:marTop w:val="0"/>
          <w:marBottom w:val="0"/>
          <w:divBdr>
            <w:top w:val="none" w:sz="0" w:space="0" w:color="auto"/>
            <w:left w:val="none" w:sz="0" w:space="0" w:color="auto"/>
            <w:bottom w:val="none" w:sz="0" w:space="0" w:color="auto"/>
            <w:right w:val="none" w:sz="0" w:space="0" w:color="auto"/>
          </w:divBdr>
        </w:div>
        <w:div w:id="336927460">
          <w:marLeft w:val="480"/>
          <w:marRight w:val="0"/>
          <w:marTop w:val="0"/>
          <w:marBottom w:val="0"/>
          <w:divBdr>
            <w:top w:val="none" w:sz="0" w:space="0" w:color="auto"/>
            <w:left w:val="none" w:sz="0" w:space="0" w:color="auto"/>
            <w:bottom w:val="none" w:sz="0" w:space="0" w:color="auto"/>
            <w:right w:val="none" w:sz="0" w:space="0" w:color="auto"/>
          </w:divBdr>
        </w:div>
        <w:div w:id="362362219">
          <w:marLeft w:val="480"/>
          <w:marRight w:val="0"/>
          <w:marTop w:val="0"/>
          <w:marBottom w:val="0"/>
          <w:divBdr>
            <w:top w:val="none" w:sz="0" w:space="0" w:color="auto"/>
            <w:left w:val="none" w:sz="0" w:space="0" w:color="auto"/>
            <w:bottom w:val="none" w:sz="0" w:space="0" w:color="auto"/>
            <w:right w:val="none" w:sz="0" w:space="0" w:color="auto"/>
          </w:divBdr>
        </w:div>
        <w:div w:id="445587944">
          <w:marLeft w:val="480"/>
          <w:marRight w:val="0"/>
          <w:marTop w:val="0"/>
          <w:marBottom w:val="0"/>
          <w:divBdr>
            <w:top w:val="none" w:sz="0" w:space="0" w:color="auto"/>
            <w:left w:val="none" w:sz="0" w:space="0" w:color="auto"/>
            <w:bottom w:val="none" w:sz="0" w:space="0" w:color="auto"/>
            <w:right w:val="none" w:sz="0" w:space="0" w:color="auto"/>
          </w:divBdr>
        </w:div>
        <w:div w:id="515117343">
          <w:marLeft w:val="480"/>
          <w:marRight w:val="0"/>
          <w:marTop w:val="0"/>
          <w:marBottom w:val="0"/>
          <w:divBdr>
            <w:top w:val="none" w:sz="0" w:space="0" w:color="auto"/>
            <w:left w:val="none" w:sz="0" w:space="0" w:color="auto"/>
            <w:bottom w:val="none" w:sz="0" w:space="0" w:color="auto"/>
            <w:right w:val="none" w:sz="0" w:space="0" w:color="auto"/>
          </w:divBdr>
        </w:div>
        <w:div w:id="561793402">
          <w:marLeft w:val="480"/>
          <w:marRight w:val="0"/>
          <w:marTop w:val="0"/>
          <w:marBottom w:val="0"/>
          <w:divBdr>
            <w:top w:val="none" w:sz="0" w:space="0" w:color="auto"/>
            <w:left w:val="none" w:sz="0" w:space="0" w:color="auto"/>
            <w:bottom w:val="none" w:sz="0" w:space="0" w:color="auto"/>
            <w:right w:val="none" w:sz="0" w:space="0" w:color="auto"/>
          </w:divBdr>
        </w:div>
        <w:div w:id="761729691">
          <w:marLeft w:val="480"/>
          <w:marRight w:val="0"/>
          <w:marTop w:val="0"/>
          <w:marBottom w:val="0"/>
          <w:divBdr>
            <w:top w:val="none" w:sz="0" w:space="0" w:color="auto"/>
            <w:left w:val="none" w:sz="0" w:space="0" w:color="auto"/>
            <w:bottom w:val="none" w:sz="0" w:space="0" w:color="auto"/>
            <w:right w:val="none" w:sz="0" w:space="0" w:color="auto"/>
          </w:divBdr>
        </w:div>
        <w:div w:id="796220216">
          <w:marLeft w:val="480"/>
          <w:marRight w:val="0"/>
          <w:marTop w:val="0"/>
          <w:marBottom w:val="0"/>
          <w:divBdr>
            <w:top w:val="none" w:sz="0" w:space="0" w:color="auto"/>
            <w:left w:val="none" w:sz="0" w:space="0" w:color="auto"/>
            <w:bottom w:val="none" w:sz="0" w:space="0" w:color="auto"/>
            <w:right w:val="none" w:sz="0" w:space="0" w:color="auto"/>
          </w:divBdr>
        </w:div>
        <w:div w:id="801725612">
          <w:marLeft w:val="480"/>
          <w:marRight w:val="0"/>
          <w:marTop w:val="0"/>
          <w:marBottom w:val="0"/>
          <w:divBdr>
            <w:top w:val="none" w:sz="0" w:space="0" w:color="auto"/>
            <w:left w:val="none" w:sz="0" w:space="0" w:color="auto"/>
            <w:bottom w:val="none" w:sz="0" w:space="0" w:color="auto"/>
            <w:right w:val="none" w:sz="0" w:space="0" w:color="auto"/>
          </w:divBdr>
        </w:div>
        <w:div w:id="839544885">
          <w:marLeft w:val="480"/>
          <w:marRight w:val="0"/>
          <w:marTop w:val="0"/>
          <w:marBottom w:val="0"/>
          <w:divBdr>
            <w:top w:val="none" w:sz="0" w:space="0" w:color="auto"/>
            <w:left w:val="none" w:sz="0" w:space="0" w:color="auto"/>
            <w:bottom w:val="none" w:sz="0" w:space="0" w:color="auto"/>
            <w:right w:val="none" w:sz="0" w:space="0" w:color="auto"/>
          </w:divBdr>
        </w:div>
        <w:div w:id="841164546">
          <w:marLeft w:val="480"/>
          <w:marRight w:val="0"/>
          <w:marTop w:val="0"/>
          <w:marBottom w:val="0"/>
          <w:divBdr>
            <w:top w:val="none" w:sz="0" w:space="0" w:color="auto"/>
            <w:left w:val="none" w:sz="0" w:space="0" w:color="auto"/>
            <w:bottom w:val="none" w:sz="0" w:space="0" w:color="auto"/>
            <w:right w:val="none" w:sz="0" w:space="0" w:color="auto"/>
          </w:divBdr>
        </w:div>
        <w:div w:id="888493834">
          <w:marLeft w:val="480"/>
          <w:marRight w:val="0"/>
          <w:marTop w:val="0"/>
          <w:marBottom w:val="0"/>
          <w:divBdr>
            <w:top w:val="none" w:sz="0" w:space="0" w:color="auto"/>
            <w:left w:val="none" w:sz="0" w:space="0" w:color="auto"/>
            <w:bottom w:val="none" w:sz="0" w:space="0" w:color="auto"/>
            <w:right w:val="none" w:sz="0" w:space="0" w:color="auto"/>
          </w:divBdr>
        </w:div>
        <w:div w:id="898634055">
          <w:marLeft w:val="480"/>
          <w:marRight w:val="0"/>
          <w:marTop w:val="0"/>
          <w:marBottom w:val="0"/>
          <w:divBdr>
            <w:top w:val="none" w:sz="0" w:space="0" w:color="auto"/>
            <w:left w:val="none" w:sz="0" w:space="0" w:color="auto"/>
            <w:bottom w:val="none" w:sz="0" w:space="0" w:color="auto"/>
            <w:right w:val="none" w:sz="0" w:space="0" w:color="auto"/>
          </w:divBdr>
        </w:div>
        <w:div w:id="926229004">
          <w:marLeft w:val="480"/>
          <w:marRight w:val="0"/>
          <w:marTop w:val="0"/>
          <w:marBottom w:val="0"/>
          <w:divBdr>
            <w:top w:val="none" w:sz="0" w:space="0" w:color="auto"/>
            <w:left w:val="none" w:sz="0" w:space="0" w:color="auto"/>
            <w:bottom w:val="none" w:sz="0" w:space="0" w:color="auto"/>
            <w:right w:val="none" w:sz="0" w:space="0" w:color="auto"/>
          </w:divBdr>
        </w:div>
        <w:div w:id="938635628">
          <w:marLeft w:val="480"/>
          <w:marRight w:val="0"/>
          <w:marTop w:val="0"/>
          <w:marBottom w:val="0"/>
          <w:divBdr>
            <w:top w:val="none" w:sz="0" w:space="0" w:color="auto"/>
            <w:left w:val="none" w:sz="0" w:space="0" w:color="auto"/>
            <w:bottom w:val="none" w:sz="0" w:space="0" w:color="auto"/>
            <w:right w:val="none" w:sz="0" w:space="0" w:color="auto"/>
          </w:divBdr>
        </w:div>
        <w:div w:id="958754996">
          <w:marLeft w:val="480"/>
          <w:marRight w:val="0"/>
          <w:marTop w:val="0"/>
          <w:marBottom w:val="0"/>
          <w:divBdr>
            <w:top w:val="none" w:sz="0" w:space="0" w:color="auto"/>
            <w:left w:val="none" w:sz="0" w:space="0" w:color="auto"/>
            <w:bottom w:val="none" w:sz="0" w:space="0" w:color="auto"/>
            <w:right w:val="none" w:sz="0" w:space="0" w:color="auto"/>
          </w:divBdr>
        </w:div>
        <w:div w:id="964196840">
          <w:marLeft w:val="480"/>
          <w:marRight w:val="0"/>
          <w:marTop w:val="0"/>
          <w:marBottom w:val="0"/>
          <w:divBdr>
            <w:top w:val="none" w:sz="0" w:space="0" w:color="auto"/>
            <w:left w:val="none" w:sz="0" w:space="0" w:color="auto"/>
            <w:bottom w:val="none" w:sz="0" w:space="0" w:color="auto"/>
            <w:right w:val="none" w:sz="0" w:space="0" w:color="auto"/>
          </w:divBdr>
        </w:div>
        <w:div w:id="1057317991">
          <w:marLeft w:val="480"/>
          <w:marRight w:val="0"/>
          <w:marTop w:val="0"/>
          <w:marBottom w:val="0"/>
          <w:divBdr>
            <w:top w:val="none" w:sz="0" w:space="0" w:color="auto"/>
            <w:left w:val="none" w:sz="0" w:space="0" w:color="auto"/>
            <w:bottom w:val="none" w:sz="0" w:space="0" w:color="auto"/>
            <w:right w:val="none" w:sz="0" w:space="0" w:color="auto"/>
          </w:divBdr>
        </w:div>
        <w:div w:id="1112893187">
          <w:marLeft w:val="480"/>
          <w:marRight w:val="0"/>
          <w:marTop w:val="0"/>
          <w:marBottom w:val="0"/>
          <w:divBdr>
            <w:top w:val="none" w:sz="0" w:space="0" w:color="auto"/>
            <w:left w:val="none" w:sz="0" w:space="0" w:color="auto"/>
            <w:bottom w:val="none" w:sz="0" w:space="0" w:color="auto"/>
            <w:right w:val="none" w:sz="0" w:space="0" w:color="auto"/>
          </w:divBdr>
        </w:div>
        <w:div w:id="1116217981">
          <w:marLeft w:val="480"/>
          <w:marRight w:val="0"/>
          <w:marTop w:val="0"/>
          <w:marBottom w:val="0"/>
          <w:divBdr>
            <w:top w:val="none" w:sz="0" w:space="0" w:color="auto"/>
            <w:left w:val="none" w:sz="0" w:space="0" w:color="auto"/>
            <w:bottom w:val="none" w:sz="0" w:space="0" w:color="auto"/>
            <w:right w:val="none" w:sz="0" w:space="0" w:color="auto"/>
          </w:divBdr>
        </w:div>
        <w:div w:id="1156261061">
          <w:marLeft w:val="480"/>
          <w:marRight w:val="0"/>
          <w:marTop w:val="0"/>
          <w:marBottom w:val="0"/>
          <w:divBdr>
            <w:top w:val="none" w:sz="0" w:space="0" w:color="auto"/>
            <w:left w:val="none" w:sz="0" w:space="0" w:color="auto"/>
            <w:bottom w:val="none" w:sz="0" w:space="0" w:color="auto"/>
            <w:right w:val="none" w:sz="0" w:space="0" w:color="auto"/>
          </w:divBdr>
        </w:div>
        <w:div w:id="1173035816">
          <w:marLeft w:val="480"/>
          <w:marRight w:val="0"/>
          <w:marTop w:val="0"/>
          <w:marBottom w:val="0"/>
          <w:divBdr>
            <w:top w:val="none" w:sz="0" w:space="0" w:color="auto"/>
            <w:left w:val="none" w:sz="0" w:space="0" w:color="auto"/>
            <w:bottom w:val="none" w:sz="0" w:space="0" w:color="auto"/>
            <w:right w:val="none" w:sz="0" w:space="0" w:color="auto"/>
          </w:divBdr>
        </w:div>
        <w:div w:id="1182087722">
          <w:marLeft w:val="480"/>
          <w:marRight w:val="0"/>
          <w:marTop w:val="0"/>
          <w:marBottom w:val="0"/>
          <w:divBdr>
            <w:top w:val="none" w:sz="0" w:space="0" w:color="auto"/>
            <w:left w:val="none" w:sz="0" w:space="0" w:color="auto"/>
            <w:bottom w:val="none" w:sz="0" w:space="0" w:color="auto"/>
            <w:right w:val="none" w:sz="0" w:space="0" w:color="auto"/>
          </w:divBdr>
        </w:div>
        <w:div w:id="1234464687">
          <w:marLeft w:val="480"/>
          <w:marRight w:val="0"/>
          <w:marTop w:val="0"/>
          <w:marBottom w:val="0"/>
          <w:divBdr>
            <w:top w:val="none" w:sz="0" w:space="0" w:color="auto"/>
            <w:left w:val="none" w:sz="0" w:space="0" w:color="auto"/>
            <w:bottom w:val="none" w:sz="0" w:space="0" w:color="auto"/>
            <w:right w:val="none" w:sz="0" w:space="0" w:color="auto"/>
          </w:divBdr>
        </w:div>
        <w:div w:id="1242175432">
          <w:marLeft w:val="480"/>
          <w:marRight w:val="0"/>
          <w:marTop w:val="0"/>
          <w:marBottom w:val="0"/>
          <w:divBdr>
            <w:top w:val="none" w:sz="0" w:space="0" w:color="auto"/>
            <w:left w:val="none" w:sz="0" w:space="0" w:color="auto"/>
            <w:bottom w:val="none" w:sz="0" w:space="0" w:color="auto"/>
            <w:right w:val="none" w:sz="0" w:space="0" w:color="auto"/>
          </w:divBdr>
        </w:div>
        <w:div w:id="1253667248">
          <w:marLeft w:val="480"/>
          <w:marRight w:val="0"/>
          <w:marTop w:val="0"/>
          <w:marBottom w:val="0"/>
          <w:divBdr>
            <w:top w:val="none" w:sz="0" w:space="0" w:color="auto"/>
            <w:left w:val="none" w:sz="0" w:space="0" w:color="auto"/>
            <w:bottom w:val="none" w:sz="0" w:space="0" w:color="auto"/>
            <w:right w:val="none" w:sz="0" w:space="0" w:color="auto"/>
          </w:divBdr>
        </w:div>
        <w:div w:id="1258294983">
          <w:marLeft w:val="480"/>
          <w:marRight w:val="0"/>
          <w:marTop w:val="0"/>
          <w:marBottom w:val="0"/>
          <w:divBdr>
            <w:top w:val="none" w:sz="0" w:space="0" w:color="auto"/>
            <w:left w:val="none" w:sz="0" w:space="0" w:color="auto"/>
            <w:bottom w:val="none" w:sz="0" w:space="0" w:color="auto"/>
            <w:right w:val="none" w:sz="0" w:space="0" w:color="auto"/>
          </w:divBdr>
        </w:div>
        <w:div w:id="1293822912">
          <w:marLeft w:val="480"/>
          <w:marRight w:val="0"/>
          <w:marTop w:val="0"/>
          <w:marBottom w:val="0"/>
          <w:divBdr>
            <w:top w:val="none" w:sz="0" w:space="0" w:color="auto"/>
            <w:left w:val="none" w:sz="0" w:space="0" w:color="auto"/>
            <w:bottom w:val="none" w:sz="0" w:space="0" w:color="auto"/>
            <w:right w:val="none" w:sz="0" w:space="0" w:color="auto"/>
          </w:divBdr>
        </w:div>
        <w:div w:id="1384282814">
          <w:marLeft w:val="480"/>
          <w:marRight w:val="0"/>
          <w:marTop w:val="0"/>
          <w:marBottom w:val="0"/>
          <w:divBdr>
            <w:top w:val="none" w:sz="0" w:space="0" w:color="auto"/>
            <w:left w:val="none" w:sz="0" w:space="0" w:color="auto"/>
            <w:bottom w:val="none" w:sz="0" w:space="0" w:color="auto"/>
            <w:right w:val="none" w:sz="0" w:space="0" w:color="auto"/>
          </w:divBdr>
        </w:div>
        <w:div w:id="1389841680">
          <w:marLeft w:val="480"/>
          <w:marRight w:val="0"/>
          <w:marTop w:val="0"/>
          <w:marBottom w:val="0"/>
          <w:divBdr>
            <w:top w:val="none" w:sz="0" w:space="0" w:color="auto"/>
            <w:left w:val="none" w:sz="0" w:space="0" w:color="auto"/>
            <w:bottom w:val="none" w:sz="0" w:space="0" w:color="auto"/>
            <w:right w:val="none" w:sz="0" w:space="0" w:color="auto"/>
          </w:divBdr>
        </w:div>
        <w:div w:id="1407067514">
          <w:marLeft w:val="480"/>
          <w:marRight w:val="0"/>
          <w:marTop w:val="0"/>
          <w:marBottom w:val="0"/>
          <w:divBdr>
            <w:top w:val="none" w:sz="0" w:space="0" w:color="auto"/>
            <w:left w:val="none" w:sz="0" w:space="0" w:color="auto"/>
            <w:bottom w:val="none" w:sz="0" w:space="0" w:color="auto"/>
            <w:right w:val="none" w:sz="0" w:space="0" w:color="auto"/>
          </w:divBdr>
        </w:div>
        <w:div w:id="1436637951">
          <w:marLeft w:val="480"/>
          <w:marRight w:val="0"/>
          <w:marTop w:val="0"/>
          <w:marBottom w:val="0"/>
          <w:divBdr>
            <w:top w:val="none" w:sz="0" w:space="0" w:color="auto"/>
            <w:left w:val="none" w:sz="0" w:space="0" w:color="auto"/>
            <w:bottom w:val="none" w:sz="0" w:space="0" w:color="auto"/>
            <w:right w:val="none" w:sz="0" w:space="0" w:color="auto"/>
          </w:divBdr>
        </w:div>
        <w:div w:id="1493528226">
          <w:marLeft w:val="480"/>
          <w:marRight w:val="0"/>
          <w:marTop w:val="0"/>
          <w:marBottom w:val="0"/>
          <w:divBdr>
            <w:top w:val="none" w:sz="0" w:space="0" w:color="auto"/>
            <w:left w:val="none" w:sz="0" w:space="0" w:color="auto"/>
            <w:bottom w:val="none" w:sz="0" w:space="0" w:color="auto"/>
            <w:right w:val="none" w:sz="0" w:space="0" w:color="auto"/>
          </w:divBdr>
        </w:div>
        <w:div w:id="1583177507">
          <w:marLeft w:val="480"/>
          <w:marRight w:val="0"/>
          <w:marTop w:val="0"/>
          <w:marBottom w:val="0"/>
          <w:divBdr>
            <w:top w:val="none" w:sz="0" w:space="0" w:color="auto"/>
            <w:left w:val="none" w:sz="0" w:space="0" w:color="auto"/>
            <w:bottom w:val="none" w:sz="0" w:space="0" w:color="auto"/>
            <w:right w:val="none" w:sz="0" w:space="0" w:color="auto"/>
          </w:divBdr>
        </w:div>
        <w:div w:id="1670132188">
          <w:marLeft w:val="480"/>
          <w:marRight w:val="0"/>
          <w:marTop w:val="0"/>
          <w:marBottom w:val="0"/>
          <w:divBdr>
            <w:top w:val="none" w:sz="0" w:space="0" w:color="auto"/>
            <w:left w:val="none" w:sz="0" w:space="0" w:color="auto"/>
            <w:bottom w:val="none" w:sz="0" w:space="0" w:color="auto"/>
            <w:right w:val="none" w:sz="0" w:space="0" w:color="auto"/>
          </w:divBdr>
        </w:div>
        <w:div w:id="1671562213">
          <w:marLeft w:val="480"/>
          <w:marRight w:val="0"/>
          <w:marTop w:val="0"/>
          <w:marBottom w:val="0"/>
          <w:divBdr>
            <w:top w:val="none" w:sz="0" w:space="0" w:color="auto"/>
            <w:left w:val="none" w:sz="0" w:space="0" w:color="auto"/>
            <w:bottom w:val="none" w:sz="0" w:space="0" w:color="auto"/>
            <w:right w:val="none" w:sz="0" w:space="0" w:color="auto"/>
          </w:divBdr>
        </w:div>
        <w:div w:id="1688486405">
          <w:marLeft w:val="480"/>
          <w:marRight w:val="0"/>
          <w:marTop w:val="0"/>
          <w:marBottom w:val="0"/>
          <w:divBdr>
            <w:top w:val="none" w:sz="0" w:space="0" w:color="auto"/>
            <w:left w:val="none" w:sz="0" w:space="0" w:color="auto"/>
            <w:bottom w:val="none" w:sz="0" w:space="0" w:color="auto"/>
            <w:right w:val="none" w:sz="0" w:space="0" w:color="auto"/>
          </w:divBdr>
        </w:div>
        <w:div w:id="1700357785">
          <w:marLeft w:val="480"/>
          <w:marRight w:val="0"/>
          <w:marTop w:val="0"/>
          <w:marBottom w:val="0"/>
          <w:divBdr>
            <w:top w:val="none" w:sz="0" w:space="0" w:color="auto"/>
            <w:left w:val="none" w:sz="0" w:space="0" w:color="auto"/>
            <w:bottom w:val="none" w:sz="0" w:space="0" w:color="auto"/>
            <w:right w:val="none" w:sz="0" w:space="0" w:color="auto"/>
          </w:divBdr>
        </w:div>
        <w:div w:id="1731267079">
          <w:marLeft w:val="480"/>
          <w:marRight w:val="0"/>
          <w:marTop w:val="0"/>
          <w:marBottom w:val="0"/>
          <w:divBdr>
            <w:top w:val="none" w:sz="0" w:space="0" w:color="auto"/>
            <w:left w:val="none" w:sz="0" w:space="0" w:color="auto"/>
            <w:bottom w:val="none" w:sz="0" w:space="0" w:color="auto"/>
            <w:right w:val="none" w:sz="0" w:space="0" w:color="auto"/>
          </w:divBdr>
        </w:div>
        <w:div w:id="1735007088">
          <w:marLeft w:val="480"/>
          <w:marRight w:val="0"/>
          <w:marTop w:val="0"/>
          <w:marBottom w:val="0"/>
          <w:divBdr>
            <w:top w:val="none" w:sz="0" w:space="0" w:color="auto"/>
            <w:left w:val="none" w:sz="0" w:space="0" w:color="auto"/>
            <w:bottom w:val="none" w:sz="0" w:space="0" w:color="auto"/>
            <w:right w:val="none" w:sz="0" w:space="0" w:color="auto"/>
          </w:divBdr>
        </w:div>
        <w:div w:id="1742829099">
          <w:marLeft w:val="480"/>
          <w:marRight w:val="0"/>
          <w:marTop w:val="0"/>
          <w:marBottom w:val="0"/>
          <w:divBdr>
            <w:top w:val="none" w:sz="0" w:space="0" w:color="auto"/>
            <w:left w:val="none" w:sz="0" w:space="0" w:color="auto"/>
            <w:bottom w:val="none" w:sz="0" w:space="0" w:color="auto"/>
            <w:right w:val="none" w:sz="0" w:space="0" w:color="auto"/>
          </w:divBdr>
        </w:div>
        <w:div w:id="1791781975">
          <w:marLeft w:val="480"/>
          <w:marRight w:val="0"/>
          <w:marTop w:val="0"/>
          <w:marBottom w:val="0"/>
          <w:divBdr>
            <w:top w:val="none" w:sz="0" w:space="0" w:color="auto"/>
            <w:left w:val="none" w:sz="0" w:space="0" w:color="auto"/>
            <w:bottom w:val="none" w:sz="0" w:space="0" w:color="auto"/>
            <w:right w:val="none" w:sz="0" w:space="0" w:color="auto"/>
          </w:divBdr>
        </w:div>
        <w:div w:id="1792086289">
          <w:marLeft w:val="480"/>
          <w:marRight w:val="0"/>
          <w:marTop w:val="0"/>
          <w:marBottom w:val="0"/>
          <w:divBdr>
            <w:top w:val="none" w:sz="0" w:space="0" w:color="auto"/>
            <w:left w:val="none" w:sz="0" w:space="0" w:color="auto"/>
            <w:bottom w:val="none" w:sz="0" w:space="0" w:color="auto"/>
            <w:right w:val="none" w:sz="0" w:space="0" w:color="auto"/>
          </w:divBdr>
        </w:div>
        <w:div w:id="1816558471">
          <w:marLeft w:val="480"/>
          <w:marRight w:val="0"/>
          <w:marTop w:val="0"/>
          <w:marBottom w:val="0"/>
          <w:divBdr>
            <w:top w:val="none" w:sz="0" w:space="0" w:color="auto"/>
            <w:left w:val="none" w:sz="0" w:space="0" w:color="auto"/>
            <w:bottom w:val="none" w:sz="0" w:space="0" w:color="auto"/>
            <w:right w:val="none" w:sz="0" w:space="0" w:color="auto"/>
          </w:divBdr>
        </w:div>
        <w:div w:id="1830317945">
          <w:marLeft w:val="480"/>
          <w:marRight w:val="0"/>
          <w:marTop w:val="0"/>
          <w:marBottom w:val="0"/>
          <w:divBdr>
            <w:top w:val="none" w:sz="0" w:space="0" w:color="auto"/>
            <w:left w:val="none" w:sz="0" w:space="0" w:color="auto"/>
            <w:bottom w:val="none" w:sz="0" w:space="0" w:color="auto"/>
            <w:right w:val="none" w:sz="0" w:space="0" w:color="auto"/>
          </w:divBdr>
        </w:div>
        <w:div w:id="1839081158">
          <w:marLeft w:val="480"/>
          <w:marRight w:val="0"/>
          <w:marTop w:val="0"/>
          <w:marBottom w:val="0"/>
          <w:divBdr>
            <w:top w:val="none" w:sz="0" w:space="0" w:color="auto"/>
            <w:left w:val="none" w:sz="0" w:space="0" w:color="auto"/>
            <w:bottom w:val="none" w:sz="0" w:space="0" w:color="auto"/>
            <w:right w:val="none" w:sz="0" w:space="0" w:color="auto"/>
          </w:divBdr>
        </w:div>
        <w:div w:id="1924870599">
          <w:marLeft w:val="480"/>
          <w:marRight w:val="0"/>
          <w:marTop w:val="0"/>
          <w:marBottom w:val="0"/>
          <w:divBdr>
            <w:top w:val="none" w:sz="0" w:space="0" w:color="auto"/>
            <w:left w:val="none" w:sz="0" w:space="0" w:color="auto"/>
            <w:bottom w:val="none" w:sz="0" w:space="0" w:color="auto"/>
            <w:right w:val="none" w:sz="0" w:space="0" w:color="auto"/>
          </w:divBdr>
        </w:div>
        <w:div w:id="1931964123">
          <w:marLeft w:val="480"/>
          <w:marRight w:val="0"/>
          <w:marTop w:val="0"/>
          <w:marBottom w:val="0"/>
          <w:divBdr>
            <w:top w:val="none" w:sz="0" w:space="0" w:color="auto"/>
            <w:left w:val="none" w:sz="0" w:space="0" w:color="auto"/>
            <w:bottom w:val="none" w:sz="0" w:space="0" w:color="auto"/>
            <w:right w:val="none" w:sz="0" w:space="0" w:color="auto"/>
          </w:divBdr>
        </w:div>
        <w:div w:id="1964270592">
          <w:marLeft w:val="480"/>
          <w:marRight w:val="0"/>
          <w:marTop w:val="0"/>
          <w:marBottom w:val="0"/>
          <w:divBdr>
            <w:top w:val="none" w:sz="0" w:space="0" w:color="auto"/>
            <w:left w:val="none" w:sz="0" w:space="0" w:color="auto"/>
            <w:bottom w:val="none" w:sz="0" w:space="0" w:color="auto"/>
            <w:right w:val="none" w:sz="0" w:space="0" w:color="auto"/>
          </w:divBdr>
        </w:div>
        <w:div w:id="1965455309">
          <w:marLeft w:val="480"/>
          <w:marRight w:val="0"/>
          <w:marTop w:val="0"/>
          <w:marBottom w:val="0"/>
          <w:divBdr>
            <w:top w:val="none" w:sz="0" w:space="0" w:color="auto"/>
            <w:left w:val="none" w:sz="0" w:space="0" w:color="auto"/>
            <w:bottom w:val="none" w:sz="0" w:space="0" w:color="auto"/>
            <w:right w:val="none" w:sz="0" w:space="0" w:color="auto"/>
          </w:divBdr>
        </w:div>
        <w:div w:id="1977640799">
          <w:marLeft w:val="480"/>
          <w:marRight w:val="0"/>
          <w:marTop w:val="0"/>
          <w:marBottom w:val="0"/>
          <w:divBdr>
            <w:top w:val="none" w:sz="0" w:space="0" w:color="auto"/>
            <w:left w:val="none" w:sz="0" w:space="0" w:color="auto"/>
            <w:bottom w:val="none" w:sz="0" w:space="0" w:color="auto"/>
            <w:right w:val="none" w:sz="0" w:space="0" w:color="auto"/>
          </w:divBdr>
        </w:div>
        <w:div w:id="1996569452">
          <w:marLeft w:val="480"/>
          <w:marRight w:val="0"/>
          <w:marTop w:val="0"/>
          <w:marBottom w:val="0"/>
          <w:divBdr>
            <w:top w:val="none" w:sz="0" w:space="0" w:color="auto"/>
            <w:left w:val="none" w:sz="0" w:space="0" w:color="auto"/>
            <w:bottom w:val="none" w:sz="0" w:space="0" w:color="auto"/>
            <w:right w:val="none" w:sz="0" w:space="0" w:color="auto"/>
          </w:divBdr>
        </w:div>
        <w:div w:id="2016154172">
          <w:marLeft w:val="480"/>
          <w:marRight w:val="0"/>
          <w:marTop w:val="0"/>
          <w:marBottom w:val="0"/>
          <w:divBdr>
            <w:top w:val="none" w:sz="0" w:space="0" w:color="auto"/>
            <w:left w:val="none" w:sz="0" w:space="0" w:color="auto"/>
            <w:bottom w:val="none" w:sz="0" w:space="0" w:color="auto"/>
            <w:right w:val="none" w:sz="0" w:space="0" w:color="auto"/>
          </w:divBdr>
        </w:div>
        <w:div w:id="2090270811">
          <w:marLeft w:val="480"/>
          <w:marRight w:val="0"/>
          <w:marTop w:val="0"/>
          <w:marBottom w:val="0"/>
          <w:divBdr>
            <w:top w:val="none" w:sz="0" w:space="0" w:color="auto"/>
            <w:left w:val="none" w:sz="0" w:space="0" w:color="auto"/>
            <w:bottom w:val="none" w:sz="0" w:space="0" w:color="auto"/>
            <w:right w:val="none" w:sz="0" w:space="0" w:color="auto"/>
          </w:divBdr>
        </w:div>
        <w:div w:id="2132966630">
          <w:marLeft w:val="480"/>
          <w:marRight w:val="0"/>
          <w:marTop w:val="0"/>
          <w:marBottom w:val="0"/>
          <w:divBdr>
            <w:top w:val="none" w:sz="0" w:space="0" w:color="auto"/>
            <w:left w:val="none" w:sz="0" w:space="0" w:color="auto"/>
            <w:bottom w:val="none" w:sz="0" w:space="0" w:color="auto"/>
            <w:right w:val="none" w:sz="0" w:space="0" w:color="auto"/>
          </w:divBdr>
        </w:div>
      </w:divsChild>
    </w:div>
    <w:div w:id="1928421379">
      <w:bodyDiv w:val="1"/>
      <w:marLeft w:val="0"/>
      <w:marRight w:val="0"/>
      <w:marTop w:val="0"/>
      <w:marBottom w:val="0"/>
      <w:divBdr>
        <w:top w:val="none" w:sz="0" w:space="0" w:color="auto"/>
        <w:left w:val="none" w:sz="0" w:space="0" w:color="auto"/>
        <w:bottom w:val="none" w:sz="0" w:space="0" w:color="auto"/>
        <w:right w:val="none" w:sz="0" w:space="0" w:color="auto"/>
      </w:divBdr>
    </w:div>
    <w:div w:id="1952584123">
      <w:bodyDiv w:val="1"/>
      <w:marLeft w:val="0"/>
      <w:marRight w:val="0"/>
      <w:marTop w:val="0"/>
      <w:marBottom w:val="0"/>
      <w:divBdr>
        <w:top w:val="none" w:sz="0" w:space="0" w:color="auto"/>
        <w:left w:val="none" w:sz="0" w:space="0" w:color="auto"/>
        <w:bottom w:val="none" w:sz="0" w:space="0" w:color="auto"/>
        <w:right w:val="none" w:sz="0" w:space="0" w:color="auto"/>
      </w:divBdr>
    </w:div>
    <w:div w:id="1953635655">
      <w:bodyDiv w:val="1"/>
      <w:marLeft w:val="0"/>
      <w:marRight w:val="0"/>
      <w:marTop w:val="0"/>
      <w:marBottom w:val="0"/>
      <w:divBdr>
        <w:top w:val="none" w:sz="0" w:space="0" w:color="auto"/>
        <w:left w:val="none" w:sz="0" w:space="0" w:color="auto"/>
        <w:bottom w:val="none" w:sz="0" w:space="0" w:color="auto"/>
        <w:right w:val="none" w:sz="0" w:space="0" w:color="auto"/>
      </w:divBdr>
    </w:div>
    <w:div w:id="1960599063">
      <w:bodyDiv w:val="1"/>
      <w:marLeft w:val="0"/>
      <w:marRight w:val="0"/>
      <w:marTop w:val="0"/>
      <w:marBottom w:val="0"/>
      <w:divBdr>
        <w:top w:val="none" w:sz="0" w:space="0" w:color="auto"/>
        <w:left w:val="none" w:sz="0" w:space="0" w:color="auto"/>
        <w:bottom w:val="none" w:sz="0" w:space="0" w:color="auto"/>
        <w:right w:val="none" w:sz="0" w:space="0" w:color="auto"/>
      </w:divBdr>
    </w:div>
    <w:div w:id="1962417149">
      <w:bodyDiv w:val="1"/>
      <w:marLeft w:val="0"/>
      <w:marRight w:val="0"/>
      <w:marTop w:val="0"/>
      <w:marBottom w:val="0"/>
      <w:divBdr>
        <w:top w:val="none" w:sz="0" w:space="0" w:color="auto"/>
        <w:left w:val="none" w:sz="0" w:space="0" w:color="auto"/>
        <w:bottom w:val="none" w:sz="0" w:space="0" w:color="auto"/>
        <w:right w:val="none" w:sz="0" w:space="0" w:color="auto"/>
      </w:divBdr>
    </w:div>
    <w:div w:id="1963072795">
      <w:bodyDiv w:val="1"/>
      <w:marLeft w:val="0"/>
      <w:marRight w:val="0"/>
      <w:marTop w:val="0"/>
      <w:marBottom w:val="0"/>
      <w:divBdr>
        <w:top w:val="none" w:sz="0" w:space="0" w:color="auto"/>
        <w:left w:val="none" w:sz="0" w:space="0" w:color="auto"/>
        <w:bottom w:val="none" w:sz="0" w:space="0" w:color="auto"/>
        <w:right w:val="none" w:sz="0" w:space="0" w:color="auto"/>
      </w:divBdr>
    </w:div>
    <w:div w:id="1963077804">
      <w:bodyDiv w:val="1"/>
      <w:marLeft w:val="0"/>
      <w:marRight w:val="0"/>
      <w:marTop w:val="0"/>
      <w:marBottom w:val="0"/>
      <w:divBdr>
        <w:top w:val="none" w:sz="0" w:space="0" w:color="auto"/>
        <w:left w:val="none" w:sz="0" w:space="0" w:color="auto"/>
        <w:bottom w:val="none" w:sz="0" w:space="0" w:color="auto"/>
        <w:right w:val="none" w:sz="0" w:space="0" w:color="auto"/>
      </w:divBdr>
    </w:div>
    <w:div w:id="1964338414">
      <w:bodyDiv w:val="1"/>
      <w:marLeft w:val="0"/>
      <w:marRight w:val="0"/>
      <w:marTop w:val="0"/>
      <w:marBottom w:val="0"/>
      <w:divBdr>
        <w:top w:val="none" w:sz="0" w:space="0" w:color="auto"/>
        <w:left w:val="none" w:sz="0" w:space="0" w:color="auto"/>
        <w:bottom w:val="none" w:sz="0" w:space="0" w:color="auto"/>
        <w:right w:val="none" w:sz="0" w:space="0" w:color="auto"/>
      </w:divBdr>
    </w:div>
    <w:div w:id="1965845337">
      <w:bodyDiv w:val="1"/>
      <w:marLeft w:val="0"/>
      <w:marRight w:val="0"/>
      <w:marTop w:val="0"/>
      <w:marBottom w:val="0"/>
      <w:divBdr>
        <w:top w:val="none" w:sz="0" w:space="0" w:color="auto"/>
        <w:left w:val="none" w:sz="0" w:space="0" w:color="auto"/>
        <w:bottom w:val="none" w:sz="0" w:space="0" w:color="auto"/>
        <w:right w:val="none" w:sz="0" w:space="0" w:color="auto"/>
      </w:divBdr>
    </w:div>
    <w:div w:id="1971666277">
      <w:bodyDiv w:val="1"/>
      <w:marLeft w:val="0"/>
      <w:marRight w:val="0"/>
      <w:marTop w:val="0"/>
      <w:marBottom w:val="0"/>
      <w:divBdr>
        <w:top w:val="none" w:sz="0" w:space="0" w:color="auto"/>
        <w:left w:val="none" w:sz="0" w:space="0" w:color="auto"/>
        <w:bottom w:val="none" w:sz="0" w:space="0" w:color="auto"/>
        <w:right w:val="none" w:sz="0" w:space="0" w:color="auto"/>
      </w:divBdr>
    </w:div>
    <w:div w:id="1973633702">
      <w:bodyDiv w:val="1"/>
      <w:marLeft w:val="0"/>
      <w:marRight w:val="0"/>
      <w:marTop w:val="0"/>
      <w:marBottom w:val="0"/>
      <w:divBdr>
        <w:top w:val="none" w:sz="0" w:space="0" w:color="auto"/>
        <w:left w:val="none" w:sz="0" w:space="0" w:color="auto"/>
        <w:bottom w:val="none" w:sz="0" w:space="0" w:color="auto"/>
        <w:right w:val="none" w:sz="0" w:space="0" w:color="auto"/>
      </w:divBdr>
    </w:div>
    <w:div w:id="1975089556">
      <w:bodyDiv w:val="1"/>
      <w:marLeft w:val="0"/>
      <w:marRight w:val="0"/>
      <w:marTop w:val="0"/>
      <w:marBottom w:val="0"/>
      <w:divBdr>
        <w:top w:val="none" w:sz="0" w:space="0" w:color="auto"/>
        <w:left w:val="none" w:sz="0" w:space="0" w:color="auto"/>
        <w:bottom w:val="none" w:sz="0" w:space="0" w:color="auto"/>
        <w:right w:val="none" w:sz="0" w:space="0" w:color="auto"/>
      </w:divBdr>
    </w:div>
    <w:div w:id="1977833382">
      <w:bodyDiv w:val="1"/>
      <w:marLeft w:val="0"/>
      <w:marRight w:val="0"/>
      <w:marTop w:val="0"/>
      <w:marBottom w:val="0"/>
      <w:divBdr>
        <w:top w:val="none" w:sz="0" w:space="0" w:color="auto"/>
        <w:left w:val="none" w:sz="0" w:space="0" w:color="auto"/>
        <w:bottom w:val="none" w:sz="0" w:space="0" w:color="auto"/>
        <w:right w:val="none" w:sz="0" w:space="0" w:color="auto"/>
      </w:divBdr>
    </w:div>
    <w:div w:id="1992560020">
      <w:bodyDiv w:val="1"/>
      <w:marLeft w:val="0"/>
      <w:marRight w:val="0"/>
      <w:marTop w:val="0"/>
      <w:marBottom w:val="0"/>
      <w:divBdr>
        <w:top w:val="none" w:sz="0" w:space="0" w:color="auto"/>
        <w:left w:val="none" w:sz="0" w:space="0" w:color="auto"/>
        <w:bottom w:val="none" w:sz="0" w:space="0" w:color="auto"/>
        <w:right w:val="none" w:sz="0" w:space="0" w:color="auto"/>
      </w:divBdr>
    </w:div>
    <w:div w:id="2000618101">
      <w:bodyDiv w:val="1"/>
      <w:marLeft w:val="0"/>
      <w:marRight w:val="0"/>
      <w:marTop w:val="0"/>
      <w:marBottom w:val="0"/>
      <w:divBdr>
        <w:top w:val="none" w:sz="0" w:space="0" w:color="auto"/>
        <w:left w:val="none" w:sz="0" w:space="0" w:color="auto"/>
        <w:bottom w:val="none" w:sz="0" w:space="0" w:color="auto"/>
        <w:right w:val="none" w:sz="0" w:space="0" w:color="auto"/>
      </w:divBdr>
    </w:div>
    <w:div w:id="2007172650">
      <w:bodyDiv w:val="1"/>
      <w:marLeft w:val="0"/>
      <w:marRight w:val="0"/>
      <w:marTop w:val="0"/>
      <w:marBottom w:val="0"/>
      <w:divBdr>
        <w:top w:val="none" w:sz="0" w:space="0" w:color="auto"/>
        <w:left w:val="none" w:sz="0" w:space="0" w:color="auto"/>
        <w:bottom w:val="none" w:sz="0" w:space="0" w:color="auto"/>
        <w:right w:val="none" w:sz="0" w:space="0" w:color="auto"/>
      </w:divBdr>
      <w:divsChild>
        <w:div w:id="25831262">
          <w:marLeft w:val="480"/>
          <w:marRight w:val="0"/>
          <w:marTop w:val="0"/>
          <w:marBottom w:val="0"/>
          <w:divBdr>
            <w:top w:val="none" w:sz="0" w:space="0" w:color="auto"/>
            <w:left w:val="none" w:sz="0" w:space="0" w:color="auto"/>
            <w:bottom w:val="none" w:sz="0" w:space="0" w:color="auto"/>
            <w:right w:val="none" w:sz="0" w:space="0" w:color="auto"/>
          </w:divBdr>
        </w:div>
        <w:div w:id="47808120">
          <w:marLeft w:val="480"/>
          <w:marRight w:val="0"/>
          <w:marTop w:val="0"/>
          <w:marBottom w:val="0"/>
          <w:divBdr>
            <w:top w:val="none" w:sz="0" w:space="0" w:color="auto"/>
            <w:left w:val="none" w:sz="0" w:space="0" w:color="auto"/>
            <w:bottom w:val="none" w:sz="0" w:space="0" w:color="auto"/>
            <w:right w:val="none" w:sz="0" w:space="0" w:color="auto"/>
          </w:divBdr>
        </w:div>
        <w:div w:id="81952711">
          <w:marLeft w:val="480"/>
          <w:marRight w:val="0"/>
          <w:marTop w:val="0"/>
          <w:marBottom w:val="0"/>
          <w:divBdr>
            <w:top w:val="none" w:sz="0" w:space="0" w:color="auto"/>
            <w:left w:val="none" w:sz="0" w:space="0" w:color="auto"/>
            <w:bottom w:val="none" w:sz="0" w:space="0" w:color="auto"/>
            <w:right w:val="none" w:sz="0" w:space="0" w:color="auto"/>
          </w:divBdr>
        </w:div>
        <w:div w:id="108547185">
          <w:marLeft w:val="480"/>
          <w:marRight w:val="0"/>
          <w:marTop w:val="0"/>
          <w:marBottom w:val="0"/>
          <w:divBdr>
            <w:top w:val="none" w:sz="0" w:space="0" w:color="auto"/>
            <w:left w:val="none" w:sz="0" w:space="0" w:color="auto"/>
            <w:bottom w:val="none" w:sz="0" w:space="0" w:color="auto"/>
            <w:right w:val="none" w:sz="0" w:space="0" w:color="auto"/>
          </w:divBdr>
        </w:div>
        <w:div w:id="151719082">
          <w:marLeft w:val="480"/>
          <w:marRight w:val="0"/>
          <w:marTop w:val="0"/>
          <w:marBottom w:val="0"/>
          <w:divBdr>
            <w:top w:val="none" w:sz="0" w:space="0" w:color="auto"/>
            <w:left w:val="none" w:sz="0" w:space="0" w:color="auto"/>
            <w:bottom w:val="none" w:sz="0" w:space="0" w:color="auto"/>
            <w:right w:val="none" w:sz="0" w:space="0" w:color="auto"/>
          </w:divBdr>
        </w:div>
        <w:div w:id="220407797">
          <w:marLeft w:val="480"/>
          <w:marRight w:val="0"/>
          <w:marTop w:val="0"/>
          <w:marBottom w:val="0"/>
          <w:divBdr>
            <w:top w:val="none" w:sz="0" w:space="0" w:color="auto"/>
            <w:left w:val="none" w:sz="0" w:space="0" w:color="auto"/>
            <w:bottom w:val="none" w:sz="0" w:space="0" w:color="auto"/>
            <w:right w:val="none" w:sz="0" w:space="0" w:color="auto"/>
          </w:divBdr>
        </w:div>
        <w:div w:id="248315951">
          <w:marLeft w:val="480"/>
          <w:marRight w:val="0"/>
          <w:marTop w:val="0"/>
          <w:marBottom w:val="0"/>
          <w:divBdr>
            <w:top w:val="none" w:sz="0" w:space="0" w:color="auto"/>
            <w:left w:val="none" w:sz="0" w:space="0" w:color="auto"/>
            <w:bottom w:val="none" w:sz="0" w:space="0" w:color="auto"/>
            <w:right w:val="none" w:sz="0" w:space="0" w:color="auto"/>
          </w:divBdr>
        </w:div>
        <w:div w:id="254285570">
          <w:marLeft w:val="480"/>
          <w:marRight w:val="0"/>
          <w:marTop w:val="0"/>
          <w:marBottom w:val="0"/>
          <w:divBdr>
            <w:top w:val="none" w:sz="0" w:space="0" w:color="auto"/>
            <w:left w:val="none" w:sz="0" w:space="0" w:color="auto"/>
            <w:bottom w:val="none" w:sz="0" w:space="0" w:color="auto"/>
            <w:right w:val="none" w:sz="0" w:space="0" w:color="auto"/>
          </w:divBdr>
        </w:div>
        <w:div w:id="264265427">
          <w:marLeft w:val="480"/>
          <w:marRight w:val="0"/>
          <w:marTop w:val="0"/>
          <w:marBottom w:val="0"/>
          <w:divBdr>
            <w:top w:val="none" w:sz="0" w:space="0" w:color="auto"/>
            <w:left w:val="none" w:sz="0" w:space="0" w:color="auto"/>
            <w:bottom w:val="none" w:sz="0" w:space="0" w:color="auto"/>
            <w:right w:val="none" w:sz="0" w:space="0" w:color="auto"/>
          </w:divBdr>
        </w:div>
        <w:div w:id="370493972">
          <w:marLeft w:val="480"/>
          <w:marRight w:val="0"/>
          <w:marTop w:val="0"/>
          <w:marBottom w:val="0"/>
          <w:divBdr>
            <w:top w:val="none" w:sz="0" w:space="0" w:color="auto"/>
            <w:left w:val="none" w:sz="0" w:space="0" w:color="auto"/>
            <w:bottom w:val="none" w:sz="0" w:space="0" w:color="auto"/>
            <w:right w:val="none" w:sz="0" w:space="0" w:color="auto"/>
          </w:divBdr>
        </w:div>
        <w:div w:id="370882567">
          <w:marLeft w:val="480"/>
          <w:marRight w:val="0"/>
          <w:marTop w:val="0"/>
          <w:marBottom w:val="0"/>
          <w:divBdr>
            <w:top w:val="none" w:sz="0" w:space="0" w:color="auto"/>
            <w:left w:val="none" w:sz="0" w:space="0" w:color="auto"/>
            <w:bottom w:val="none" w:sz="0" w:space="0" w:color="auto"/>
            <w:right w:val="none" w:sz="0" w:space="0" w:color="auto"/>
          </w:divBdr>
        </w:div>
        <w:div w:id="410933566">
          <w:marLeft w:val="480"/>
          <w:marRight w:val="0"/>
          <w:marTop w:val="0"/>
          <w:marBottom w:val="0"/>
          <w:divBdr>
            <w:top w:val="none" w:sz="0" w:space="0" w:color="auto"/>
            <w:left w:val="none" w:sz="0" w:space="0" w:color="auto"/>
            <w:bottom w:val="none" w:sz="0" w:space="0" w:color="auto"/>
            <w:right w:val="none" w:sz="0" w:space="0" w:color="auto"/>
          </w:divBdr>
        </w:div>
        <w:div w:id="415515409">
          <w:marLeft w:val="480"/>
          <w:marRight w:val="0"/>
          <w:marTop w:val="0"/>
          <w:marBottom w:val="0"/>
          <w:divBdr>
            <w:top w:val="none" w:sz="0" w:space="0" w:color="auto"/>
            <w:left w:val="none" w:sz="0" w:space="0" w:color="auto"/>
            <w:bottom w:val="none" w:sz="0" w:space="0" w:color="auto"/>
            <w:right w:val="none" w:sz="0" w:space="0" w:color="auto"/>
          </w:divBdr>
        </w:div>
        <w:div w:id="422726492">
          <w:marLeft w:val="480"/>
          <w:marRight w:val="0"/>
          <w:marTop w:val="0"/>
          <w:marBottom w:val="0"/>
          <w:divBdr>
            <w:top w:val="none" w:sz="0" w:space="0" w:color="auto"/>
            <w:left w:val="none" w:sz="0" w:space="0" w:color="auto"/>
            <w:bottom w:val="none" w:sz="0" w:space="0" w:color="auto"/>
            <w:right w:val="none" w:sz="0" w:space="0" w:color="auto"/>
          </w:divBdr>
        </w:div>
        <w:div w:id="481389794">
          <w:marLeft w:val="480"/>
          <w:marRight w:val="0"/>
          <w:marTop w:val="0"/>
          <w:marBottom w:val="0"/>
          <w:divBdr>
            <w:top w:val="none" w:sz="0" w:space="0" w:color="auto"/>
            <w:left w:val="none" w:sz="0" w:space="0" w:color="auto"/>
            <w:bottom w:val="none" w:sz="0" w:space="0" w:color="auto"/>
            <w:right w:val="none" w:sz="0" w:space="0" w:color="auto"/>
          </w:divBdr>
        </w:div>
        <w:div w:id="617760058">
          <w:marLeft w:val="480"/>
          <w:marRight w:val="0"/>
          <w:marTop w:val="0"/>
          <w:marBottom w:val="0"/>
          <w:divBdr>
            <w:top w:val="none" w:sz="0" w:space="0" w:color="auto"/>
            <w:left w:val="none" w:sz="0" w:space="0" w:color="auto"/>
            <w:bottom w:val="none" w:sz="0" w:space="0" w:color="auto"/>
            <w:right w:val="none" w:sz="0" w:space="0" w:color="auto"/>
          </w:divBdr>
        </w:div>
        <w:div w:id="639923194">
          <w:marLeft w:val="480"/>
          <w:marRight w:val="0"/>
          <w:marTop w:val="0"/>
          <w:marBottom w:val="0"/>
          <w:divBdr>
            <w:top w:val="none" w:sz="0" w:space="0" w:color="auto"/>
            <w:left w:val="none" w:sz="0" w:space="0" w:color="auto"/>
            <w:bottom w:val="none" w:sz="0" w:space="0" w:color="auto"/>
            <w:right w:val="none" w:sz="0" w:space="0" w:color="auto"/>
          </w:divBdr>
        </w:div>
        <w:div w:id="641886507">
          <w:marLeft w:val="480"/>
          <w:marRight w:val="0"/>
          <w:marTop w:val="0"/>
          <w:marBottom w:val="0"/>
          <w:divBdr>
            <w:top w:val="none" w:sz="0" w:space="0" w:color="auto"/>
            <w:left w:val="none" w:sz="0" w:space="0" w:color="auto"/>
            <w:bottom w:val="none" w:sz="0" w:space="0" w:color="auto"/>
            <w:right w:val="none" w:sz="0" w:space="0" w:color="auto"/>
          </w:divBdr>
        </w:div>
        <w:div w:id="682367139">
          <w:marLeft w:val="480"/>
          <w:marRight w:val="0"/>
          <w:marTop w:val="0"/>
          <w:marBottom w:val="0"/>
          <w:divBdr>
            <w:top w:val="none" w:sz="0" w:space="0" w:color="auto"/>
            <w:left w:val="none" w:sz="0" w:space="0" w:color="auto"/>
            <w:bottom w:val="none" w:sz="0" w:space="0" w:color="auto"/>
            <w:right w:val="none" w:sz="0" w:space="0" w:color="auto"/>
          </w:divBdr>
        </w:div>
        <w:div w:id="723455989">
          <w:marLeft w:val="480"/>
          <w:marRight w:val="0"/>
          <w:marTop w:val="0"/>
          <w:marBottom w:val="0"/>
          <w:divBdr>
            <w:top w:val="none" w:sz="0" w:space="0" w:color="auto"/>
            <w:left w:val="none" w:sz="0" w:space="0" w:color="auto"/>
            <w:bottom w:val="none" w:sz="0" w:space="0" w:color="auto"/>
            <w:right w:val="none" w:sz="0" w:space="0" w:color="auto"/>
          </w:divBdr>
        </w:div>
        <w:div w:id="754859717">
          <w:marLeft w:val="480"/>
          <w:marRight w:val="0"/>
          <w:marTop w:val="0"/>
          <w:marBottom w:val="0"/>
          <w:divBdr>
            <w:top w:val="none" w:sz="0" w:space="0" w:color="auto"/>
            <w:left w:val="none" w:sz="0" w:space="0" w:color="auto"/>
            <w:bottom w:val="none" w:sz="0" w:space="0" w:color="auto"/>
            <w:right w:val="none" w:sz="0" w:space="0" w:color="auto"/>
          </w:divBdr>
        </w:div>
        <w:div w:id="786579225">
          <w:marLeft w:val="480"/>
          <w:marRight w:val="0"/>
          <w:marTop w:val="0"/>
          <w:marBottom w:val="0"/>
          <w:divBdr>
            <w:top w:val="none" w:sz="0" w:space="0" w:color="auto"/>
            <w:left w:val="none" w:sz="0" w:space="0" w:color="auto"/>
            <w:bottom w:val="none" w:sz="0" w:space="0" w:color="auto"/>
            <w:right w:val="none" w:sz="0" w:space="0" w:color="auto"/>
          </w:divBdr>
        </w:div>
        <w:div w:id="840704078">
          <w:marLeft w:val="480"/>
          <w:marRight w:val="0"/>
          <w:marTop w:val="0"/>
          <w:marBottom w:val="0"/>
          <w:divBdr>
            <w:top w:val="none" w:sz="0" w:space="0" w:color="auto"/>
            <w:left w:val="none" w:sz="0" w:space="0" w:color="auto"/>
            <w:bottom w:val="none" w:sz="0" w:space="0" w:color="auto"/>
            <w:right w:val="none" w:sz="0" w:space="0" w:color="auto"/>
          </w:divBdr>
        </w:div>
        <w:div w:id="907694005">
          <w:marLeft w:val="480"/>
          <w:marRight w:val="0"/>
          <w:marTop w:val="0"/>
          <w:marBottom w:val="0"/>
          <w:divBdr>
            <w:top w:val="none" w:sz="0" w:space="0" w:color="auto"/>
            <w:left w:val="none" w:sz="0" w:space="0" w:color="auto"/>
            <w:bottom w:val="none" w:sz="0" w:space="0" w:color="auto"/>
            <w:right w:val="none" w:sz="0" w:space="0" w:color="auto"/>
          </w:divBdr>
        </w:div>
        <w:div w:id="921988499">
          <w:marLeft w:val="480"/>
          <w:marRight w:val="0"/>
          <w:marTop w:val="0"/>
          <w:marBottom w:val="0"/>
          <w:divBdr>
            <w:top w:val="none" w:sz="0" w:space="0" w:color="auto"/>
            <w:left w:val="none" w:sz="0" w:space="0" w:color="auto"/>
            <w:bottom w:val="none" w:sz="0" w:space="0" w:color="auto"/>
            <w:right w:val="none" w:sz="0" w:space="0" w:color="auto"/>
          </w:divBdr>
        </w:div>
        <w:div w:id="927428473">
          <w:marLeft w:val="480"/>
          <w:marRight w:val="0"/>
          <w:marTop w:val="0"/>
          <w:marBottom w:val="0"/>
          <w:divBdr>
            <w:top w:val="none" w:sz="0" w:space="0" w:color="auto"/>
            <w:left w:val="none" w:sz="0" w:space="0" w:color="auto"/>
            <w:bottom w:val="none" w:sz="0" w:space="0" w:color="auto"/>
            <w:right w:val="none" w:sz="0" w:space="0" w:color="auto"/>
          </w:divBdr>
        </w:div>
        <w:div w:id="936209114">
          <w:marLeft w:val="480"/>
          <w:marRight w:val="0"/>
          <w:marTop w:val="0"/>
          <w:marBottom w:val="0"/>
          <w:divBdr>
            <w:top w:val="none" w:sz="0" w:space="0" w:color="auto"/>
            <w:left w:val="none" w:sz="0" w:space="0" w:color="auto"/>
            <w:bottom w:val="none" w:sz="0" w:space="0" w:color="auto"/>
            <w:right w:val="none" w:sz="0" w:space="0" w:color="auto"/>
          </w:divBdr>
        </w:div>
        <w:div w:id="994725602">
          <w:marLeft w:val="480"/>
          <w:marRight w:val="0"/>
          <w:marTop w:val="0"/>
          <w:marBottom w:val="0"/>
          <w:divBdr>
            <w:top w:val="none" w:sz="0" w:space="0" w:color="auto"/>
            <w:left w:val="none" w:sz="0" w:space="0" w:color="auto"/>
            <w:bottom w:val="none" w:sz="0" w:space="0" w:color="auto"/>
            <w:right w:val="none" w:sz="0" w:space="0" w:color="auto"/>
          </w:divBdr>
        </w:div>
        <w:div w:id="1018042513">
          <w:marLeft w:val="480"/>
          <w:marRight w:val="0"/>
          <w:marTop w:val="0"/>
          <w:marBottom w:val="0"/>
          <w:divBdr>
            <w:top w:val="none" w:sz="0" w:space="0" w:color="auto"/>
            <w:left w:val="none" w:sz="0" w:space="0" w:color="auto"/>
            <w:bottom w:val="none" w:sz="0" w:space="0" w:color="auto"/>
            <w:right w:val="none" w:sz="0" w:space="0" w:color="auto"/>
          </w:divBdr>
        </w:div>
        <w:div w:id="1031682437">
          <w:marLeft w:val="480"/>
          <w:marRight w:val="0"/>
          <w:marTop w:val="0"/>
          <w:marBottom w:val="0"/>
          <w:divBdr>
            <w:top w:val="none" w:sz="0" w:space="0" w:color="auto"/>
            <w:left w:val="none" w:sz="0" w:space="0" w:color="auto"/>
            <w:bottom w:val="none" w:sz="0" w:space="0" w:color="auto"/>
            <w:right w:val="none" w:sz="0" w:space="0" w:color="auto"/>
          </w:divBdr>
        </w:div>
        <w:div w:id="1107966226">
          <w:marLeft w:val="480"/>
          <w:marRight w:val="0"/>
          <w:marTop w:val="0"/>
          <w:marBottom w:val="0"/>
          <w:divBdr>
            <w:top w:val="none" w:sz="0" w:space="0" w:color="auto"/>
            <w:left w:val="none" w:sz="0" w:space="0" w:color="auto"/>
            <w:bottom w:val="none" w:sz="0" w:space="0" w:color="auto"/>
            <w:right w:val="none" w:sz="0" w:space="0" w:color="auto"/>
          </w:divBdr>
        </w:div>
        <w:div w:id="1123615106">
          <w:marLeft w:val="480"/>
          <w:marRight w:val="0"/>
          <w:marTop w:val="0"/>
          <w:marBottom w:val="0"/>
          <w:divBdr>
            <w:top w:val="none" w:sz="0" w:space="0" w:color="auto"/>
            <w:left w:val="none" w:sz="0" w:space="0" w:color="auto"/>
            <w:bottom w:val="none" w:sz="0" w:space="0" w:color="auto"/>
            <w:right w:val="none" w:sz="0" w:space="0" w:color="auto"/>
          </w:divBdr>
        </w:div>
        <w:div w:id="1173691152">
          <w:marLeft w:val="480"/>
          <w:marRight w:val="0"/>
          <w:marTop w:val="0"/>
          <w:marBottom w:val="0"/>
          <w:divBdr>
            <w:top w:val="none" w:sz="0" w:space="0" w:color="auto"/>
            <w:left w:val="none" w:sz="0" w:space="0" w:color="auto"/>
            <w:bottom w:val="none" w:sz="0" w:space="0" w:color="auto"/>
            <w:right w:val="none" w:sz="0" w:space="0" w:color="auto"/>
          </w:divBdr>
        </w:div>
        <w:div w:id="1211576926">
          <w:marLeft w:val="480"/>
          <w:marRight w:val="0"/>
          <w:marTop w:val="0"/>
          <w:marBottom w:val="0"/>
          <w:divBdr>
            <w:top w:val="none" w:sz="0" w:space="0" w:color="auto"/>
            <w:left w:val="none" w:sz="0" w:space="0" w:color="auto"/>
            <w:bottom w:val="none" w:sz="0" w:space="0" w:color="auto"/>
            <w:right w:val="none" w:sz="0" w:space="0" w:color="auto"/>
          </w:divBdr>
        </w:div>
        <w:div w:id="1255168663">
          <w:marLeft w:val="480"/>
          <w:marRight w:val="0"/>
          <w:marTop w:val="0"/>
          <w:marBottom w:val="0"/>
          <w:divBdr>
            <w:top w:val="none" w:sz="0" w:space="0" w:color="auto"/>
            <w:left w:val="none" w:sz="0" w:space="0" w:color="auto"/>
            <w:bottom w:val="none" w:sz="0" w:space="0" w:color="auto"/>
            <w:right w:val="none" w:sz="0" w:space="0" w:color="auto"/>
          </w:divBdr>
        </w:div>
        <w:div w:id="1255631053">
          <w:marLeft w:val="480"/>
          <w:marRight w:val="0"/>
          <w:marTop w:val="0"/>
          <w:marBottom w:val="0"/>
          <w:divBdr>
            <w:top w:val="none" w:sz="0" w:space="0" w:color="auto"/>
            <w:left w:val="none" w:sz="0" w:space="0" w:color="auto"/>
            <w:bottom w:val="none" w:sz="0" w:space="0" w:color="auto"/>
            <w:right w:val="none" w:sz="0" w:space="0" w:color="auto"/>
          </w:divBdr>
        </w:div>
        <w:div w:id="1279752521">
          <w:marLeft w:val="480"/>
          <w:marRight w:val="0"/>
          <w:marTop w:val="0"/>
          <w:marBottom w:val="0"/>
          <w:divBdr>
            <w:top w:val="none" w:sz="0" w:space="0" w:color="auto"/>
            <w:left w:val="none" w:sz="0" w:space="0" w:color="auto"/>
            <w:bottom w:val="none" w:sz="0" w:space="0" w:color="auto"/>
            <w:right w:val="none" w:sz="0" w:space="0" w:color="auto"/>
          </w:divBdr>
        </w:div>
        <w:div w:id="1280455777">
          <w:marLeft w:val="480"/>
          <w:marRight w:val="0"/>
          <w:marTop w:val="0"/>
          <w:marBottom w:val="0"/>
          <w:divBdr>
            <w:top w:val="none" w:sz="0" w:space="0" w:color="auto"/>
            <w:left w:val="none" w:sz="0" w:space="0" w:color="auto"/>
            <w:bottom w:val="none" w:sz="0" w:space="0" w:color="auto"/>
            <w:right w:val="none" w:sz="0" w:space="0" w:color="auto"/>
          </w:divBdr>
        </w:div>
        <w:div w:id="1364286185">
          <w:marLeft w:val="480"/>
          <w:marRight w:val="0"/>
          <w:marTop w:val="0"/>
          <w:marBottom w:val="0"/>
          <w:divBdr>
            <w:top w:val="none" w:sz="0" w:space="0" w:color="auto"/>
            <w:left w:val="none" w:sz="0" w:space="0" w:color="auto"/>
            <w:bottom w:val="none" w:sz="0" w:space="0" w:color="auto"/>
            <w:right w:val="none" w:sz="0" w:space="0" w:color="auto"/>
          </w:divBdr>
        </w:div>
        <w:div w:id="1384132742">
          <w:marLeft w:val="480"/>
          <w:marRight w:val="0"/>
          <w:marTop w:val="0"/>
          <w:marBottom w:val="0"/>
          <w:divBdr>
            <w:top w:val="none" w:sz="0" w:space="0" w:color="auto"/>
            <w:left w:val="none" w:sz="0" w:space="0" w:color="auto"/>
            <w:bottom w:val="none" w:sz="0" w:space="0" w:color="auto"/>
            <w:right w:val="none" w:sz="0" w:space="0" w:color="auto"/>
          </w:divBdr>
        </w:div>
        <w:div w:id="1385979892">
          <w:marLeft w:val="480"/>
          <w:marRight w:val="0"/>
          <w:marTop w:val="0"/>
          <w:marBottom w:val="0"/>
          <w:divBdr>
            <w:top w:val="none" w:sz="0" w:space="0" w:color="auto"/>
            <w:left w:val="none" w:sz="0" w:space="0" w:color="auto"/>
            <w:bottom w:val="none" w:sz="0" w:space="0" w:color="auto"/>
            <w:right w:val="none" w:sz="0" w:space="0" w:color="auto"/>
          </w:divBdr>
        </w:div>
        <w:div w:id="1435054769">
          <w:marLeft w:val="480"/>
          <w:marRight w:val="0"/>
          <w:marTop w:val="0"/>
          <w:marBottom w:val="0"/>
          <w:divBdr>
            <w:top w:val="none" w:sz="0" w:space="0" w:color="auto"/>
            <w:left w:val="none" w:sz="0" w:space="0" w:color="auto"/>
            <w:bottom w:val="none" w:sz="0" w:space="0" w:color="auto"/>
            <w:right w:val="none" w:sz="0" w:space="0" w:color="auto"/>
          </w:divBdr>
        </w:div>
        <w:div w:id="1439836834">
          <w:marLeft w:val="480"/>
          <w:marRight w:val="0"/>
          <w:marTop w:val="0"/>
          <w:marBottom w:val="0"/>
          <w:divBdr>
            <w:top w:val="none" w:sz="0" w:space="0" w:color="auto"/>
            <w:left w:val="none" w:sz="0" w:space="0" w:color="auto"/>
            <w:bottom w:val="none" w:sz="0" w:space="0" w:color="auto"/>
            <w:right w:val="none" w:sz="0" w:space="0" w:color="auto"/>
          </w:divBdr>
        </w:div>
        <w:div w:id="1546142827">
          <w:marLeft w:val="480"/>
          <w:marRight w:val="0"/>
          <w:marTop w:val="0"/>
          <w:marBottom w:val="0"/>
          <w:divBdr>
            <w:top w:val="none" w:sz="0" w:space="0" w:color="auto"/>
            <w:left w:val="none" w:sz="0" w:space="0" w:color="auto"/>
            <w:bottom w:val="none" w:sz="0" w:space="0" w:color="auto"/>
            <w:right w:val="none" w:sz="0" w:space="0" w:color="auto"/>
          </w:divBdr>
        </w:div>
        <w:div w:id="1595283321">
          <w:marLeft w:val="480"/>
          <w:marRight w:val="0"/>
          <w:marTop w:val="0"/>
          <w:marBottom w:val="0"/>
          <w:divBdr>
            <w:top w:val="none" w:sz="0" w:space="0" w:color="auto"/>
            <w:left w:val="none" w:sz="0" w:space="0" w:color="auto"/>
            <w:bottom w:val="none" w:sz="0" w:space="0" w:color="auto"/>
            <w:right w:val="none" w:sz="0" w:space="0" w:color="auto"/>
          </w:divBdr>
        </w:div>
        <w:div w:id="1646543240">
          <w:marLeft w:val="480"/>
          <w:marRight w:val="0"/>
          <w:marTop w:val="0"/>
          <w:marBottom w:val="0"/>
          <w:divBdr>
            <w:top w:val="none" w:sz="0" w:space="0" w:color="auto"/>
            <w:left w:val="none" w:sz="0" w:space="0" w:color="auto"/>
            <w:bottom w:val="none" w:sz="0" w:space="0" w:color="auto"/>
            <w:right w:val="none" w:sz="0" w:space="0" w:color="auto"/>
          </w:divBdr>
        </w:div>
        <w:div w:id="1647737988">
          <w:marLeft w:val="480"/>
          <w:marRight w:val="0"/>
          <w:marTop w:val="0"/>
          <w:marBottom w:val="0"/>
          <w:divBdr>
            <w:top w:val="none" w:sz="0" w:space="0" w:color="auto"/>
            <w:left w:val="none" w:sz="0" w:space="0" w:color="auto"/>
            <w:bottom w:val="none" w:sz="0" w:space="0" w:color="auto"/>
            <w:right w:val="none" w:sz="0" w:space="0" w:color="auto"/>
          </w:divBdr>
        </w:div>
        <w:div w:id="1715805972">
          <w:marLeft w:val="480"/>
          <w:marRight w:val="0"/>
          <w:marTop w:val="0"/>
          <w:marBottom w:val="0"/>
          <w:divBdr>
            <w:top w:val="none" w:sz="0" w:space="0" w:color="auto"/>
            <w:left w:val="none" w:sz="0" w:space="0" w:color="auto"/>
            <w:bottom w:val="none" w:sz="0" w:space="0" w:color="auto"/>
            <w:right w:val="none" w:sz="0" w:space="0" w:color="auto"/>
          </w:divBdr>
        </w:div>
        <w:div w:id="1726829337">
          <w:marLeft w:val="480"/>
          <w:marRight w:val="0"/>
          <w:marTop w:val="0"/>
          <w:marBottom w:val="0"/>
          <w:divBdr>
            <w:top w:val="none" w:sz="0" w:space="0" w:color="auto"/>
            <w:left w:val="none" w:sz="0" w:space="0" w:color="auto"/>
            <w:bottom w:val="none" w:sz="0" w:space="0" w:color="auto"/>
            <w:right w:val="none" w:sz="0" w:space="0" w:color="auto"/>
          </w:divBdr>
        </w:div>
        <w:div w:id="1736321392">
          <w:marLeft w:val="480"/>
          <w:marRight w:val="0"/>
          <w:marTop w:val="0"/>
          <w:marBottom w:val="0"/>
          <w:divBdr>
            <w:top w:val="none" w:sz="0" w:space="0" w:color="auto"/>
            <w:left w:val="none" w:sz="0" w:space="0" w:color="auto"/>
            <w:bottom w:val="none" w:sz="0" w:space="0" w:color="auto"/>
            <w:right w:val="none" w:sz="0" w:space="0" w:color="auto"/>
          </w:divBdr>
        </w:div>
        <w:div w:id="1759254153">
          <w:marLeft w:val="480"/>
          <w:marRight w:val="0"/>
          <w:marTop w:val="0"/>
          <w:marBottom w:val="0"/>
          <w:divBdr>
            <w:top w:val="none" w:sz="0" w:space="0" w:color="auto"/>
            <w:left w:val="none" w:sz="0" w:space="0" w:color="auto"/>
            <w:bottom w:val="none" w:sz="0" w:space="0" w:color="auto"/>
            <w:right w:val="none" w:sz="0" w:space="0" w:color="auto"/>
          </w:divBdr>
        </w:div>
        <w:div w:id="1815101476">
          <w:marLeft w:val="480"/>
          <w:marRight w:val="0"/>
          <w:marTop w:val="0"/>
          <w:marBottom w:val="0"/>
          <w:divBdr>
            <w:top w:val="none" w:sz="0" w:space="0" w:color="auto"/>
            <w:left w:val="none" w:sz="0" w:space="0" w:color="auto"/>
            <w:bottom w:val="none" w:sz="0" w:space="0" w:color="auto"/>
            <w:right w:val="none" w:sz="0" w:space="0" w:color="auto"/>
          </w:divBdr>
        </w:div>
        <w:div w:id="1823621394">
          <w:marLeft w:val="480"/>
          <w:marRight w:val="0"/>
          <w:marTop w:val="0"/>
          <w:marBottom w:val="0"/>
          <w:divBdr>
            <w:top w:val="none" w:sz="0" w:space="0" w:color="auto"/>
            <w:left w:val="none" w:sz="0" w:space="0" w:color="auto"/>
            <w:bottom w:val="none" w:sz="0" w:space="0" w:color="auto"/>
            <w:right w:val="none" w:sz="0" w:space="0" w:color="auto"/>
          </w:divBdr>
        </w:div>
        <w:div w:id="1823691591">
          <w:marLeft w:val="480"/>
          <w:marRight w:val="0"/>
          <w:marTop w:val="0"/>
          <w:marBottom w:val="0"/>
          <w:divBdr>
            <w:top w:val="none" w:sz="0" w:space="0" w:color="auto"/>
            <w:left w:val="none" w:sz="0" w:space="0" w:color="auto"/>
            <w:bottom w:val="none" w:sz="0" w:space="0" w:color="auto"/>
            <w:right w:val="none" w:sz="0" w:space="0" w:color="auto"/>
          </w:divBdr>
        </w:div>
        <w:div w:id="1874539700">
          <w:marLeft w:val="480"/>
          <w:marRight w:val="0"/>
          <w:marTop w:val="0"/>
          <w:marBottom w:val="0"/>
          <w:divBdr>
            <w:top w:val="none" w:sz="0" w:space="0" w:color="auto"/>
            <w:left w:val="none" w:sz="0" w:space="0" w:color="auto"/>
            <w:bottom w:val="none" w:sz="0" w:space="0" w:color="auto"/>
            <w:right w:val="none" w:sz="0" w:space="0" w:color="auto"/>
          </w:divBdr>
        </w:div>
        <w:div w:id="1950971928">
          <w:marLeft w:val="480"/>
          <w:marRight w:val="0"/>
          <w:marTop w:val="0"/>
          <w:marBottom w:val="0"/>
          <w:divBdr>
            <w:top w:val="none" w:sz="0" w:space="0" w:color="auto"/>
            <w:left w:val="none" w:sz="0" w:space="0" w:color="auto"/>
            <w:bottom w:val="none" w:sz="0" w:space="0" w:color="auto"/>
            <w:right w:val="none" w:sz="0" w:space="0" w:color="auto"/>
          </w:divBdr>
        </w:div>
        <w:div w:id="1956405127">
          <w:marLeft w:val="480"/>
          <w:marRight w:val="0"/>
          <w:marTop w:val="0"/>
          <w:marBottom w:val="0"/>
          <w:divBdr>
            <w:top w:val="none" w:sz="0" w:space="0" w:color="auto"/>
            <w:left w:val="none" w:sz="0" w:space="0" w:color="auto"/>
            <w:bottom w:val="none" w:sz="0" w:space="0" w:color="auto"/>
            <w:right w:val="none" w:sz="0" w:space="0" w:color="auto"/>
          </w:divBdr>
        </w:div>
        <w:div w:id="1996495031">
          <w:marLeft w:val="480"/>
          <w:marRight w:val="0"/>
          <w:marTop w:val="0"/>
          <w:marBottom w:val="0"/>
          <w:divBdr>
            <w:top w:val="none" w:sz="0" w:space="0" w:color="auto"/>
            <w:left w:val="none" w:sz="0" w:space="0" w:color="auto"/>
            <w:bottom w:val="none" w:sz="0" w:space="0" w:color="auto"/>
            <w:right w:val="none" w:sz="0" w:space="0" w:color="auto"/>
          </w:divBdr>
        </w:div>
        <w:div w:id="2079358131">
          <w:marLeft w:val="480"/>
          <w:marRight w:val="0"/>
          <w:marTop w:val="0"/>
          <w:marBottom w:val="0"/>
          <w:divBdr>
            <w:top w:val="none" w:sz="0" w:space="0" w:color="auto"/>
            <w:left w:val="none" w:sz="0" w:space="0" w:color="auto"/>
            <w:bottom w:val="none" w:sz="0" w:space="0" w:color="auto"/>
            <w:right w:val="none" w:sz="0" w:space="0" w:color="auto"/>
          </w:divBdr>
        </w:div>
        <w:div w:id="2102481917">
          <w:marLeft w:val="480"/>
          <w:marRight w:val="0"/>
          <w:marTop w:val="0"/>
          <w:marBottom w:val="0"/>
          <w:divBdr>
            <w:top w:val="none" w:sz="0" w:space="0" w:color="auto"/>
            <w:left w:val="none" w:sz="0" w:space="0" w:color="auto"/>
            <w:bottom w:val="none" w:sz="0" w:space="0" w:color="auto"/>
            <w:right w:val="none" w:sz="0" w:space="0" w:color="auto"/>
          </w:divBdr>
        </w:div>
        <w:div w:id="2108382195">
          <w:marLeft w:val="480"/>
          <w:marRight w:val="0"/>
          <w:marTop w:val="0"/>
          <w:marBottom w:val="0"/>
          <w:divBdr>
            <w:top w:val="none" w:sz="0" w:space="0" w:color="auto"/>
            <w:left w:val="none" w:sz="0" w:space="0" w:color="auto"/>
            <w:bottom w:val="none" w:sz="0" w:space="0" w:color="auto"/>
            <w:right w:val="none" w:sz="0" w:space="0" w:color="auto"/>
          </w:divBdr>
        </w:div>
        <w:div w:id="2118676916">
          <w:marLeft w:val="480"/>
          <w:marRight w:val="0"/>
          <w:marTop w:val="0"/>
          <w:marBottom w:val="0"/>
          <w:divBdr>
            <w:top w:val="none" w:sz="0" w:space="0" w:color="auto"/>
            <w:left w:val="none" w:sz="0" w:space="0" w:color="auto"/>
            <w:bottom w:val="none" w:sz="0" w:space="0" w:color="auto"/>
            <w:right w:val="none" w:sz="0" w:space="0" w:color="auto"/>
          </w:divBdr>
        </w:div>
        <w:div w:id="2140565814">
          <w:marLeft w:val="480"/>
          <w:marRight w:val="0"/>
          <w:marTop w:val="0"/>
          <w:marBottom w:val="0"/>
          <w:divBdr>
            <w:top w:val="none" w:sz="0" w:space="0" w:color="auto"/>
            <w:left w:val="none" w:sz="0" w:space="0" w:color="auto"/>
            <w:bottom w:val="none" w:sz="0" w:space="0" w:color="auto"/>
            <w:right w:val="none" w:sz="0" w:space="0" w:color="auto"/>
          </w:divBdr>
        </w:div>
      </w:divsChild>
    </w:div>
    <w:div w:id="2012102529">
      <w:bodyDiv w:val="1"/>
      <w:marLeft w:val="0"/>
      <w:marRight w:val="0"/>
      <w:marTop w:val="0"/>
      <w:marBottom w:val="0"/>
      <w:divBdr>
        <w:top w:val="none" w:sz="0" w:space="0" w:color="auto"/>
        <w:left w:val="none" w:sz="0" w:space="0" w:color="auto"/>
        <w:bottom w:val="none" w:sz="0" w:space="0" w:color="auto"/>
        <w:right w:val="none" w:sz="0" w:space="0" w:color="auto"/>
      </w:divBdr>
    </w:div>
    <w:div w:id="2015035420">
      <w:bodyDiv w:val="1"/>
      <w:marLeft w:val="0"/>
      <w:marRight w:val="0"/>
      <w:marTop w:val="0"/>
      <w:marBottom w:val="0"/>
      <w:divBdr>
        <w:top w:val="none" w:sz="0" w:space="0" w:color="auto"/>
        <w:left w:val="none" w:sz="0" w:space="0" w:color="auto"/>
        <w:bottom w:val="none" w:sz="0" w:space="0" w:color="auto"/>
        <w:right w:val="none" w:sz="0" w:space="0" w:color="auto"/>
      </w:divBdr>
    </w:div>
    <w:div w:id="2038851445">
      <w:bodyDiv w:val="1"/>
      <w:marLeft w:val="0"/>
      <w:marRight w:val="0"/>
      <w:marTop w:val="0"/>
      <w:marBottom w:val="0"/>
      <w:divBdr>
        <w:top w:val="none" w:sz="0" w:space="0" w:color="auto"/>
        <w:left w:val="none" w:sz="0" w:space="0" w:color="auto"/>
        <w:bottom w:val="none" w:sz="0" w:space="0" w:color="auto"/>
        <w:right w:val="none" w:sz="0" w:space="0" w:color="auto"/>
      </w:divBdr>
    </w:div>
    <w:div w:id="2040351795">
      <w:bodyDiv w:val="1"/>
      <w:marLeft w:val="0"/>
      <w:marRight w:val="0"/>
      <w:marTop w:val="0"/>
      <w:marBottom w:val="0"/>
      <w:divBdr>
        <w:top w:val="none" w:sz="0" w:space="0" w:color="auto"/>
        <w:left w:val="none" w:sz="0" w:space="0" w:color="auto"/>
        <w:bottom w:val="none" w:sz="0" w:space="0" w:color="auto"/>
        <w:right w:val="none" w:sz="0" w:space="0" w:color="auto"/>
      </w:divBdr>
    </w:div>
    <w:div w:id="2051569330">
      <w:bodyDiv w:val="1"/>
      <w:marLeft w:val="0"/>
      <w:marRight w:val="0"/>
      <w:marTop w:val="0"/>
      <w:marBottom w:val="0"/>
      <w:divBdr>
        <w:top w:val="none" w:sz="0" w:space="0" w:color="auto"/>
        <w:left w:val="none" w:sz="0" w:space="0" w:color="auto"/>
        <w:bottom w:val="none" w:sz="0" w:space="0" w:color="auto"/>
        <w:right w:val="none" w:sz="0" w:space="0" w:color="auto"/>
      </w:divBdr>
    </w:div>
    <w:div w:id="2053309654">
      <w:bodyDiv w:val="1"/>
      <w:marLeft w:val="0"/>
      <w:marRight w:val="0"/>
      <w:marTop w:val="0"/>
      <w:marBottom w:val="0"/>
      <w:divBdr>
        <w:top w:val="none" w:sz="0" w:space="0" w:color="auto"/>
        <w:left w:val="none" w:sz="0" w:space="0" w:color="auto"/>
        <w:bottom w:val="none" w:sz="0" w:space="0" w:color="auto"/>
        <w:right w:val="none" w:sz="0" w:space="0" w:color="auto"/>
      </w:divBdr>
    </w:div>
    <w:div w:id="2053536505">
      <w:bodyDiv w:val="1"/>
      <w:marLeft w:val="0"/>
      <w:marRight w:val="0"/>
      <w:marTop w:val="0"/>
      <w:marBottom w:val="0"/>
      <w:divBdr>
        <w:top w:val="none" w:sz="0" w:space="0" w:color="auto"/>
        <w:left w:val="none" w:sz="0" w:space="0" w:color="auto"/>
        <w:bottom w:val="none" w:sz="0" w:space="0" w:color="auto"/>
        <w:right w:val="none" w:sz="0" w:space="0" w:color="auto"/>
      </w:divBdr>
    </w:div>
    <w:div w:id="2053576267">
      <w:bodyDiv w:val="1"/>
      <w:marLeft w:val="0"/>
      <w:marRight w:val="0"/>
      <w:marTop w:val="0"/>
      <w:marBottom w:val="0"/>
      <w:divBdr>
        <w:top w:val="none" w:sz="0" w:space="0" w:color="auto"/>
        <w:left w:val="none" w:sz="0" w:space="0" w:color="auto"/>
        <w:bottom w:val="none" w:sz="0" w:space="0" w:color="auto"/>
        <w:right w:val="none" w:sz="0" w:space="0" w:color="auto"/>
      </w:divBdr>
    </w:div>
    <w:div w:id="2058969804">
      <w:bodyDiv w:val="1"/>
      <w:marLeft w:val="0"/>
      <w:marRight w:val="0"/>
      <w:marTop w:val="0"/>
      <w:marBottom w:val="0"/>
      <w:divBdr>
        <w:top w:val="none" w:sz="0" w:space="0" w:color="auto"/>
        <w:left w:val="none" w:sz="0" w:space="0" w:color="auto"/>
        <w:bottom w:val="none" w:sz="0" w:space="0" w:color="auto"/>
        <w:right w:val="none" w:sz="0" w:space="0" w:color="auto"/>
      </w:divBdr>
    </w:div>
    <w:div w:id="2059284262">
      <w:bodyDiv w:val="1"/>
      <w:marLeft w:val="0"/>
      <w:marRight w:val="0"/>
      <w:marTop w:val="0"/>
      <w:marBottom w:val="0"/>
      <w:divBdr>
        <w:top w:val="none" w:sz="0" w:space="0" w:color="auto"/>
        <w:left w:val="none" w:sz="0" w:space="0" w:color="auto"/>
        <w:bottom w:val="none" w:sz="0" w:space="0" w:color="auto"/>
        <w:right w:val="none" w:sz="0" w:space="0" w:color="auto"/>
      </w:divBdr>
    </w:div>
    <w:div w:id="2059619269">
      <w:bodyDiv w:val="1"/>
      <w:marLeft w:val="0"/>
      <w:marRight w:val="0"/>
      <w:marTop w:val="0"/>
      <w:marBottom w:val="0"/>
      <w:divBdr>
        <w:top w:val="none" w:sz="0" w:space="0" w:color="auto"/>
        <w:left w:val="none" w:sz="0" w:space="0" w:color="auto"/>
        <w:bottom w:val="none" w:sz="0" w:space="0" w:color="auto"/>
        <w:right w:val="none" w:sz="0" w:space="0" w:color="auto"/>
      </w:divBdr>
    </w:div>
    <w:div w:id="2068793360">
      <w:bodyDiv w:val="1"/>
      <w:marLeft w:val="0"/>
      <w:marRight w:val="0"/>
      <w:marTop w:val="0"/>
      <w:marBottom w:val="0"/>
      <w:divBdr>
        <w:top w:val="none" w:sz="0" w:space="0" w:color="auto"/>
        <w:left w:val="none" w:sz="0" w:space="0" w:color="auto"/>
        <w:bottom w:val="none" w:sz="0" w:space="0" w:color="auto"/>
        <w:right w:val="none" w:sz="0" w:space="0" w:color="auto"/>
      </w:divBdr>
    </w:div>
    <w:div w:id="2073501955">
      <w:bodyDiv w:val="1"/>
      <w:marLeft w:val="0"/>
      <w:marRight w:val="0"/>
      <w:marTop w:val="0"/>
      <w:marBottom w:val="0"/>
      <w:divBdr>
        <w:top w:val="none" w:sz="0" w:space="0" w:color="auto"/>
        <w:left w:val="none" w:sz="0" w:space="0" w:color="auto"/>
        <w:bottom w:val="none" w:sz="0" w:space="0" w:color="auto"/>
        <w:right w:val="none" w:sz="0" w:space="0" w:color="auto"/>
      </w:divBdr>
    </w:div>
    <w:div w:id="2076392163">
      <w:bodyDiv w:val="1"/>
      <w:marLeft w:val="0"/>
      <w:marRight w:val="0"/>
      <w:marTop w:val="0"/>
      <w:marBottom w:val="0"/>
      <w:divBdr>
        <w:top w:val="none" w:sz="0" w:space="0" w:color="auto"/>
        <w:left w:val="none" w:sz="0" w:space="0" w:color="auto"/>
        <w:bottom w:val="none" w:sz="0" w:space="0" w:color="auto"/>
        <w:right w:val="none" w:sz="0" w:space="0" w:color="auto"/>
      </w:divBdr>
    </w:div>
    <w:div w:id="2083406781">
      <w:bodyDiv w:val="1"/>
      <w:marLeft w:val="0"/>
      <w:marRight w:val="0"/>
      <w:marTop w:val="0"/>
      <w:marBottom w:val="0"/>
      <w:divBdr>
        <w:top w:val="none" w:sz="0" w:space="0" w:color="auto"/>
        <w:left w:val="none" w:sz="0" w:space="0" w:color="auto"/>
        <w:bottom w:val="none" w:sz="0" w:space="0" w:color="auto"/>
        <w:right w:val="none" w:sz="0" w:space="0" w:color="auto"/>
      </w:divBdr>
    </w:div>
    <w:div w:id="2096826664">
      <w:bodyDiv w:val="1"/>
      <w:marLeft w:val="0"/>
      <w:marRight w:val="0"/>
      <w:marTop w:val="0"/>
      <w:marBottom w:val="0"/>
      <w:divBdr>
        <w:top w:val="none" w:sz="0" w:space="0" w:color="auto"/>
        <w:left w:val="none" w:sz="0" w:space="0" w:color="auto"/>
        <w:bottom w:val="none" w:sz="0" w:space="0" w:color="auto"/>
        <w:right w:val="none" w:sz="0" w:space="0" w:color="auto"/>
      </w:divBdr>
    </w:div>
    <w:div w:id="2117749192">
      <w:bodyDiv w:val="1"/>
      <w:marLeft w:val="0"/>
      <w:marRight w:val="0"/>
      <w:marTop w:val="0"/>
      <w:marBottom w:val="0"/>
      <w:divBdr>
        <w:top w:val="none" w:sz="0" w:space="0" w:color="auto"/>
        <w:left w:val="none" w:sz="0" w:space="0" w:color="auto"/>
        <w:bottom w:val="none" w:sz="0" w:space="0" w:color="auto"/>
        <w:right w:val="none" w:sz="0" w:space="0" w:color="auto"/>
      </w:divBdr>
    </w:div>
    <w:div w:id="2119711260">
      <w:bodyDiv w:val="1"/>
      <w:marLeft w:val="0"/>
      <w:marRight w:val="0"/>
      <w:marTop w:val="0"/>
      <w:marBottom w:val="0"/>
      <w:divBdr>
        <w:top w:val="none" w:sz="0" w:space="0" w:color="auto"/>
        <w:left w:val="none" w:sz="0" w:space="0" w:color="auto"/>
        <w:bottom w:val="none" w:sz="0" w:space="0" w:color="auto"/>
        <w:right w:val="none" w:sz="0" w:space="0" w:color="auto"/>
      </w:divBdr>
    </w:div>
    <w:div w:id="2121995011">
      <w:bodyDiv w:val="1"/>
      <w:marLeft w:val="0"/>
      <w:marRight w:val="0"/>
      <w:marTop w:val="0"/>
      <w:marBottom w:val="0"/>
      <w:divBdr>
        <w:top w:val="none" w:sz="0" w:space="0" w:color="auto"/>
        <w:left w:val="none" w:sz="0" w:space="0" w:color="auto"/>
        <w:bottom w:val="none" w:sz="0" w:space="0" w:color="auto"/>
        <w:right w:val="none" w:sz="0" w:space="0" w:color="auto"/>
      </w:divBdr>
    </w:div>
    <w:div w:id="2129928979">
      <w:bodyDiv w:val="1"/>
      <w:marLeft w:val="0"/>
      <w:marRight w:val="0"/>
      <w:marTop w:val="0"/>
      <w:marBottom w:val="0"/>
      <w:divBdr>
        <w:top w:val="none" w:sz="0" w:space="0" w:color="auto"/>
        <w:left w:val="none" w:sz="0" w:space="0" w:color="auto"/>
        <w:bottom w:val="none" w:sz="0" w:space="0" w:color="auto"/>
        <w:right w:val="none" w:sz="0" w:space="0" w:color="auto"/>
      </w:divBdr>
    </w:div>
    <w:div w:id="2130120060">
      <w:bodyDiv w:val="1"/>
      <w:marLeft w:val="0"/>
      <w:marRight w:val="0"/>
      <w:marTop w:val="0"/>
      <w:marBottom w:val="0"/>
      <w:divBdr>
        <w:top w:val="none" w:sz="0" w:space="0" w:color="auto"/>
        <w:left w:val="none" w:sz="0" w:space="0" w:color="auto"/>
        <w:bottom w:val="none" w:sz="0" w:space="0" w:color="auto"/>
        <w:right w:val="none" w:sz="0" w:space="0" w:color="auto"/>
      </w:divBdr>
    </w:div>
    <w:div w:id="2136752050">
      <w:bodyDiv w:val="1"/>
      <w:marLeft w:val="0"/>
      <w:marRight w:val="0"/>
      <w:marTop w:val="0"/>
      <w:marBottom w:val="0"/>
      <w:divBdr>
        <w:top w:val="none" w:sz="0" w:space="0" w:color="auto"/>
        <w:left w:val="none" w:sz="0" w:space="0" w:color="auto"/>
        <w:bottom w:val="none" w:sz="0" w:space="0" w:color="auto"/>
        <w:right w:val="none" w:sz="0" w:space="0" w:color="auto"/>
      </w:divBdr>
    </w:div>
    <w:div w:id="2137480935">
      <w:bodyDiv w:val="1"/>
      <w:marLeft w:val="0"/>
      <w:marRight w:val="0"/>
      <w:marTop w:val="0"/>
      <w:marBottom w:val="0"/>
      <w:divBdr>
        <w:top w:val="none" w:sz="0" w:space="0" w:color="auto"/>
        <w:left w:val="none" w:sz="0" w:space="0" w:color="auto"/>
        <w:bottom w:val="none" w:sz="0" w:space="0" w:color="auto"/>
        <w:right w:val="none" w:sz="0" w:space="0" w:color="auto"/>
      </w:divBdr>
    </w:div>
    <w:div w:id="2144538409">
      <w:bodyDiv w:val="1"/>
      <w:marLeft w:val="0"/>
      <w:marRight w:val="0"/>
      <w:marTop w:val="0"/>
      <w:marBottom w:val="0"/>
      <w:divBdr>
        <w:top w:val="none" w:sz="0" w:space="0" w:color="auto"/>
        <w:left w:val="none" w:sz="0" w:space="0" w:color="auto"/>
        <w:bottom w:val="none" w:sz="0" w:space="0" w:color="auto"/>
        <w:right w:val="none" w:sz="0" w:space="0" w:color="auto"/>
      </w:divBdr>
    </w:div>
    <w:div w:id="214561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hyperlink" Target="https://doi.org/10.1093/jae/ejac051" TargetMode="External"/><Relationship Id="rId68" Type="http://schemas.openxmlformats.org/officeDocument/2006/relationships/hyperlink" Target="https://s3-eu-west-1.amazonaws.com/s3.sourceafrica.net/documents/119133/Jubilee-Manifesto-2013.pdf" TargetMode="Externa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eader" Target="header9.xml"/><Relationship Id="rId53" Type="http://schemas.openxmlformats.org/officeDocument/2006/relationships/hyperlink" Target="https://eur03.safelinks.protection.outlook.com/?url=https%3A%2F%2Fwww.brookings.edu%2Fwp-content%2Fuploads%2F2016%2F07%2Fkenya-country-case.pdf&amp;data=05%7C01%7Cndejong%40ese.eur.nl%7Cc18b75ea367841b741a208db58435fcf%7C715902d6f63e4b8d929b4bb170bad492%7C0%7C0%7C638200818619180553%7CUnknown%7CTWFpbGZsb3d8eyJWIjoiMC4wLjAwMDAiLCJQIjoiV2luMzIiLCJBTiI6Ik1haWwiLCJXVCI6Mn0%3D%7C3000%7C%7C%7C&amp;sdata=YmvAUxRRLBUxD8zm%2Fi0EDVR%2Ftoetr5U5rYFpSm60XcY%3D&amp;reserved=0" TargetMode="External"/><Relationship Id="rId58" Type="http://schemas.openxmlformats.org/officeDocument/2006/relationships/hyperlink" Target="https://www.afd.fr/en/ressources/fiscal-incidence-inequality-and-poverty-kenya-ceq-assessment" TargetMode="External"/><Relationship Id="rId74" Type="http://schemas.openxmlformats.org/officeDocument/2006/relationships/image" Target="media/image6.png"/><Relationship Id="rId79" Type="http://schemas.openxmlformats.org/officeDocument/2006/relationships/image" Target="media/image10.jpeg"/><Relationship Id="rId5" Type="http://schemas.openxmlformats.org/officeDocument/2006/relationships/numbering" Target="numbering.xml"/><Relationship Id="rId61" Type="http://schemas.openxmlformats.org/officeDocument/2006/relationships/hyperlink" Target="https://repository.kippra.or.ke/handle/123456789/2400" TargetMode="External"/><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7.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hyperlink" Target="https://www.knbs.or.ke/exploring-kenya-s-inequality-pulling-apart-or-pooling-together/" TargetMode="External"/><Relationship Id="rId64" Type="http://schemas.openxmlformats.org/officeDocument/2006/relationships/hyperlink" Target="https://www.oecd.org/countries/kenya/1825372.pdf" TargetMode="External"/><Relationship Id="rId69" Type="http://schemas.openxmlformats.org/officeDocument/2006/relationships/hyperlink" Target="https://uda.ke/downloads/manifesto.pdf" TargetMode="External"/><Relationship Id="rId77"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hyperlink" Target="https://democracytrustfund.org/Gender-Audit-Analysis-Kenya-2022-GE.pdf" TargetMode="External"/><Relationship Id="rId72" Type="http://schemas.openxmlformats.org/officeDocument/2006/relationships/hyperlink" Target="https://databank.worldbank.org/reports.aspx?source=world-development-indicator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chart" Target="charts/chart11.xml"/><Relationship Id="rId59" Type="http://schemas.openxmlformats.org/officeDocument/2006/relationships/hyperlink" Target="https://www.afd.fr/en/ressources/inequality-kenya-trends-and-policy-responses" TargetMode="External"/><Relationship Id="rId67" Type="http://schemas.openxmlformats.org/officeDocument/2006/relationships/hyperlink" Target="http://psyg.go.ke/wp-content/uploads/2019/12/NATIONAL-POLICY-ON-GENDER-AND-DEVELOPMENT.pdf" TargetMode="External"/><Relationship Id="rId20" Type="http://schemas.openxmlformats.org/officeDocument/2006/relationships/hyperlink" Target="https://liveeur-my.sharepoint.com/personal/13096ndj_eur_nl/Documents/554.518%20GIZ%20Inequality%20Diagnostics%202022-2024/4.%20Implementation/Kenya/20230831%20NGEC-GIZ%20Kenya%20Inequality%20Diagnostic_REV2_corrected_gender%20only.docx" TargetMode="External"/><Relationship Id="rId41" Type="http://schemas.openxmlformats.org/officeDocument/2006/relationships/chart" Target="charts/chart6.xml"/><Relationship Id="rId54" Type="http://schemas.openxmlformats.org/officeDocument/2006/relationships/hyperlink" Target="https://www.econstor.eu/handle/10419/142156" TargetMode="External"/><Relationship Id="rId62" Type="http://schemas.openxmlformats.org/officeDocument/2006/relationships/hyperlink" Target="https://www.ngeckenya.org/Downloads/NGEC-GRB-Guidelines-for-National-Govt-in-Kenya.pdf" TargetMode="External"/><Relationship Id="rId70" Type="http://schemas.openxmlformats.org/officeDocument/2006/relationships/hyperlink" Target="https://www.unrisd.org/unrisd/website/document.nsf/(httpPublications)/BBA20D83E347DBAFC125778200440AA7?OpenDocument" TargetMode="External"/><Relationship Id="rId75"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chart" Target="charts/chart2.xml"/><Relationship Id="rId36" Type="http://schemas.openxmlformats.org/officeDocument/2006/relationships/footer" Target="footer8.xml"/><Relationship Id="rId49" Type="http://schemas.openxmlformats.org/officeDocument/2006/relationships/hyperlink" Target="https://doi.org/10.1093/acprof:oso/9780198744795.001.0001" TargetMode="External"/><Relationship Id="rId57" Type="http://schemas.openxmlformats.org/officeDocument/2006/relationships/hyperlink" Target="https://doi.org/10.14738/assrj.812.11314" TargetMode="External"/><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chart" Target="charts/chart9.xml"/><Relationship Id="rId52" Type="http://schemas.openxmlformats.org/officeDocument/2006/relationships/hyperlink" Target="https://www.ilo.org/secsoc/information-resources/publications-and-tools/books-and-reports/WCMS_605078/lang--en/index.htm" TargetMode="External"/><Relationship Id="rId60" Type="http://schemas.openxmlformats.org/officeDocument/2006/relationships/hyperlink" Target="http://publication.aercafricalibrary.org/handle/123456789/3381" TargetMode="External"/><Relationship Id="rId65" Type="http://schemas.openxmlformats.org/officeDocument/2006/relationships/hyperlink" Target="https://www.oxfam.org/en/kenya-extreme-inequality-numbers" TargetMode="External"/><Relationship Id="rId73" Type="http://schemas.openxmlformats.org/officeDocument/2006/relationships/hyperlink" Target="mailto:wwambua@ngeckenya.org" TargetMode="External"/><Relationship Id="rId78" Type="http://schemas.openxmlformats.org/officeDocument/2006/relationships/image" Target="media/image8.jpg"/><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labourmarket.go.ke/demand/indicator/" TargetMode="External"/><Relationship Id="rId34" Type="http://schemas.openxmlformats.org/officeDocument/2006/relationships/header" Target="header8.xml"/><Relationship Id="rId50" Type="http://schemas.openxmlformats.org/officeDocument/2006/relationships/hyperlink" Target="https://www.brookings.edu/opinions/how-much-do-we-really-know-about-inequality-within-countries-around-the-world/" TargetMode="External"/><Relationship Id="rId55" Type="http://schemas.openxmlformats.org/officeDocument/2006/relationships/hyperlink" Target="https://www.knbs.or.ke/download/economic-survey-2023/" TargetMode="External"/><Relationship Id="rId76"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hyperlink" Target="https://www.wilsoncenter.org/sites/default/files/media/documents/publication/A%20new%20Dawn%20for%20Kenya.pdf" TargetMode="Externa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footer" Target="footer5.xml"/><Relationship Id="rId40" Type="http://schemas.openxmlformats.org/officeDocument/2006/relationships/chart" Target="charts/chart5.xml"/><Relationship Id="rId45" Type="http://schemas.openxmlformats.org/officeDocument/2006/relationships/chart" Target="charts/chart10.xml"/><Relationship Id="rId66" Type="http://schemas.openxmlformats.org/officeDocument/2006/relationships/hyperlink" Target="https://www.pewresearch.org/global/2016/11/14/kenyans-worried-about-economy-and-corruption-but-optimistic-for-the-futur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sites/default/files/Documents/Countries/KE/Human_Rights-Based-Analysis-Kenya-Budget-2021-2022.pdf" TargetMode="External"/><Relationship Id="rId3" Type="http://schemas.openxmlformats.org/officeDocument/2006/relationships/hyperlink" Target="https://www.ohchr.org/sites/default/files/Documents/Countries/KE/Human_Rights-Based-Analysis-Kenya-Budget-2021-2022.pdf" TargetMode="External"/><Relationship Id="rId7" Type="http://schemas.openxmlformats.org/officeDocument/2006/relationships/hyperlink" Target="https://www.africanews.com/2022/09/30/kenya-president-ruto-wants-to-reform-tax-system-to-reduce-inequality/" TargetMode="External"/><Relationship Id="rId2" Type="http://schemas.openxmlformats.org/officeDocument/2006/relationships/hyperlink" Target="https://www.oxfam.org/en/kenya-extreme-inequality-numbers" TargetMode="External"/><Relationship Id="rId1" Type="http://schemas.openxmlformats.org/officeDocument/2006/relationships/hyperlink" Target="https://www.un.org/development/desa/socialperspectiveondevelopment/issues/inequality.html" TargetMode="External"/><Relationship Id="rId6" Type="http://schemas.openxmlformats.org/officeDocument/2006/relationships/hyperlink" Target="https://ke.opera.news/ke/en/others/5a5bd0e9cdcb6743a77c71346a715a94" TargetMode="External"/><Relationship Id="rId5" Type="http://schemas.openxmlformats.org/officeDocument/2006/relationships/hyperlink" Target="https://vision2030.go.ke/towards-2030/" TargetMode="External"/><Relationship Id="rId4" Type="http://schemas.openxmlformats.org/officeDocument/2006/relationships/hyperlink" Target="https://www.treasury.go.ke/kenya-econom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07%20Data_Extract_From_World_Development_Indicators_%20Kenya_downloaded%20on%2004-11-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17%20Data_Extract_From_World_Development_Indicators_%20Kenya_downloaded%20on%2004-11-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08%20Data_Extract_From_World_Development_Indicators_%20Kenya_downloaded%20on%2004-11-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07%20Data_Extract_From_World_Development_Indicators_%20Kenya_downloaded%20on%2004-11-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3096ndj\Downloads\20221125%20Kenya%20P_Data_Extract_From_Education_Statistics_-_All_Indicator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07%20Data_Extract_From_World_Development_Indicators_%20Kenya_downloaded%20on%2004-11-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KNBS%202020a%20poverty%20by%20count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30502%20Inequality%20indices%20based%20on%20Data_From_KNBS%202020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08%20Data_Extract_From_World_Development_Indicators_%20Kenya_downloaded%20on%2004-11-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08%20Data_Extract_From_World_Development_Indicators_%20Kenya_downloaded%20on%2004-11-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17%20Data_Extract_From_World_Development_Indicators_%20Kenya_downloaded%20on%2004-11-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17%20Data_Extract_From_World_Development_Indicators_%20Kenya_downloaded%20on%2004-11-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liveeur-my.sharepoint.com/personal/13096ndj_eur_nl/Documents/554.518%20GIZ%20Inequality%20Diagnostics%202022-2024/4.%20Implementation/Kenya/Data/20221117%20Data_Extract_From_World_Development_Indicators_%20Kenya_downloaded%20on%2004-11-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(a) GDP (constant 2015 US$ Billions)</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lineChart>
        <c:grouping val="standard"/>
        <c:varyColors val="0"/>
        <c:ser>
          <c:idx val="0"/>
          <c:order val="0"/>
          <c:tx>
            <c:strRef>
              <c:f>'Data Tab1'!$A$2</c:f>
              <c:strCache>
                <c:ptCount val="1"/>
                <c:pt idx="0">
                  <c:v>GDP (constant 2015 US$ Billions)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'Data Tab1'!$B$1:$W$1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Tab1'!$B$2:$W$2</c:f>
              <c:numCache>
                <c:formatCode>0.0</c:formatCode>
                <c:ptCount val="22"/>
                <c:pt idx="0">
                  <c:v>36.630890562882399</c:v>
                </c:pt>
                <c:pt idx="1">
                  <c:v>38.015503975527004</c:v>
                </c:pt>
                <c:pt idx="2">
                  <c:v>38.223395381961446</c:v>
                </c:pt>
                <c:pt idx="3">
                  <c:v>39.344287104277143</c:v>
                </c:pt>
                <c:pt idx="4">
                  <c:v>41.35253746292657</c:v>
                </c:pt>
                <c:pt idx="5">
                  <c:v>43.795093766386067</c:v>
                </c:pt>
                <c:pt idx="6">
                  <c:v>46.62972871416288</c:v>
                </c:pt>
                <c:pt idx="7">
                  <c:v>49.8242054208486</c:v>
                </c:pt>
                <c:pt idx="8">
                  <c:v>49.939938452781405</c:v>
                </c:pt>
                <c:pt idx="9">
                  <c:v>51.591422161717581</c:v>
                </c:pt>
                <c:pt idx="10">
                  <c:v>55.74890329798496</c:v>
                </c:pt>
                <c:pt idx="11">
                  <c:v>58.603863796446824</c:v>
                </c:pt>
                <c:pt idx="12">
                  <c:v>61.281286574995029</c:v>
                </c:pt>
                <c:pt idx="13">
                  <c:v>63.608656932132995</c:v>
                </c:pt>
                <c:pt idx="14">
                  <c:v>66.801882117214063</c:v>
                </c:pt>
                <c:pt idx="15">
                  <c:v>70.120413328783798</c:v>
                </c:pt>
                <c:pt idx="16">
                  <c:v>73.074948912647628</c:v>
                </c:pt>
                <c:pt idx="17">
                  <c:v>75.8795348873291</c:v>
                </c:pt>
                <c:pt idx="18">
                  <c:v>80.165170351716256</c:v>
                </c:pt>
                <c:pt idx="19">
                  <c:v>84.264944512031221</c:v>
                </c:pt>
                <c:pt idx="20">
                  <c:v>84.054150946045922</c:v>
                </c:pt>
                <c:pt idx="21">
                  <c:v>90.372800190218285</c:v>
                </c:pt>
              </c:numCache>
            </c:numRef>
          </c:val>
          <c:smooth val="0"/>
          <c:extLst>
            <c:ext xmlns:c16="http://schemas.microsoft.com/office/drawing/2014/chart" uri="{C3380CC4-5D6E-409C-BE32-E72D297353CC}">
              <c16:uniqueId val="{00000000-150F-451A-AE97-9AEE7E61CE49}"/>
            </c:ext>
          </c:extLst>
        </c:ser>
        <c:dLbls>
          <c:showLegendKey val="0"/>
          <c:showVal val="0"/>
          <c:showCatName val="0"/>
          <c:showSerName val="0"/>
          <c:showPercent val="0"/>
          <c:showBubbleSize val="0"/>
        </c:dLbls>
        <c:marker val="1"/>
        <c:smooth val="0"/>
        <c:axId val="996972927"/>
        <c:axId val="1434973119"/>
        <c:extLst>
          <c:ext xmlns:c15="http://schemas.microsoft.com/office/drawing/2012/chart" uri="{02D57815-91ED-43cb-92C2-25804820EDAC}">
            <c15:filteredLineSeries>
              <c15:ser>
                <c:idx val="1"/>
                <c:order val="1"/>
                <c:tx>
                  <c:strRef>
                    <c:extLst>
                      <c:ext uri="{02D57815-91ED-43cb-92C2-25804820EDAC}">
                        <c15:formulaRef>
                          <c15:sqref>'Data Tab1'!$A$3</c15:sqref>
                        </c15:formulaRef>
                      </c:ext>
                    </c:extLst>
                    <c:strCache>
                      <c:ptCount val="1"/>
                      <c:pt idx="0">
                        <c:v>GDP growth (annual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'Data Tab1'!$B$1:$W$1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c:ext uri="{02D57815-91ED-43cb-92C2-25804820EDAC}">
                        <c15:formulaRef>
                          <c15:sqref>'Data Tab1'!$B$3:$W$3</c15:sqref>
                        </c15:formulaRef>
                      </c:ext>
                    </c:extLst>
                    <c:numCache>
                      <c:formatCode>0.0</c:formatCode>
                      <c:ptCount val="22"/>
                      <c:pt idx="0">
                        <c:v>0.59969539080742607</c:v>
                      </c:pt>
                      <c:pt idx="1">
                        <c:v>3.7799064979534336</c:v>
                      </c:pt>
                      <c:pt idx="2">
                        <c:v>0.54685953017559541</c:v>
                      </c:pt>
                      <c:pt idx="3">
                        <c:v>2.932475545709039</c:v>
                      </c:pt>
                      <c:pt idx="4">
                        <c:v>5.1042997762973812</c:v>
                      </c:pt>
                      <c:pt idx="5">
                        <c:v>5.9066660798005728</c:v>
                      </c:pt>
                      <c:pt idx="6">
                        <c:v>6.4724943001548354</c:v>
                      </c:pt>
                      <c:pt idx="7">
                        <c:v>6.8507297699878364</c:v>
                      </c:pt>
                      <c:pt idx="8">
                        <c:v>0.23228274481297717</c:v>
                      </c:pt>
                      <c:pt idx="9">
                        <c:v>3.3069398163108872</c:v>
                      </c:pt>
                      <c:pt idx="10">
                        <c:v>8.0584736029090607</c:v>
                      </c:pt>
                      <c:pt idx="11">
                        <c:v>5.1211061197056011</c:v>
                      </c:pt>
                      <c:pt idx="12">
                        <c:v>4.5686796144498203</c:v>
                      </c:pt>
                      <c:pt idx="13">
                        <c:v>3.7978483925754034</c:v>
                      </c:pt>
                      <c:pt idx="14">
                        <c:v>5.020111002324839</c:v>
                      </c:pt>
                      <c:pt idx="15">
                        <c:v>4.9677211275976703</c:v>
                      </c:pt>
                      <c:pt idx="16">
                        <c:v>4.2135170681474392</c:v>
                      </c:pt>
                      <c:pt idx="17">
                        <c:v>3.837958173647209</c:v>
                      </c:pt>
                      <c:pt idx="18">
                        <c:v>5.6479464070921921</c:v>
                      </c:pt>
                      <c:pt idx="19">
                        <c:v>5.1141588576780066</c:v>
                      </c:pt>
                      <c:pt idx="20">
                        <c:v>-0.25015570496837825</c:v>
                      </c:pt>
                      <c:pt idx="21">
                        <c:v>7.5173553870388616</c:v>
                      </c:pt>
                    </c:numCache>
                  </c:numRef>
                </c:val>
                <c:smooth val="0"/>
                <c:extLst>
                  <c:ext xmlns:c16="http://schemas.microsoft.com/office/drawing/2014/chart" uri="{C3380CC4-5D6E-409C-BE32-E72D297353CC}">
                    <c16:uniqueId val="{00000001-150F-451A-AE97-9AEE7E61CE49}"/>
                  </c:ext>
                </c:extLst>
              </c15:ser>
            </c15:filteredLineSeries>
          </c:ext>
        </c:extLst>
      </c:lineChart>
      <c:catAx>
        <c:axId val="99697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434973119"/>
        <c:crosses val="autoZero"/>
        <c:auto val="1"/>
        <c:lblAlgn val="ctr"/>
        <c:lblOffset val="100"/>
        <c:noMultiLvlLbl val="0"/>
      </c:catAx>
      <c:valAx>
        <c:axId val="1434973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996972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(a) Wage and salaried employment (% of total employment)</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lineChart>
        <c:grouping val="standard"/>
        <c:varyColors val="0"/>
        <c:ser>
          <c:idx val="11"/>
          <c:order val="11"/>
          <c:tx>
            <c:strRef>
              <c:f>'Data LM'!#REF!</c:f>
              <c:strCache>
                <c:ptCount val="1"/>
                <c:pt idx="0">
                  <c:v>#REF!</c:v>
                </c:pt>
              </c:strCache>
              <c:extLst xmlns:c15="http://schemas.microsoft.com/office/drawing/2012/chart"/>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D-783C-4805-A8A1-4448E34F5A3E}"/>
            </c:ext>
          </c:extLst>
        </c:ser>
        <c:ser>
          <c:idx val="12"/>
          <c:order val="12"/>
          <c:tx>
            <c:strRef>
              <c:f>'Data LM'!#REF!</c:f>
              <c:strCache>
                <c:ptCount val="1"/>
                <c:pt idx="0">
                  <c:v>#REF!</c:v>
                </c:pt>
              </c:strCache>
              <c:extLst xmlns:c15="http://schemas.microsoft.com/office/drawing/2012/chart"/>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E-783C-4805-A8A1-4448E34F5A3E}"/>
            </c:ext>
          </c:extLst>
        </c:ser>
        <c:ser>
          <c:idx val="13"/>
          <c:order val="13"/>
          <c:tx>
            <c:strRef>
              <c:f>'Data LM'!#REF!</c:f>
              <c:strCache>
                <c:ptCount val="1"/>
                <c:pt idx="0">
                  <c:v>#REF!</c:v>
                </c:pt>
              </c:strCache>
              <c:extLst xmlns:c15="http://schemas.microsoft.com/office/drawing/2012/chart"/>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F-783C-4805-A8A1-4448E34F5A3E}"/>
            </c:ext>
          </c:extLst>
        </c:ser>
        <c:ser>
          <c:idx val="66"/>
          <c:order val="66"/>
          <c:tx>
            <c:strRef>
              <c:f>'Data LM'!$A$65</c:f>
              <c:strCache>
                <c:ptCount val="1"/>
                <c:pt idx="0">
                  <c:v>Wage and salaried workers, female (% of female employment) (modeled ILO estimate)</c:v>
                </c:pt>
              </c:strCache>
              <c:extLst xmlns:c15="http://schemas.microsoft.com/office/drawing/2012/chart"/>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LM'!$C$65:$V$65</c:f>
              <c:numCache>
                <c:formatCode>0.0</c:formatCode>
                <c:ptCount val="20"/>
                <c:pt idx="0">
                  <c:v>20.440000534057599</c:v>
                </c:pt>
                <c:pt idx="1">
                  <c:v>20.680000305175799</c:v>
                </c:pt>
                <c:pt idx="2">
                  <c:v>20.9899997711182</c:v>
                </c:pt>
                <c:pt idx="3">
                  <c:v>21.100000381469702</c:v>
                </c:pt>
                <c:pt idx="4">
                  <c:v>21.389999389648398</c:v>
                </c:pt>
                <c:pt idx="5">
                  <c:v>21.590000152587901</c:v>
                </c:pt>
                <c:pt idx="6">
                  <c:v>21.549999237060501</c:v>
                </c:pt>
                <c:pt idx="7">
                  <c:v>23.459999084472699</c:v>
                </c:pt>
                <c:pt idx="8">
                  <c:v>25.090000152587901</c:v>
                </c:pt>
                <c:pt idx="9">
                  <c:v>26.930000305175799</c:v>
                </c:pt>
                <c:pt idx="10">
                  <c:v>28.819999694824201</c:v>
                </c:pt>
                <c:pt idx="11">
                  <c:v>30.809999465942401</c:v>
                </c:pt>
                <c:pt idx="12">
                  <c:v>32.639999389648402</c:v>
                </c:pt>
                <c:pt idx="13">
                  <c:v>34.409999847412102</c:v>
                </c:pt>
                <c:pt idx="14">
                  <c:v>36.099998474121101</c:v>
                </c:pt>
                <c:pt idx="15">
                  <c:v>37.790000915527301</c:v>
                </c:pt>
                <c:pt idx="16">
                  <c:v>39.389999389648402</c:v>
                </c:pt>
                <c:pt idx="17">
                  <c:v>40.540000915527301</c:v>
                </c:pt>
                <c:pt idx="18">
                  <c:v>41.659999847412102</c:v>
                </c:pt>
                <c:pt idx="19">
                  <c:v>42.7700004577637</c:v>
                </c:pt>
              </c:numCache>
              <c:extLst/>
            </c:numRef>
          </c:val>
          <c:smooth val="0"/>
          <c:extLst xmlns:c15="http://schemas.microsoft.com/office/drawing/2012/chart">
            <c:ext xmlns:c16="http://schemas.microsoft.com/office/drawing/2014/chart" uri="{C3380CC4-5D6E-409C-BE32-E72D297353CC}">
              <c16:uniqueId val="{00000000-783C-4805-A8A1-4448E34F5A3E}"/>
            </c:ext>
          </c:extLst>
        </c:ser>
        <c:ser>
          <c:idx val="67"/>
          <c:order val="67"/>
          <c:tx>
            <c:strRef>
              <c:f>'Data LM'!$A$66</c:f>
              <c:strCache>
                <c:ptCount val="1"/>
                <c:pt idx="0">
                  <c:v>Wage and salaried workers, male (% of male employment) (modeled ILO estimate)</c:v>
                </c:pt>
              </c:strCache>
              <c:extLst xmlns:c15="http://schemas.microsoft.com/office/drawing/2012/chart"/>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LM'!$C$66:$V$66</c:f>
              <c:numCache>
                <c:formatCode>0.0</c:formatCode>
                <c:ptCount val="20"/>
                <c:pt idx="0">
                  <c:v>46.529998779296903</c:v>
                </c:pt>
                <c:pt idx="1">
                  <c:v>45.25</c:v>
                </c:pt>
                <c:pt idx="2">
                  <c:v>43.840000152587898</c:v>
                </c:pt>
                <c:pt idx="3">
                  <c:v>42.509998321533203</c:v>
                </c:pt>
                <c:pt idx="4">
                  <c:v>41.810001373291001</c:v>
                </c:pt>
                <c:pt idx="5">
                  <c:v>41.2700004577637</c:v>
                </c:pt>
                <c:pt idx="6">
                  <c:v>40.360000610351598</c:v>
                </c:pt>
                <c:pt idx="7">
                  <c:v>42.549999237060497</c:v>
                </c:pt>
                <c:pt idx="8">
                  <c:v>43.580001831054702</c:v>
                </c:pt>
                <c:pt idx="9">
                  <c:v>45.099998474121101</c:v>
                </c:pt>
                <c:pt idx="10">
                  <c:v>47.130001068115199</c:v>
                </c:pt>
                <c:pt idx="11">
                  <c:v>48.9799995422363</c:v>
                </c:pt>
                <c:pt idx="12">
                  <c:v>50.419998168945298</c:v>
                </c:pt>
                <c:pt idx="13">
                  <c:v>51.849998474121101</c:v>
                </c:pt>
                <c:pt idx="14">
                  <c:v>53.150001525878899</c:v>
                </c:pt>
                <c:pt idx="15">
                  <c:v>54.419998168945298</c:v>
                </c:pt>
                <c:pt idx="16">
                  <c:v>55.540000915527301</c:v>
                </c:pt>
                <c:pt idx="17">
                  <c:v>56.409999847412102</c:v>
                </c:pt>
                <c:pt idx="18">
                  <c:v>57.419998168945298</c:v>
                </c:pt>
                <c:pt idx="19">
                  <c:v>58.369998931884801</c:v>
                </c:pt>
              </c:numCache>
              <c:extLst/>
            </c:numRef>
          </c:val>
          <c:smooth val="0"/>
          <c:extLst xmlns:c15="http://schemas.microsoft.com/office/drawing/2012/chart">
            <c:ext xmlns:c16="http://schemas.microsoft.com/office/drawing/2014/chart" uri="{C3380CC4-5D6E-409C-BE32-E72D297353CC}">
              <c16:uniqueId val="{00000001-783C-4805-A8A1-4448E34F5A3E}"/>
            </c:ext>
          </c:extLst>
        </c:ser>
        <c:dLbls>
          <c:showLegendKey val="0"/>
          <c:showVal val="0"/>
          <c:showCatName val="0"/>
          <c:showSerName val="0"/>
          <c:showPercent val="0"/>
          <c:showBubbleSize val="0"/>
        </c:dLbls>
        <c:marker val="1"/>
        <c:smooth val="0"/>
        <c:axId val="1839849744"/>
        <c:axId val="1839858480"/>
        <c:extLst>
          <c:ext xmlns:c15="http://schemas.microsoft.com/office/drawing/2012/chart" uri="{02D57815-91ED-43cb-92C2-25804820EDAC}">
            <c15:filteredLineSeries>
              <c15:ser>
                <c:idx val="0"/>
                <c:order val="0"/>
                <c:tx>
                  <c:strRef>
                    <c:extLst>
                      <c:ext uri="{02D57815-91ED-43cb-92C2-25804820EDAC}">
                        <c15:formulaRef>
                          <c15:sqref>'Data LM'!$A$2</c15:sqref>
                        </c15:formulaRef>
                      </c:ext>
                    </c:extLst>
                    <c:strCache>
                      <c:ptCount val="1"/>
                      <c:pt idx="0">
                        <c:v>Employment in agriculture (% of total employment) (modeled ILO estimate)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'Data LM'!$C$2:$V$2</c15:sqref>
                        </c15:formulaRef>
                      </c:ext>
                    </c:extLst>
                    <c:numCache>
                      <c:formatCode>0.0</c:formatCode>
                      <c:ptCount val="20"/>
                      <c:pt idx="0">
                        <c:v>48.7299995422363</c:v>
                      </c:pt>
                      <c:pt idx="1">
                        <c:v>51.5</c:v>
                      </c:pt>
                      <c:pt idx="2">
                        <c:v>54.279998779296903</c:v>
                      </c:pt>
                      <c:pt idx="3">
                        <c:v>56.759998321533203</c:v>
                      </c:pt>
                      <c:pt idx="4">
                        <c:v>58.930000305175803</c:v>
                      </c:pt>
                      <c:pt idx="5">
                        <c:v>61.060001373291001</c:v>
                      </c:pt>
                      <c:pt idx="6">
                        <c:v>61.139999389648402</c:v>
                      </c:pt>
                      <c:pt idx="7">
                        <c:v>60.970001220703097</c:v>
                      </c:pt>
                      <c:pt idx="8">
                        <c:v>61.110000610351598</c:v>
                      </c:pt>
                      <c:pt idx="9">
                        <c:v>60.939998626708999</c:v>
                      </c:pt>
                      <c:pt idx="10">
                        <c:v>60.319999694824197</c:v>
                      </c:pt>
                      <c:pt idx="11">
                        <c:v>59.740001678466797</c:v>
                      </c:pt>
                      <c:pt idx="12">
                        <c:v>59.220001220703097</c:v>
                      </c:pt>
                      <c:pt idx="13">
                        <c:v>58.590000152587898</c:v>
                      </c:pt>
                      <c:pt idx="14">
                        <c:v>57.939998626708999</c:v>
                      </c:pt>
                      <c:pt idx="15">
                        <c:v>57.259998321533203</c:v>
                      </c:pt>
                      <c:pt idx="16">
                        <c:v>56.529998779296903</c:v>
                      </c:pt>
                      <c:pt idx="17">
                        <c:v>55.860000610351598</c:v>
                      </c:pt>
                      <c:pt idx="18">
                        <c:v>55.080001831054702</c:v>
                      </c:pt>
                      <c:pt idx="19">
                        <c:v>54.340000152587898</c:v>
                      </c:pt>
                    </c:numCache>
                  </c:numRef>
                </c:val>
                <c:smooth val="0"/>
                <c:extLst>
                  <c:ext xmlns:c16="http://schemas.microsoft.com/office/drawing/2014/chart" uri="{C3380CC4-5D6E-409C-BE32-E72D297353CC}">
                    <c16:uniqueId val="{00000002-783C-4805-A8A1-4448E34F5A3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'Data LM'!$A$3</c15:sqref>
                        </c15:formulaRef>
                      </c:ext>
                    </c:extLst>
                    <c:strCache>
                      <c:ptCount val="1"/>
                      <c:pt idx="0">
                        <c:v>Agriculture modeled ILO estimate)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LM'!$C$3:$V$3</c15:sqref>
                        </c15:formulaRef>
                      </c:ext>
                    </c:extLst>
                    <c:numCache>
                      <c:formatCode>0.0</c:formatCode>
                      <c:ptCount val="20"/>
                      <c:pt idx="0">
                        <c:v>57.740001678466797</c:v>
                      </c:pt>
                      <c:pt idx="1">
                        <c:v>60.290000915527301</c:v>
                      </c:pt>
                      <c:pt idx="2">
                        <c:v>62.599998474121101</c:v>
                      </c:pt>
                      <c:pt idx="3">
                        <c:v>64.660003662109403</c:v>
                      </c:pt>
                      <c:pt idx="4">
                        <c:v>66.459999084472699</c:v>
                      </c:pt>
                      <c:pt idx="5">
                        <c:v>68.110000610351605</c:v>
                      </c:pt>
                      <c:pt idx="6">
                        <c:v>68.330001831054702</c:v>
                      </c:pt>
                      <c:pt idx="7">
                        <c:v>68.129997253417997</c:v>
                      </c:pt>
                      <c:pt idx="8">
                        <c:v>67.879997253417997</c:v>
                      </c:pt>
                      <c:pt idx="9">
                        <c:v>67.449996948242202</c:v>
                      </c:pt>
                      <c:pt idx="10">
                        <c:v>66.790000915527301</c:v>
                      </c:pt>
                      <c:pt idx="11">
                        <c:v>66.069999694824205</c:v>
                      </c:pt>
                      <c:pt idx="12">
                        <c:v>65.360000610351605</c:v>
                      </c:pt>
                      <c:pt idx="13">
                        <c:v>64.589996337890597</c:v>
                      </c:pt>
                      <c:pt idx="14">
                        <c:v>63.779998779296903</c:v>
                      </c:pt>
                      <c:pt idx="15">
                        <c:v>62.919998168945298</c:v>
                      </c:pt>
                      <c:pt idx="16">
                        <c:v>62.049999237060497</c:v>
                      </c:pt>
                      <c:pt idx="17">
                        <c:v>61.150001525878899</c:v>
                      </c:pt>
                      <c:pt idx="18">
                        <c:v>60.240001678466797</c:v>
                      </c:pt>
                      <c:pt idx="19">
                        <c:v>59.340000152587898</c:v>
                      </c:pt>
                    </c:numCache>
                  </c:numRef>
                </c:val>
                <c:smooth val="0"/>
                <c:extLst xmlns:c15="http://schemas.microsoft.com/office/drawing/2012/chart">
                  <c:ext xmlns:c16="http://schemas.microsoft.com/office/drawing/2014/chart" uri="{C3380CC4-5D6E-409C-BE32-E72D297353CC}">
                    <c16:uniqueId val="{00000003-783C-4805-A8A1-4448E34F5A3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'Data LM'!$A$4</c15:sqref>
                        </c15:formulaRef>
                      </c:ext>
                    </c:extLst>
                    <c:strCache>
                      <c:ptCount val="1"/>
                      <c:pt idx="0">
                        <c:v>Agriculture modeled ILO estimate)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LM'!$C$4:$V$4</c15:sqref>
                        </c15:formulaRef>
                      </c:ext>
                    </c:extLst>
                    <c:numCache>
                      <c:formatCode>0.0</c:formatCode>
                      <c:ptCount val="20"/>
                      <c:pt idx="0">
                        <c:v>40.009998321533203</c:v>
                      </c:pt>
                      <c:pt idx="1">
                        <c:v>43.130001068115199</c:v>
                      </c:pt>
                      <c:pt idx="2">
                        <c:v>46.470001220703097</c:v>
                      </c:pt>
                      <c:pt idx="3">
                        <c:v>49.4799995422363</c:v>
                      </c:pt>
                      <c:pt idx="4">
                        <c:v>52.110000610351598</c:v>
                      </c:pt>
                      <c:pt idx="5">
                        <c:v>54.799999237060497</c:v>
                      </c:pt>
                      <c:pt idx="6">
                        <c:v>54.720001220703097</c:v>
                      </c:pt>
                      <c:pt idx="7">
                        <c:v>54.540000915527301</c:v>
                      </c:pt>
                      <c:pt idx="8">
                        <c:v>54.9799995422363</c:v>
                      </c:pt>
                      <c:pt idx="9">
                        <c:v>55.009998321533203</c:v>
                      </c:pt>
                      <c:pt idx="10">
                        <c:v>54.409999847412102</c:v>
                      </c:pt>
                      <c:pt idx="11">
                        <c:v>53.919998168945298</c:v>
                      </c:pt>
                      <c:pt idx="12">
                        <c:v>53.540000915527301</c:v>
                      </c:pt>
                      <c:pt idx="13">
                        <c:v>53.009998321533203</c:v>
                      </c:pt>
                      <c:pt idx="14">
                        <c:v>52.5</c:v>
                      </c:pt>
                      <c:pt idx="15">
                        <c:v>51.939998626708999</c:v>
                      </c:pt>
                      <c:pt idx="16">
                        <c:v>51.330001831054702</c:v>
                      </c:pt>
                      <c:pt idx="17">
                        <c:v>50.830001831054702</c:v>
                      </c:pt>
                      <c:pt idx="18">
                        <c:v>50.139999389648402</c:v>
                      </c:pt>
                      <c:pt idx="19">
                        <c:v>49.549999237060497</c:v>
                      </c:pt>
                    </c:numCache>
                  </c:numRef>
                </c:val>
                <c:smooth val="0"/>
                <c:extLst xmlns:c15="http://schemas.microsoft.com/office/drawing/2012/chart">
                  <c:ext xmlns:c16="http://schemas.microsoft.com/office/drawing/2014/chart" uri="{C3380CC4-5D6E-409C-BE32-E72D297353CC}">
                    <c16:uniqueId val="{00000004-783C-4805-A8A1-4448E34F5A3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LM'!$A$5</c15:sqref>
                        </c15:formulaRef>
                      </c:ext>
                    </c:extLst>
                    <c:strCache>
                      <c:ptCount val="1"/>
                      <c:pt idx="0">
                        <c:v>Employment in industry (% of total employment) (modeled ILO estimate)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LM'!$C$5:$V$5</c15:sqref>
                        </c15:formulaRef>
                      </c:ext>
                    </c:extLst>
                    <c:numCache>
                      <c:formatCode>0.0</c:formatCode>
                      <c:ptCount val="20"/>
                      <c:pt idx="0">
                        <c:v>11.569999694824199</c:v>
                      </c:pt>
                      <c:pt idx="1">
                        <c:v>10.189999580383301</c:v>
                      </c:pt>
                      <c:pt idx="2">
                        <c:v>9.0500001907348597</c:v>
                      </c:pt>
                      <c:pt idx="3">
                        <c:v>8.0900001525878906</c:v>
                      </c:pt>
                      <c:pt idx="4">
                        <c:v>7.3400001525878897</c:v>
                      </c:pt>
                      <c:pt idx="5">
                        <c:v>6.6999998092651403</c:v>
                      </c:pt>
                      <c:pt idx="6">
                        <c:v>6.46000003814697</c:v>
                      </c:pt>
                      <c:pt idx="7">
                        <c:v>6.28999996185303</c:v>
                      </c:pt>
                      <c:pt idx="8">
                        <c:v>6.1300001144409197</c:v>
                      </c:pt>
                      <c:pt idx="9">
                        <c:v>6.03999996185303</c:v>
                      </c:pt>
                      <c:pt idx="10">
                        <c:v>6.0100002288818404</c:v>
                      </c:pt>
                      <c:pt idx="11">
                        <c:v>6.0100002288818404</c:v>
                      </c:pt>
                      <c:pt idx="12">
                        <c:v>6.0100002288818404</c:v>
                      </c:pt>
                      <c:pt idx="13">
                        <c:v>6.0300002098083496</c:v>
                      </c:pt>
                      <c:pt idx="14">
                        <c:v>6.0599999427795401</c:v>
                      </c:pt>
                      <c:pt idx="15">
                        <c:v>6.0900001525878897</c:v>
                      </c:pt>
                      <c:pt idx="16">
                        <c:v>6.1300001144409197</c:v>
                      </c:pt>
                      <c:pt idx="17">
                        <c:v>6.1599998474121103</c:v>
                      </c:pt>
                      <c:pt idx="18">
                        <c:v>6.1900000572204599</c:v>
                      </c:pt>
                      <c:pt idx="19">
                        <c:v>6.2199997901916504</c:v>
                      </c:pt>
                    </c:numCache>
                  </c:numRef>
                </c:val>
                <c:smooth val="0"/>
                <c:extLst xmlns:c15="http://schemas.microsoft.com/office/drawing/2012/chart">
                  <c:ext xmlns:c16="http://schemas.microsoft.com/office/drawing/2014/chart" uri="{C3380CC4-5D6E-409C-BE32-E72D297353CC}">
                    <c16:uniqueId val="{00000005-783C-4805-A8A1-4448E34F5A3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'Data LM'!$A$6</c15:sqref>
                        </c15:formulaRef>
                      </c:ext>
                    </c:extLst>
                    <c:strCache>
                      <c:ptCount val="1"/>
                      <c:pt idx="0">
                        <c:v>Industry (modeled ILO estimate)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LM'!$C$6:$V$6</c15:sqref>
                        </c15:formulaRef>
                      </c:ext>
                    </c:extLst>
                    <c:numCache>
                      <c:formatCode>0.0</c:formatCode>
                      <c:ptCount val="20"/>
                      <c:pt idx="0">
                        <c:v>6.5599999427795401</c:v>
                      </c:pt>
                      <c:pt idx="1">
                        <c:v>5.25</c:v>
                      </c:pt>
                      <c:pt idx="2">
                        <c:v>4.2600002288818404</c:v>
                      </c:pt>
                      <c:pt idx="3">
                        <c:v>3.4400000572204599</c:v>
                      </c:pt>
                      <c:pt idx="4">
                        <c:v>2.7999999523162802</c:v>
                      </c:pt>
                      <c:pt idx="5">
                        <c:v>2.28999996185303</c:v>
                      </c:pt>
                      <c:pt idx="6">
                        <c:v>2.0899999141693102</c:v>
                      </c:pt>
                      <c:pt idx="7">
                        <c:v>1.9400000572204601</c:v>
                      </c:pt>
                      <c:pt idx="8">
                        <c:v>1.8500000238418599</c:v>
                      </c:pt>
                      <c:pt idx="9">
                        <c:v>1.7799999713897701</c:v>
                      </c:pt>
                      <c:pt idx="10">
                        <c:v>1.7200000286102299</c:v>
                      </c:pt>
                      <c:pt idx="11">
                        <c:v>1.6900000572204601</c:v>
                      </c:pt>
                      <c:pt idx="12">
                        <c:v>1.66999995708466</c:v>
                      </c:pt>
                      <c:pt idx="13">
                        <c:v>1.6499999761581401</c:v>
                      </c:pt>
                      <c:pt idx="14">
                        <c:v>1.6399999856948899</c:v>
                      </c:pt>
                      <c:pt idx="15">
                        <c:v>1.62999999523163</c:v>
                      </c:pt>
                      <c:pt idx="16">
                        <c:v>1.62999999523163</c:v>
                      </c:pt>
                      <c:pt idx="17">
                        <c:v>1.62000000476837</c:v>
                      </c:pt>
                      <c:pt idx="18">
                        <c:v>1.62000000476837</c:v>
                      </c:pt>
                      <c:pt idx="19">
                        <c:v>1.62000000476837</c:v>
                      </c:pt>
                    </c:numCache>
                  </c:numRef>
                </c:val>
                <c:smooth val="0"/>
                <c:extLst xmlns:c15="http://schemas.microsoft.com/office/drawing/2012/chart">
                  <c:ext xmlns:c16="http://schemas.microsoft.com/office/drawing/2014/chart" uri="{C3380CC4-5D6E-409C-BE32-E72D297353CC}">
                    <c16:uniqueId val="{00000006-783C-4805-A8A1-4448E34F5A3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LM'!$A$7</c15:sqref>
                        </c15:formulaRef>
                      </c:ext>
                    </c:extLst>
                    <c:strCache>
                      <c:ptCount val="1"/>
                      <c:pt idx="0">
                        <c:v>Industry (modeled ILO estimate)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LM'!$C$7:$V$7</c15:sqref>
                        </c15:formulaRef>
                      </c:ext>
                    </c:extLst>
                    <c:numCache>
                      <c:formatCode>0.0</c:formatCode>
                      <c:ptCount val="20"/>
                      <c:pt idx="0">
                        <c:v>16.420000076293899</c:v>
                      </c:pt>
                      <c:pt idx="1">
                        <c:v>14.8900003433228</c:v>
                      </c:pt>
                      <c:pt idx="2">
                        <c:v>13.539999961853001</c:v>
                      </c:pt>
                      <c:pt idx="3">
                        <c:v>12.3800001144409</c:v>
                      </c:pt>
                      <c:pt idx="4">
                        <c:v>11.449999809265099</c:v>
                      </c:pt>
                      <c:pt idx="5">
                        <c:v>10.6199998855591</c:v>
                      </c:pt>
                      <c:pt idx="6">
                        <c:v>10.3699998855591</c:v>
                      </c:pt>
                      <c:pt idx="7">
                        <c:v>10.189999580383301</c:v>
                      </c:pt>
                      <c:pt idx="8">
                        <c:v>10.0100002288818</c:v>
                      </c:pt>
                      <c:pt idx="9">
                        <c:v>9.9099998474121094</c:v>
                      </c:pt>
                      <c:pt idx="10">
                        <c:v>9.9200000762939506</c:v>
                      </c:pt>
                      <c:pt idx="11">
                        <c:v>9.9700002670288104</c:v>
                      </c:pt>
                      <c:pt idx="12">
                        <c:v>10.0200004577637</c:v>
                      </c:pt>
                      <c:pt idx="13">
                        <c:v>10.1000003814697</c:v>
                      </c:pt>
                      <c:pt idx="14">
                        <c:v>10.180000305175801</c:v>
                      </c:pt>
                      <c:pt idx="15">
                        <c:v>10.2799997329712</c:v>
                      </c:pt>
                      <c:pt idx="16">
                        <c:v>10.3800001144409</c:v>
                      </c:pt>
                      <c:pt idx="17">
                        <c:v>10.4700002670288</c:v>
                      </c:pt>
                      <c:pt idx="18">
                        <c:v>10.579999923706101</c:v>
                      </c:pt>
                      <c:pt idx="19">
                        <c:v>10.6300001144409</c:v>
                      </c:pt>
                    </c:numCache>
                  </c:numRef>
                </c:val>
                <c:smooth val="0"/>
                <c:extLst xmlns:c15="http://schemas.microsoft.com/office/drawing/2012/chart">
                  <c:ext xmlns:c16="http://schemas.microsoft.com/office/drawing/2014/chart" uri="{C3380CC4-5D6E-409C-BE32-E72D297353CC}">
                    <c16:uniqueId val="{00000007-783C-4805-A8A1-4448E34F5A3E}"/>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'Data LM'!$A$8</c15:sqref>
                        </c15:formulaRef>
                      </c:ext>
                    </c:extLst>
                    <c:strCache>
                      <c:ptCount val="1"/>
                      <c:pt idx="0">
                        <c:v>Employment in services (% of total employment) (modeled ILO estimate)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LM'!$C$8:$V$8</c15:sqref>
                        </c15:formulaRef>
                      </c:ext>
                    </c:extLst>
                    <c:numCache>
                      <c:formatCode>0.0</c:formatCode>
                      <c:ptCount val="20"/>
                      <c:pt idx="0">
                        <c:v>39.700000762939503</c:v>
                      </c:pt>
                      <c:pt idx="1">
                        <c:v>38.319999694824197</c:v>
                      </c:pt>
                      <c:pt idx="2">
                        <c:v>36.669998168945298</c:v>
                      </c:pt>
                      <c:pt idx="3">
                        <c:v>35.150001525878899</c:v>
                      </c:pt>
                      <c:pt idx="4">
                        <c:v>33.7299995422363</c:v>
                      </c:pt>
                      <c:pt idx="5">
                        <c:v>32.240001678466797</c:v>
                      </c:pt>
                      <c:pt idx="6">
                        <c:v>32.400001525878899</c:v>
                      </c:pt>
                      <c:pt idx="7">
                        <c:v>32.740001678466797</c:v>
                      </c:pt>
                      <c:pt idx="8">
                        <c:v>32.7700004577637</c:v>
                      </c:pt>
                      <c:pt idx="9">
                        <c:v>33.029998779296903</c:v>
                      </c:pt>
                      <c:pt idx="10">
                        <c:v>33.680000305175803</c:v>
                      </c:pt>
                      <c:pt idx="11">
                        <c:v>34.25</c:v>
                      </c:pt>
                      <c:pt idx="12">
                        <c:v>34.7700004577637</c:v>
                      </c:pt>
                      <c:pt idx="13">
                        <c:v>35.380001068115199</c:v>
                      </c:pt>
                      <c:pt idx="14">
                        <c:v>36</c:v>
                      </c:pt>
                      <c:pt idx="15">
                        <c:v>36.650001525878899</c:v>
                      </c:pt>
                      <c:pt idx="16">
                        <c:v>37.330001831054702</c:v>
                      </c:pt>
                      <c:pt idx="17">
                        <c:v>37.9799995422363</c:v>
                      </c:pt>
                      <c:pt idx="18">
                        <c:v>38.7299995422363</c:v>
                      </c:pt>
                      <c:pt idx="19">
                        <c:v>39.439998626708999</c:v>
                      </c:pt>
                    </c:numCache>
                  </c:numRef>
                </c:val>
                <c:smooth val="0"/>
                <c:extLst xmlns:c15="http://schemas.microsoft.com/office/drawing/2012/chart">
                  <c:ext xmlns:c16="http://schemas.microsoft.com/office/drawing/2014/chart" uri="{C3380CC4-5D6E-409C-BE32-E72D297353CC}">
                    <c16:uniqueId val="{00000008-783C-4805-A8A1-4448E34F5A3E}"/>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LM'!$A$9</c15:sqref>
                        </c15:formulaRef>
                      </c:ext>
                    </c:extLst>
                    <c:strCache>
                      <c:ptCount val="1"/>
                      <c:pt idx="0">
                        <c:v>Services (modeled ILO estimate)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LM'!$C$9:$V$9</c15:sqref>
                        </c15:formulaRef>
                      </c:ext>
                    </c:extLst>
                    <c:numCache>
                      <c:formatCode>0.0</c:formatCode>
                      <c:ptCount val="20"/>
                      <c:pt idx="0">
                        <c:v>35.700000762939503</c:v>
                      </c:pt>
                      <c:pt idx="1">
                        <c:v>34.470001220703097</c:v>
                      </c:pt>
                      <c:pt idx="2">
                        <c:v>33.130001068115199</c:v>
                      </c:pt>
                      <c:pt idx="3">
                        <c:v>31.899999618530298</c:v>
                      </c:pt>
                      <c:pt idx="4">
                        <c:v>30.7399997711182</c:v>
                      </c:pt>
                      <c:pt idx="5">
                        <c:v>29.590000152587901</c:v>
                      </c:pt>
                      <c:pt idx="6">
                        <c:v>29.590000152587901</c:v>
                      </c:pt>
                      <c:pt idx="7">
                        <c:v>29.930000305175799</c:v>
                      </c:pt>
                      <c:pt idx="8">
                        <c:v>30.280000686645501</c:v>
                      </c:pt>
                      <c:pt idx="9">
                        <c:v>30.7700004577637</c:v>
                      </c:pt>
                      <c:pt idx="10">
                        <c:v>31.4899997711182</c:v>
                      </c:pt>
                      <c:pt idx="11">
                        <c:v>32.2299995422363</c:v>
                      </c:pt>
                      <c:pt idx="12">
                        <c:v>32.970001220703097</c:v>
                      </c:pt>
                      <c:pt idx="13">
                        <c:v>33.759998321533203</c:v>
                      </c:pt>
                      <c:pt idx="14">
                        <c:v>34.580001831054702</c:v>
                      </c:pt>
                      <c:pt idx="15">
                        <c:v>35.450000762939503</c:v>
                      </c:pt>
                      <c:pt idx="16">
                        <c:v>36.319999694824197</c:v>
                      </c:pt>
                      <c:pt idx="17">
                        <c:v>37.2299995422363</c:v>
                      </c:pt>
                      <c:pt idx="18">
                        <c:v>38.139999389648402</c:v>
                      </c:pt>
                      <c:pt idx="19">
                        <c:v>39.040000915527301</c:v>
                      </c:pt>
                    </c:numCache>
                  </c:numRef>
                </c:val>
                <c:smooth val="0"/>
                <c:extLst xmlns:c15="http://schemas.microsoft.com/office/drawing/2012/chart">
                  <c:ext xmlns:c16="http://schemas.microsoft.com/office/drawing/2014/chart" uri="{C3380CC4-5D6E-409C-BE32-E72D297353CC}">
                    <c16:uniqueId val="{00000009-783C-4805-A8A1-4448E34F5A3E}"/>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'Data LM'!$A$10</c15:sqref>
                        </c15:formulaRef>
                      </c:ext>
                    </c:extLst>
                    <c:strCache>
                      <c:ptCount val="1"/>
                      <c:pt idx="0">
                        <c:v>Services (modeled ILO estimate)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LM'!$C$10:$V$10</c15:sqref>
                        </c15:formulaRef>
                      </c:ext>
                    </c:extLst>
                    <c:numCache>
                      <c:formatCode>0.0</c:formatCode>
                      <c:ptCount val="20"/>
                      <c:pt idx="0">
                        <c:v>43.569999694824197</c:v>
                      </c:pt>
                      <c:pt idx="1">
                        <c:v>41.9799995422363</c:v>
                      </c:pt>
                      <c:pt idx="2">
                        <c:v>39.990001678466797</c:v>
                      </c:pt>
                      <c:pt idx="3">
                        <c:v>38.139999389648402</c:v>
                      </c:pt>
                      <c:pt idx="4">
                        <c:v>36.439998626708999</c:v>
                      </c:pt>
                      <c:pt idx="5">
                        <c:v>34.590000152587898</c:v>
                      </c:pt>
                      <c:pt idx="6">
                        <c:v>34.909999847412102</c:v>
                      </c:pt>
                      <c:pt idx="7">
                        <c:v>35.2700004577637</c:v>
                      </c:pt>
                      <c:pt idx="8">
                        <c:v>35.0200004577637</c:v>
                      </c:pt>
                      <c:pt idx="9">
                        <c:v>35.080001831054702</c:v>
                      </c:pt>
                      <c:pt idx="10">
                        <c:v>35.680000305175803</c:v>
                      </c:pt>
                      <c:pt idx="11">
                        <c:v>36.110000610351598</c:v>
                      </c:pt>
                      <c:pt idx="12">
                        <c:v>36.439998626708999</c:v>
                      </c:pt>
                      <c:pt idx="13">
                        <c:v>36.889999389648402</c:v>
                      </c:pt>
                      <c:pt idx="14">
                        <c:v>37.319999694824197</c:v>
                      </c:pt>
                      <c:pt idx="15">
                        <c:v>37.779998779296903</c:v>
                      </c:pt>
                      <c:pt idx="16">
                        <c:v>38.290000915527301</c:v>
                      </c:pt>
                      <c:pt idx="17">
                        <c:v>38.700000762939503</c:v>
                      </c:pt>
                      <c:pt idx="18">
                        <c:v>39.290000915527301</c:v>
                      </c:pt>
                      <c:pt idx="19">
                        <c:v>39.819999694824197</c:v>
                      </c:pt>
                    </c:numCache>
                  </c:numRef>
                </c:val>
                <c:smooth val="0"/>
                <c:extLst xmlns:c15="http://schemas.microsoft.com/office/drawing/2012/chart">
                  <c:ext xmlns:c16="http://schemas.microsoft.com/office/drawing/2014/chart" uri="{C3380CC4-5D6E-409C-BE32-E72D297353CC}">
                    <c16:uniqueId val="{0000000A-783C-4805-A8A1-4448E34F5A3E}"/>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LM'!$A$11</c15:sqref>
                        </c15:formulaRef>
                      </c:ext>
                    </c:extLst>
                    <c:strCache>
                      <c:ptCount val="1"/>
                      <c:pt idx="0">
                        <c:v>Employment to population ratio, 15+, total (%) (modeled ILO estimate)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LM'!$C$11:$V$11</c15:sqref>
                        </c15:formulaRef>
                      </c:ext>
                    </c:extLst>
                    <c:numCache>
                      <c:formatCode>0.0</c:formatCode>
                      <c:ptCount val="20"/>
                      <c:pt idx="0">
                        <c:v>70.320999145507798</c:v>
                      </c:pt>
                      <c:pt idx="1">
                        <c:v>70.461997985839801</c:v>
                      </c:pt>
                      <c:pt idx="2">
                        <c:v>70.573997497558594</c:v>
                      </c:pt>
                      <c:pt idx="3">
                        <c:v>70.710998535156307</c:v>
                      </c:pt>
                      <c:pt idx="4">
                        <c:v>70.846000671386705</c:v>
                      </c:pt>
                      <c:pt idx="5">
                        <c:v>70.975997924804702</c:v>
                      </c:pt>
                      <c:pt idx="6">
                        <c:v>71.103996276855497</c:v>
                      </c:pt>
                      <c:pt idx="7">
                        <c:v>71.232002258300795</c:v>
                      </c:pt>
                      <c:pt idx="8">
                        <c:v>71.329002380371094</c:v>
                      </c:pt>
                      <c:pt idx="9">
                        <c:v>71.468002319335895</c:v>
                      </c:pt>
                      <c:pt idx="10">
                        <c:v>71.615997314453097</c:v>
                      </c:pt>
                      <c:pt idx="11">
                        <c:v>71.731002807617202</c:v>
                      </c:pt>
                      <c:pt idx="12">
                        <c:v>71.849998474121094</c:v>
                      </c:pt>
                      <c:pt idx="13">
                        <c:v>71.981002807617202</c:v>
                      </c:pt>
                      <c:pt idx="14">
                        <c:v>72.103996276855497</c:v>
                      </c:pt>
                      <c:pt idx="15">
                        <c:v>72.231002807617202</c:v>
                      </c:pt>
                      <c:pt idx="16">
                        <c:v>72.356002807617202</c:v>
                      </c:pt>
                      <c:pt idx="17">
                        <c:v>71.670997619628906</c:v>
                      </c:pt>
                      <c:pt idx="18">
                        <c:v>70.995002746582003</c:v>
                      </c:pt>
                      <c:pt idx="19">
                        <c:v>70.297996520996094</c:v>
                      </c:pt>
                    </c:numCache>
                  </c:numRef>
                </c:val>
                <c:smooth val="0"/>
                <c:extLst xmlns:c15="http://schemas.microsoft.com/office/drawing/2012/chart">
                  <c:ext xmlns:c16="http://schemas.microsoft.com/office/drawing/2014/chart" uri="{C3380CC4-5D6E-409C-BE32-E72D297353CC}">
                    <c16:uniqueId val="{0000000B-783C-4805-A8A1-4448E34F5A3E}"/>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'Data LM'!$A$12</c15:sqref>
                        </c15:formulaRef>
                      </c:ext>
                    </c:extLst>
                    <c:strCache>
                      <c:ptCount val="1"/>
                      <c:pt idx="0">
                        <c:v>Employment to population ratio, ages 15-24, total (%) (national estimate)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LM'!$C$12:$V$12</c15:sqref>
                        </c15:formulaRef>
                      </c:ext>
                    </c:extLst>
                    <c:numCache>
                      <c:formatCode>0.0</c:formatCode>
                      <c:ptCount val="20"/>
                      <c:pt idx="0">
                        <c:v>0</c:v>
                      </c:pt>
                      <c:pt idx="1">
                        <c:v>0</c:v>
                      </c:pt>
                      <c:pt idx="2">
                        <c:v>0</c:v>
                      </c:pt>
                      <c:pt idx="3">
                        <c:v>0</c:v>
                      </c:pt>
                      <c:pt idx="4">
                        <c:v>0</c:v>
                      </c:pt>
                      <c:pt idx="5">
                        <c:v>0</c:v>
                      </c:pt>
                      <c:pt idx="6">
                        <c:v>31.659999847412099</c:v>
                      </c:pt>
                      <c:pt idx="7">
                        <c:v>0</c:v>
                      </c:pt>
                      <c:pt idx="8">
                        <c:v>0</c:v>
                      </c:pt>
                      <c:pt idx="9">
                        <c:v>0</c:v>
                      </c:pt>
                      <c:pt idx="10">
                        <c:v>0</c:v>
                      </c:pt>
                      <c:pt idx="11">
                        <c:v>0</c:v>
                      </c:pt>
                      <c:pt idx="12">
                        <c:v>0</c:v>
                      </c:pt>
                      <c:pt idx="13">
                        <c:v>0</c:v>
                      </c:pt>
                      <c:pt idx="14">
                        <c:v>0</c:v>
                      </c:pt>
                      <c:pt idx="15">
                        <c:v>0</c:v>
                      </c:pt>
                      <c:pt idx="16">
                        <c:v>41.7700004577637</c:v>
                      </c:pt>
                      <c:pt idx="17">
                        <c:v>0</c:v>
                      </c:pt>
                      <c:pt idx="18">
                        <c:v>0</c:v>
                      </c:pt>
                      <c:pt idx="19">
                        <c:v>32.810001373291001</c:v>
                      </c:pt>
                    </c:numCache>
                  </c:numRef>
                </c:val>
                <c:smooth val="0"/>
                <c:extLst xmlns:c15="http://schemas.microsoft.com/office/drawing/2012/chart">
                  <c:ext xmlns:c16="http://schemas.microsoft.com/office/drawing/2014/chart" uri="{C3380CC4-5D6E-409C-BE32-E72D297353CC}">
                    <c16:uniqueId val="{0000000C-783C-4805-A8A1-4448E34F5A3E}"/>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'Data LM'!$A$13</c15:sqref>
                        </c15:formulaRef>
                      </c:ext>
                    </c:extLst>
                    <c:strCache>
                      <c:ptCount val="1"/>
                      <c:pt idx="0">
                        <c:v>Labor force participation rate for ages 15-24, female (%) (modeled ILO estimate)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LM'!$C$13:$V$13</c15:sqref>
                        </c15:formulaRef>
                      </c:ext>
                    </c:extLst>
                    <c:numCache>
                      <c:formatCode>0.0</c:formatCode>
                      <c:ptCount val="20"/>
                      <c:pt idx="0">
                        <c:v>51.655998229980497</c:v>
                      </c:pt>
                      <c:pt idx="1">
                        <c:v>51.219001770019503</c:v>
                      </c:pt>
                      <c:pt idx="2">
                        <c:v>50.780998229980497</c:v>
                      </c:pt>
                      <c:pt idx="3">
                        <c:v>50.333000183105497</c:v>
                      </c:pt>
                      <c:pt idx="4">
                        <c:v>49.867000579833999</c:v>
                      </c:pt>
                      <c:pt idx="5">
                        <c:v>49.377998352050803</c:v>
                      </c:pt>
                      <c:pt idx="6">
                        <c:v>48.840999603271499</c:v>
                      </c:pt>
                      <c:pt idx="7">
                        <c:v>48.287998199462898</c:v>
                      </c:pt>
                      <c:pt idx="8">
                        <c:v>47.728000640869098</c:v>
                      </c:pt>
                      <c:pt idx="9">
                        <c:v>47.173999786377003</c:v>
                      </c:pt>
                      <c:pt idx="10">
                        <c:v>46.632999420166001</c:v>
                      </c:pt>
                      <c:pt idx="11">
                        <c:v>46.090000152587898</c:v>
                      </c:pt>
                      <c:pt idx="12">
                        <c:v>45.557998657226598</c:v>
                      </c:pt>
                      <c:pt idx="13">
                        <c:v>45.041000366210902</c:v>
                      </c:pt>
                      <c:pt idx="14">
                        <c:v>44.541000366210902</c:v>
                      </c:pt>
                      <c:pt idx="15">
                        <c:v>44.061000823974602</c:v>
                      </c:pt>
                      <c:pt idx="16">
                        <c:v>43.590000152587898</c:v>
                      </c:pt>
                      <c:pt idx="17">
                        <c:v>43.111000061035199</c:v>
                      </c:pt>
                      <c:pt idx="18">
                        <c:v>42.6310005187988</c:v>
                      </c:pt>
                      <c:pt idx="19">
                        <c:v>42.126998901367202</c:v>
                      </c:pt>
                    </c:numCache>
                  </c:numRef>
                </c:val>
                <c:smooth val="0"/>
                <c:extLst xmlns:c15="http://schemas.microsoft.com/office/drawing/2012/chart">
                  <c:ext xmlns:c16="http://schemas.microsoft.com/office/drawing/2014/chart" uri="{C3380CC4-5D6E-409C-BE32-E72D297353CC}">
                    <c16:uniqueId val="{00000010-783C-4805-A8A1-4448E34F5A3E}"/>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LM'!$A$14</c15:sqref>
                        </c15:formulaRef>
                      </c:ext>
                    </c:extLst>
                    <c:strCache>
                      <c:ptCount val="1"/>
                      <c:pt idx="0">
                        <c:v>Labor force participation rate for ages 15-24, female (%) (national estimate)</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LM'!$C$14:$V$14</c15:sqref>
                        </c15:formulaRef>
                      </c:ext>
                    </c:extLst>
                    <c:numCache>
                      <c:formatCode>0.0</c:formatCode>
                      <c:ptCount val="20"/>
                      <c:pt idx="0">
                        <c:v>0</c:v>
                      </c:pt>
                      <c:pt idx="1">
                        <c:v>0</c:v>
                      </c:pt>
                      <c:pt idx="2">
                        <c:v>0</c:v>
                      </c:pt>
                      <c:pt idx="3">
                        <c:v>0</c:v>
                      </c:pt>
                      <c:pt idx="4">
                        <c:v>0</c:v>
                      </c:pt>
                      <c:pt idx="5">
                        <c:v>35.180000305175803</c:v>
                      </c:pt>
                      <c:pt idx="6">
                        <c:v>35.090000152587898</c:v>
                      </c:pt>
                      <c:pt idx="7">
                        <c:v>0</c:v>
                      </c:pt>
                      <c:pt idx="8">
                        <c:v>0</c:v>
                      </c:pt>
                      <c:pt idx="9">
                        <c:v>0</c:v>
                      </c:pt>
                      <c:pt idx="10">
                        <c:v>0</c:v>
                      </c:pt>
                      <c:pt idx="11">
                        <c:v>0</c:v>
                      </c:pt>
                      <c:pt idx="12">
                        <c:v>0</c:v>
                      </c:pt>
                      <c:pt idx="13">
                        <c:v>0</c:v>
                      </c:pt>
                      <c:pt idx="14">
                        <c:v>0</c:v>
                      </c:pt>
                      <c:pt idx="15">
                        <c:v>0</c:v>
                      </c:pt>
                      <c:pt idx="16">
                        <c:v>43.439998626708999</c:v>
                      </c:pt>
                      <c:pt idx="17">
                        <c:v>0</c:v>
                      </c:pt>
                      <c:pt idx="18">
                        <c:v>0</c:v>
                      </c:pt>
                      <c:pt idx="19">
                        <c:v>35.110000610351598</c:v>
                      </c:pt>
                    </c:numCache>
                  </c:numRef>
                </c:val>
                <c:smooth val="0"/>
                <c:extLst xmlns:c15="http://schemas.microsoft.com/office/drawing/2012/chart">
                  <c:ext xmlns:c16="http://schemas.microsoft.com/office/drawing/2014/chart" uri="{C3380CC4-5D6E-409C-BE32-E72D297353CC}">
                    <c16:uniqueId val="{00000011-783C-4805-A8A1-4448E34F5A3E}"/>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LM'!$A$15</c15:sqref>
                        </c15:formulaRef>
                      </c:ext>
                    </c:extLst>
                    <c:strCache>
                      <c:ptCount val="1"/>
                      <c:pt idx="0">
                        <c:v>Labor force participation rate for ages 15-24, male (%) (modeled ILO estimate)</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LM'!$C$15:$V$15</c15:sqref>
                        </c15:formulaRef>
                      </c:ext>
                    </c:extLst>
                    <c:numCache>
                      <c:formatCode>0.0</c:formatCode>
                      <c:ptCount val="20"/>
                      <c:pt idx="0">
                        <c:v>48.251998901367202</c:v>
                      </c:pt>
                      <c:pt idx="1">
                        <c:v>48.222000122070298</c:v>
                      </c:pt>
                      <c:pt idx="2">
                        <c:v>48.189998626708999</c:v>
                      </c:pt>
                      <c:pt idx="3">
                        <c:v>48.147998809814503</c:v>
                      </c:pt>
                      <c:pt idx="4">
                        <c:v>48.084999084472699</c:v>
                      </c:pt>
                      <c:pt idx="5">
                        <c:v>47.995998382568402</c:v>
                      </c:pt>
                      <c:pt idx="6">
                        <c:v>47.8489990234375</c:v>
                      </c:pt>
                      <c:pt idx="7">
                        <c:v>47.687999725341797</c:v>
                      </c:pt>
                      <c:pt idx="8">
                        <c:v>47.525001525878899</c:v>
                      </c:pt>
                      <c:pt idx="9">
                        <c:v>47.375999450683601</c:v>
                      </c:pt>
                      <c:pt idx="10">
                        <c:v>47.25</c:v>
                      </c:pt>
                      <c:pt idx="11">
                        <c:v>47.127998352050803</c:v>
                      </c:pt>
                      <c:pt idx="12">
                        <c:v>47.021999359130902</c:v>
                      </c:pt>
                      <c:pt idx="13">
                        <c:v>46.935001373291001</c:v>
                      </c:pt>
                      <c:pt idx="14">
                        <c:v>46.872001647949197</c:v>
                      </c:pt>
                      <c:pt idx="15">
                        <c:v>46.832000732421903</c:v>
                      </c:pt>
                      <c:pt idx="16">
                        <c:v>46.806999206542997</c:v>
                      </c:pt>
                      <c:pt idx="17">
                        <c:v>45.556999206542997</c:v>
                      </c:pt>
                      <c:pt idx="18">
                        <c:v>44.297000885009801</c:v>
                      </c:pt>
                      <c:pt idx="19">
                        <c:v>42.983001708984403</c:v>
                      </c:pt>
                    </c:numCache>
                  </c:numRef>
                </c:val>
                <c:smooth val="0"/>
                <c:extLst xmlns:c15="http://schemas.microsoft.com/office/drawing/2012/chart">
                  <c:ext xmlns:c16="http://schemas.microsoft.com/office/drawing/2014/chart" uri="{C3380CC4-5D6E-409C-BE32-E72D297353CC}">
                    <c16:uniqueId val="{00000012-783C-4805-A8A1-4448E34F5A3E}"/>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LM'!$A$16</c15:sqref>
                        </c15:formulaRef>
                      </c:ext>
                    </c:extLst>
                    <c:strCache>
                      <c:ptCount val="1"/>
                      <c:pt idx="0">
                        <c:v>Labor force participation rate for ages 15-24, male (%) (national estimate)</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LM'!$C$16:$V$16</c15:sqref>
                        </c15:formulaRef>
                      </c:ext>
                    </c:extLst>
                    <c:numCache>
                      <c:formatCode>0.0</c:formatCode>
                      <c:ptCount val="20"/>
                      <c:pt idx="0">
                        <c:v>0</c:v>
                      </c:pt>
                      <c:pt idx="1">
                        <c:v>0</c:v>
                      </c:pt>
                      <c:pt idx="2">
                        <c:v>0</c:v>
                      </c:pt>
                      <c:pt idx="3">
                        <c:v>0</c:v>
                      </c:pt>
                      <c:pt idx="4">
                        <c:v>0</c:v>
                      </c:pt>
                      <c:pt idx="5">
                        <c:v>41.630001068115199</c:v>
                      </c:pt>
                      <c:pt idx="6">
                        <c:v>43.759998321533203</c:v>
                      </c:pt>
                      <c:pt idx="7">
                        <c:v>0</c:v>
                      </c:pt>
                      <c:pt idx="8">
                        <c:v>0</c:v>
                      </c:pt>
                      <c:pt idx="9">
                        <c:v>0</c:v>
                      </c:pt>
                      <c:pt idx="10">
                        <c:v>0</c:v>
                      </c:pt>
                      <c:pt idx="11">
                        <c:v>0</c:v>
                      </c:pt>
                      <c:pt idx="12">
                        <c:v>0</c:v>
                      </c:pt>
                      <c:pt idx="13">
                        <c:v>0</c:v>
                      </c:pt>
                      <c:pt idx="14">
                        <c:v>0</c:v>
                      </c:pt>
                      <c:pt idx="15">
                        <c:v>0</c:v>
                      </c:pt>
                      <c:pt idx="16">
                        <c:v>46.740001678466797</c:v>
                      </c:pt>
                      <c:pt idx="17">
                        <c:v>0</c:v>
                      </c:pt>
                      <c:pt idx="18">
                        <c:v>0</c:v>
                      </c:pt>
                      <c:pt idx="19">
                        <c:v>40.2299995422363</c:v>
                      </c:pt>
                    </c:numCache>
                  </c:numRef>
                </c:val>
                <c:smooth val="0"/>
                <c:extLst xmlns:c15="http://schemas.microsoft.com/office/drawing/2012/chart">
                  <c:ext xmlns:c16="http://schemas.microsoft.com/office/drawing/2014/chart" uri="{C3380CC4-5D6E-409C-BE32-E72D297353CC}">
                    <c16:uniqueId val="{00000013-783C-4805-A8A1-4448E34F5A3E}"/>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LM'!$A$17</c15:sqref>
                        </c15:formulaRef>
                      </c:ext>
                    </c:extLst>
                    <c:strCache>
                      <c:ptCount val="1"/>
                      <c:pt idx="0">
                        <c:v>Labor force participation rate for ages 15-24, total (%) (modeled ILO estimate)</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LM'!$C$17:$V$17</c15:sqref>
                        </c15:formulaRef>
                      </c:ext>
                    </c:extLst>
                    <c:numCache>
                      <c:formatCode>0.0</c:formatCode>
                      <c:ptCount val="20"/>
                      <c:pt idx="0">
                        <c:v>49.955001831054702</c:v>
                      </c:pt>
                      <c:pt idx="1">
                        <c:v>49.722000122070298</c:v>
                      </c:pt>
                      <c:pt idx="2">
                        <c:v>49.4869995117188</c:v>
                      </c:pt>
                      <c:pt idx="3">
                        <c:v>49.243000030517599</c:v>
                      </c:pt>
                      <c:pt idx="4">
                        <c:v>48.978000640869098</c:v>
                      </c:pt>
                      <c:pt idx="5">
                        <c:v>48.688999176025398</c:v>
                      </c:pt>
                      <c:pt idx="6">
                        <c:v>48.347000122070298</c:v>
                      </c:pt>
                      <c:pt idx="7">
                        <c:v>47.988998413085902</c:v>
                      </c:pt>
                      <c:pt idx="8">
                        <c:v>47.626998901367202</c:v>
                      </c:pt>
                      <c:pt idx="9">
                        <c:v>47.275001525878899</c:v>
                      </c:pt>
                      <c:pt idx="10">
                        <c:v>46.941001892089801</c:v>
                      </c:pt>
                      <c:pt idx="11">
                        <c:v>46.606998443603501</c:v>
                      </c:pt>
                      <c:pt idx="12">
                        <c:v>46.287998199462898</c:v>
                      </c:pt>
                      <c:pt idx="13">
                        <c:v>45.986000061035199</c:v>
                      </c:pt>
                      <c:pt idx="14">
                        <c:v>45.705001831054702</c:v>
                      </c:pt>
                      <c:pt idx="15">
                        <c:v>45.444999694824197</c:v>
                      </c:pt>
                      <c:pt idx="16">
                        <c:v>45.199001312255902</c:v>
                      </c:pt>
                      <c:pt idx="17">
                        <c:v>44.334999084472699</c:v>
                      </c:pt>
                      <c:pt idx="18">
                        <c:v>43.465999603271499</c:v>
                      </c:pt>
                      <c:pt idx="19">
                        <c:v>42.555999755859403</c:v>
                      </c:pt>
                    </c:numCache>
                  </c:numRef>
                </c:val>
                <c:smooth val="0"/>
                <c:extLst xmlns:c15="http://schemas.microsoft.com/office/drawing/2012/chart">
                  <c:ext xmlns:c16="http://schemas.microsoft.com/office/drawing/2014/chart" uri="{C3380CC4-5D6E-409C-BE32-E72D297353CC}">
                    <c16:uniqueId val="{00000014-783C-4805-A8A1-4448E34F5A3E}"/>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'Data LM'!$A$18</c15:sqref>
                        </c15:formulaRef>
                      </c:ext>
                    </c:extLst>
                    <c:strCache>
                      <c:ptCount val="1"/>
                      <c:pt idx="0">
                        <c:v>Labor force participation rate for ages 15-24, total (%) (national estimate)</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LM'!$C$18:$V$18</c15:sqref>
                        </c15:formulaRef>
                      </c:ext>
                    </c:extLst>
                    <c:numCache>
                      <c:formatCode>0.0</c:formatCode>
                      <c:ptCount val="20"/>
                      <c:pt idx="0">
                        <c:v>0</c:v>
                      </c:pt>
                      <c:pt idx="1">
                        <c:v>0</c:v>
                      </c:pt>
                      <c:pt idx="2">
                        <c:v>0</c:v>
                      </c:pt>
                      <c:pt idx="3">
                        <c:v>0</c:v>
                      </c:pt>
                      <c:pt idx="4">
                        <c:v>0</c:v>
                      </c:pt>
                      <c:pt idx="5">
                        <c:v>38.349998474121101</c:v>
                      </c:pt>
                      <c:pt idx="6">
                        <c:v>39.409999847412102</c:v>
                      </c:pt>
                      <c:pt idx="7">
                        <c:v>0</c:v>
                      </c:pt>
                      <c:pt idx="8">
                        <c:v>0</c:v>
                      </c:pt>
                      <c:pt idx="9">
                        <c:v>0</c:v>
                      </c:pt>
                      <c:pt idx="10">
                        <c:v>0</c:v>
                      </c:pt>
                      <c:pt idx="11">
                        <c:v>0</c:v>
                      </c:pt>
                      <c:pt idx="12">
                        <c:v>0</c:v>
                      </c:pt>
                      <c:pt idx="13">
                        <c:v>0</c:v>
                      </c:pt>
                      <c:pt idx="14">
                        <c:v>0</c:v>
                      </c:pt>
                      <c:pt idx="15">
                        <c:v>0</c:v>
                      </c:pt>
                      <c:pt idx="16">
                        <c:v>45.080001831054702</c:v>
                      </c:pt>
                      <c:pt idx="17">
                        <c:v>0</c:v>
                      </c:pt>
                      <c:pt idx="18">
                        <c:v>0</c:v>
                      </c:pt>
                      <c:pt idx="19">
                        <c:v>37.650001525878899</c:v>
                      </c:pt>
                    </c:numCache>
                  </c:numRef>
                </c:val>
                <c:smooth val="0"/>
                <c:extLst xmlns:c15="http://schemas.microsoft.com/office/drawing/2012/chart">
                  <c:ext xmlns:c16="http://schemas.microsoft.com/office/drawing/2014/chart" uri="{C3380CC4-5D6E-409C-BE32-E72D297353CC}">
                    <c16:uniqueId val="{00000015-783C-4805-A8A1-4448E34F5A3E}"/>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'Data LM'!$A$19</c15:sqref>
                        </c15:formulaRef>
                      </c:ext>
                    </c:extLst>
                    <c:strCache>
                      <c:ptCount val="1"/>
                      <c:pt idx="0">
                        <c:v>Labor force participation rate, female (% of female population ages 15+) (modeled ILO estimate)</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LM'!$C$19:$V$19</c15:sqref>
                        </c15:formulaRef>
                      </c:ext>
                    </c:extLst>
                    <c:numCache>
                      <c:formatCode>0.0</c:formatCode>
                      <c:ptCount val="20"/>
                      <c:pt idx="0">
                        <c:v>70.485000610351605</c:v>
                      </c:pt>
                      <c:pt idx="1">
                        <c:v>70.543998718261705</c:v>
                      </c:pt>
                      <c:pt idx="2">
                        <c:v>70.603996276855497</c:v>
                      </c:pt>
                      <c:pt idx="3">
                        <c:v>70.664001464843807</c:v>
                      </c:pt>
                      <c:pt idx="4">
                        <c:v>70.722999572753906</c:v>
                      </c:pt>
                      <c:pt idx="5">
                        <c:v>70.782997131347699</c:v>
                      </c:pt>
                      <c:pt idx="6">
                        <c:v>70.843002319335895</c:v>
                      </c:pt>
                      <c:pt idx="7">
                        <c:v>70.902999877929702</c:v>
                      </c:pt>
                      <c:pt idx="8">
                        <c:v>70.962997436523395</c:v>
                      </c:pt>
                      <c:pt idx="9">
                        <c:v>71.023002624511705</c:v>
                      </c:pt>
                      <c:pt idx="10">
                        <c:v>71.083000183105497</c:v>
                      </c:pt>
                      <c:pt idx="11">
                        <c:v>71.141998291015597</c:v>
                      </c:pt>
                      <c:pt idx="12">
                        <c:v>71.202003479003906</c:v>
                      </c:pt>
                      <c:pt idx="13">
                        <c:v>71.261001586914105</c:v>
                      </c:pt>
                      <c:pt idx="14">
                        <c:v>71.320999145507798</c:v>
                      </c:pt>
                      <c:pt idx="15">
                        <c:v>71.379997253417997</c:v>
                      </c:pt>
                      <c:pt idx="16">
                        <c:v>71.440002441406307</c:v>
                      </c:pt>
                      <c:pt idx="17">
                        <c:v>71.643997192382798</c:v>
                      </c:pt>
                      <c:pt idx="18">
                        <c:v>71.859001159667997</c:v>
                      </c:pt>
                      <c:pt idx="19">
                        <c:v>72.085998535156307</c:v>
                      </c:pt>
                    </c:numCache>
                  </c:numRef>
                </c:val>
                <c:smooth val="0"/>
                <c:extLst xmlns:c15="http://schemas.microsoft.com/office/drawing/2012/chart">
                  <c:ext xmlns:c16="http://schemas.microsoft.com/office/drawing/2014/chart" uri="{C3380CC4-5D6E-409C-BE32-E72D297353CC}">
                    <c16:uniqueId val="{00000016-783C-4805-A8A1-4448E34F5A3E}"/>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'Data LM'!$A$20</c15:sqref>
                        </c15:formulaRef>
                      </c:ext>
                    </c:extLst>
                    <c:strCache>
                      <c:ptCount val="1"/>
                      <c:pt idx="0">
                        <c:v>Labor force participation rate, female (% of female population ages 15+) (national estimate)</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LM'!$C$20:$V$20</c15:sqref>
                        </c15:formulaRef>
                      </c:ext>
                    </c:extLst>
                    <c:numCache>
                      <c:formatCode>0.0</c:formatCode>
                      <c:ptCount val="20"/>
                      <c:pt idx="0">
                        <c:v>0</c:v>
                      </c:pt>
                      <c:pt idx="1">
                        <c:v>0</c:v>
                      </c:pt>
                      <c:pt idx="2">
                        <c:v>0</c:v>
                      </c:pt>
                      <c:pt idx="3">
                        <c:v>0</c:v>
                      </c:pt>
                      <c:pt idx="4">
                        <c:v>0</c:v>
                      </c:pt>
                      <c:pt idx="5">
                        <c:v>59.490001678466797</c:v>
                      </c:pt>
                      <c:pt idx="6">
                        <c:v>56.619998931884801</c:v>
                      </c:pt>
                      <c:pt idx="7">
                        <c:v>0</c:v>
                      </c:pt>
                      <c:pt idx="8">
                        <c:v>0</c:v>
                      </c:pt>
                      <c:pt idx="9">
                        <c:v>71.540000915527301</c:v>
                      </c:pt>
                      <c:pt idx="10">
                        <c:v>0</c:v>
                      </c:pt>
                      <c:pt idx="11">
                        <c:v>0</c:v>
                      </c:pt>
                      <c:pt idx="12">
                        <c:v>0</c:v>
                      </c:pt>
                      <c:pt idx="13">
                        <c:v>0</c:v>
                      </c:pt>
                      <c:pt idx="14">
                        <c:v>0</c:v>
                      </c:pt>
                      <c:pt idx="15">
                        <c:v>0</c:v>
                      </c:pt>
                      <c:pt idx="16">
                        <c:v>71.459999084472699</c:v>
                      </c:pt>
                      <c:pt idx="17">
                        <c:v>0</c:v>
                      </c:pt>
                      <c:pt idx="18">
                        <c:v>0</c:v>
                      </c:pt>
                      <c:pt idx="19">
                        <c:v>62.900001525878899</c:v>
                      </c:pt>
                    </c:numCache>
                  </c:numRef>
                </c:val>
                <c:smooth val="0"/>
                <c:extLst xmlns:c15="http://schemas.microsoft.com/office/drawing/2012/chart">
                  <c:ext xmlns:c16="http://schemas.microsoft.com/office/drawing/2014/chart" uri="{C3380CC4-5D6E-409C-BE32-E72D297353CC}">
                    <c16:uniqueId val="{00000017-783C-4805-A8A1-4448E34F5A3E}"/>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'Data LM'!$A$21</c15:sqref>
                        </c15:formulaRef>
                      </c:ext>
                    </c:extLst>
                    <c:strCache>
                      <c:ptCount val="1"/>
                      <c:pt idx="0">
                        <c:v>Labor force participation rate, female (% of female population ages 15-64) (modeled ILO estimate)</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LM'!$C$21:$V$21</c15:sqref>
                        </c15:formulaRef>
                      </c:ext>
                    </c:extLst>
                    <c:numCache>
                      <c:formatCode>0.0</c:formatCode>
                      <c:ptCount val="20"/>
                      <c:pt idx="0">
                        <c:v>69.569999999999993</c:v>
                      </c:pt>
                      <c:pt idx="1">
                        <c:v>67.91</c:v>
                      </c:pt>
                      <c:pt idx="2">
                        <c:v>66.16</c:v>
                      </c:pt>
                      <c:pt idx="3">
                        <c:v>64.349999999999994</c:v>
                      </c:pt>
                      <c:pt idx="4">
                        <c:v>62.51</c:v>
                      </c:pt>
                      <c:pt idx="5">
                        <c:v>60.65</c:v>
                      </c:pt>
                      <c:pt idx="6">
                        <c:v>61.91</c:v>
                      </c:pt>
                      <c:pt idx="7">
                        <c:v>63.19</c:v>
                      </c:pt>
                      <c:pt idx="8">
                        <c:v>64.44</c:v>
                      </c:pt>
                      <c:pt idx="9">
                        <c:v>65.63</c:v>
                      </c:pt>
                      <c:pt idx="10">
                        <c:v>66.739999999999995</c:v>
                      </c:pt>
                      <c:pt idx="11">
                        <c:v>67.78</c:v>
                      </c:pt>
                      <c:pt idx="12">
                        <c:v>68.73</c:v>
                      </c:pt>
                      <c:pt idx="13">
                        <c:v>69.62</c:v>
                      </c:pt>
                      <c:pt idx="14">
                        <c:v>70.47</c:v>
                      </c:pt>
                      <c:pt idx="15">
                        <c:v>71.290000000000006</c:v>
                      </c:pt>
                      <c:pt idx="16">
                        <c:v>72.099999999999994</c:v>
                      </c:pt>
                      <c:pt idx="17">
                        <c:v>72.2</c:v>
                      </c:pt>
                      <c:pt idx="18">
                        <c:v>72.3</c:v>
                      </c:pt>
                      <c:pt idx="19">
                        <c:v>72.41</c:v>
                      </c:pt>
                    </c:numCache>
                  </c:numRef>
                </c:val>
                <c:smooth val="0"/>
                <c:extLst xmlns:c15="http://schemas.microsoft.com/office/drawing/2012/chart">
                  <c:ext xmlns:c16="http://schemas.microsoft.com/office/drawing/2014/chart" uri="{C3380CC4-5D6E-409C-BE32-E72D297353CC}">
                    <c16:uniqueId val="{00000018-783C-4805-A8A1-4448E34F5A3E}"/>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'Data LM'!$A$22</c15:sqref>
                        </c15:formulaRef>
                      </c:ext>
                    </c:extLst>
                    <c:strCache>
                      <c:ptCount val="1"/>
                      <c:pt idx="0">
                        <c:v>Labor force participation rate, male (% of male population ages 15+) (modeled ILO estimate)</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LM'!$C$22:$V$22</c15:sqref>
                        </c15:formulaRef>
                      </c:ext>
                    </c:extLst>
                    <c:numCache>
                      <c:formatCode>0.0</c:formatCode>
                      <c:ptCount val="20"/>
                      <c:pt idx="0">
                        <c:v>74.610000610351605</c:v>
                      </c:pt>
                      <c:pt idx="1">
                        <c:v>74.795997619628906</c:v>
                      </c:pt>
                      <c:pt idx="2">
                        <c:v>74.981002807617202</c:v>
                      </c:pt>
                      <c:pt idx="3">
                        <c:v>75.165000915527301</c:v>
                      </c:pt>
                      <c:pt idx="4">
                        <c:v>75.347999572753906</c:v>
                      </c:pt>
                      <c:pt idx="5">
                        <c:v>75.529998779296903</c:v>
                      </c:pt>
                      <c:pt idx="6">
                        <c:v>75.711997985839801</c:v>
                      </c:pt>
                      <c:pt idx="7">
                        <c:v>75.891998291015597</c:v>
                      </c:pt>
                      <c:pt idx="8">
                        <c:v>76.071998596191406</c:v>
                      </c:pt>
                      <c:pt idx="9">
                        <c:v>76.250999450683594</c:v>
                      </c:pt>
                      <c:pt idx="10">
                        <c:v>76.429000854492202</c:v>
                      </c:pt>
                      <c:pt idx="11">
                        <c:v>76.607002258300795</c:v>
                      </c:pt>
                      <c:pt idx="12">
                        <c:v>76.782997131347699</c:v>
                      </c:pt>
                      <c:pt idx="13">
                        <c:v>76.958000183105497</c:v>
                      </c:pt>
                      <c:pt idx="14">
                        <c:v>77.132003784179702</c:v>
                      </c:pt>
                      <c:pt idx="15">
                        <c:v>77.305000305175795</c:v>
                      </c:pt>
                      <c:pt idx="16">
                        <c:v>77.477996826171903</c:v>
                      </c:pt>
                      <c:pt idx="17">
                        <c:v>77.000999450683594</c:v>
                      </c:pt>
                      <c:pt idx="18">
                        <c:v>76.505996704101605</c:v>
                      </c:pt>
                      <c:pt idx="19">
                        <c:v>75.986999511718807</c:v>
                      </c:pt>
                    </c:numCache>
                  </c:numRef>
                </c:val>
                <c:smooth val="0"/>
                <c:extLst xmlns:c15="http://schemas.microsoft.com/office/drawing/2012/chart">
                  <c:ext xmlns:c16="http://schemas.microsoft.com/office/drawing/2014/chart" uri="{C3380CC4-5D6E-409C-BE32-E72D297353CC}">
                    <c16:uniqueId val="{00000019-783C-4805-A8A1-4448E34F5A3E}"/>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'Data LM'!$A$23</c15:sqref>
                        </c15:formulaRef>
                      </c:ext>
                    </c:extLst>
                    <c:strCache>
                      <c:ptCount val="1"/>
                      <c:pt idx="0">
                        <c:v>Labor force participation rate, male (% of male population ages 15+) (national estimate)</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LM'!$C$23:$V$23</c15:sqref>
                        </c15:formulaRef>
                      </c:ext>
                    </c:extLst>
                    <c:numCache>
                      <c:formatCode>0.0</c:formatCode>
                      <c:ptCount val="20"/>
                      <c:pt idx="0">
                        <c:v>0</c:v>
                      </c:pt>
                      <c:pt idx="1">
                        <c:v>0</c:v>
                      </c:pt>
                      <c:pt idx="2">
                        <c:v>0</c:v>
                      </c:pt>
                      <c:pt idx="3">
                        <c:v>0</c:v>
                      </c:pt>
                      <c:pt idx="4">
                        <c:v>0</c:v>
                      </c:pt>
                      <c:pt idx="5">
                        <c:v>68.610000610351605</c:v>
                      </c:pt>
                      <c:pt idx="6">
                        <c:v>70.220001220703097</c:v>
                      </c:pt>
                      <c:pt idx="7">
                        <c:v>0</c:v>
                      </c:pt>
                      <c:pt idx="8">
                        <c:v>0</c:v>
                      </c:pt>
                      <c:pt idx="9">
                        <c:v>81.75</c:v>
                      </c:pt>
                      <c:pt idx="10">
                        <c:v>0</c:v>
                      </c:pt>
                      <c:pt idx="11">
                        <c:v>0</c:v>
                      </c:pt>
                      <c:pt idx="12">
                        <c:v>0</c:v>
                      </c:pt>
                      <c:pt idx="13">
                        <c:v>0</c:v>
                      </c:pt>
                      <c:pt idx="14">
                        <c:v>0</c:v>
                      </c:pt>
                      <c:pt idx="15">
                        <c:v>0</c:v>
                      </c:pt>
                      <c:pt idx="16">
                        <c:v>77.5</c:v>
                      </c:pt>
                      <c:pt idx="17">
                        <c:v>0</c:v>
                      </c:pt>
                      <c:pt idx="18">
                        <c:v>0</c:v>
                      </c:pt>
                      <c:pt idx="19">
                        <c:v>73</c:v>
                      </c:pt>
                    </c:numCache>
                  </c:numRef>
                </c:val>
                <c:smooth val="0"/>
                <c:extLst xmlns:c15="http://schemas.microsoft.com/office/drawing/2012/chart">
                  <c:ext xmlns:c16="http://schemas.microsoft.com/office/drawing/2014/chart" uri="{C3380CC4-5D6E-409C-BE32-E72D297353CC}">
                    <c16:uniqueId val="{0000001A-783C-4805-A8A1-4448E34F5A3E}"/>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'Data LM'!$A$24</c15:sqref>
                        </c15:formulaRef>
                      </c:ext>
                    </c:extLst>
                    <c:strCache>
                      <c:ptCount val="1"/>
                      <c:pt idx="0">
                        <c:v>Labor force participation rate, male (% of male population ages 15-64) (modeled ILO estimate)</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LM'!$C$24:$V$24</c15:sqref>
                        </c15:formulaRef>
                      </c:ext>
                    </c:extLst>
                    <c:numCache>
                      <c:formatCode>0.0</c:formatCode>
                      <c:ptCount val="20"/>
                      <c:pt idx="0">
                        <c:v>74.099999999999994</c:v>
                      </c:pt>
                      <c:pt idx="1">
                        <c:v>73.430000000000007</c:v>
                      </c:pt>
                      <c:pt idx="2">
                        <c:v>72.7</c:v>
                      </c:pt>
                      <c:pt idx="3">
                        <c:v>71.94</c:v>
                      </c:pt>
                      <c:pt idx="4">
                        <c:v>71.16</c:v>
                      </c:pt>
                      <c:pt idx="5">
                        <c:v>70.36</c:v>
                      </c:pt>
                      <c:pt idx="6">
                        <c:v>71.44</c:v>
                      </c:pt>
                      <c:pt idx="7">
                        <c:v>72.52</c:v>
                      </c:pt>
                      <c:pt idx="8">
                        <c:v>73.540000000000006</c:v>
                      </c:pt>
                      <c:pt idx="9">
                        <c:v>74.459999999999994</c:v>
                      </c:pt>
                      <c:pt idx="10">
                        <c:v>75.260000000000005</c:v>
                      </c:pt>
                      <c:pt idx="11">
                        <c:v>75.98</c:v>
                      </c:pt>
                      <c:pt idx="12">
                        <c:v>76.59</c:v>
                      </c:pt>
                      <c:pt idx="13">
                        <c:v>77.13</c:v>
                      </c:pt>
                      <c:pt idx="14">
                        <c:v>77.63</c:v>
                      </c:pt>
                      <c:pt idx="15">
                        <c:v>78.11</c:v>
                      </c:pt>
                      <c:pt idx="16">
                        <c:v>78.569999999999993</c:v>
                      </c:pt>
                      <c:pt idx="17">
                        <c:v>77.98</c:v>
                      </c:pt>
                      <c:pt idx="18">
                        <c:v>77.37</c:v>
                      </c:pt>
                      <c:pt idx="19">
                        <c:v>76.760000000000005</c:v>
                      </c:pt>
                    </c:numCache>
                  </c:numRef>
                </c:val>
                <c:smooth val="0"/>
                <c:extLst xmlns:c15="http://schemas.microsoft.com/office/drawing/2012/chart">
                  <c:ext xmlns:c16="http://schemas.microsoft.com/office/drawing/2014/chart" uri="{C3380CC4-5D6E-409C-BE32-E72D297353CC}">
                    <c16:uniqueId val="{0000001B-783C-4805-A8A1-4448E34F5A3E}"/>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'Data LM'!$A$25</c15:sqref>
                        </c15:formulaRef>
                      </c:ext>
                    </c:extLst>
                    <c:strCache>
                      <c:ptCount val="1"/>
                      <c:pt idx="0">
                        <c:v>Labor force participation rate, total (% of total population ages 15+) (modeled ILO estimate)</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LM'!$C$25:$V$25</c15:sqref>
                        </c15:formulaRef>
                      </c:ext>
                    </c:extLst>
                    <c:numCache>
                      <c:formatCode>0.0</c:formatCode>
                      <c:ptCount val="20"/>
                      <c:pt idx="0">
                        <c:v>72.512001037597699</c:v>
                      </c:pt>
                      <c:pt idx="1">
                        <c:v>72.633003234863295</c:v>
                      </c:pt>
                      <c:pt idx="2">
                        <c:v>72.753997802734403</c:v>
                      </c:pt>
                      <c:pt idx="3">
                        <c:v>72.874000549316406</c:v>
                      </c:pt>
                      <c:pt idx="4">
                        <c:v>72.994003295898395</c:v>
                      </c:pt>
                      <c:pt idx="5">
                        <c:v>73.113998413085895</c:v>
                      </c:pt>
                      <c:pt idx="6">
                        <c:v>73.234001159667997</c:v>
                      </c:pt>
                      <c:pt idx="7">
                        <c:v>73.352996826171903</c:v>
                      </c:pt>
                      <c:pt idx="8">
                        <c:v>73.472000122070298</c:v>
                      </c:pt>
                      <c:pt idx="9">
                        <c:v>73.589996337890597</c:v>
                      </c:pt>
                      <c:pt idx="10">
                        <c:v>73.708000183105497</c:v>
                      </c:pt>
                      <c:pt idx="11">
                        <c:v>73.825996398925795</c:v>
                      </c:pt>
                      <c:pt idx="12">
                        <c:v>73.944000244140597</c:v>
                      </c:pt>
                      <c:pt idx="13">
                        <c:v>74.060997009277301</c:v>
                      </c:pt>
                      <c:pt idx="14">
                        <c:v>74.177001953125</c:v>
                      </c:pt>
                      <c:pt idx="15">
                        <c:v>74.293998718261705</c:v>
                      </c:pt>
                      <c:pt idx="16">
                        <c:v>74.410003662109403</c:v>
                      </c:pt>
                      <c:pt idx="17">
                        <c:v>74.279998779296903</c:v>
                      </c:pt>
                      <c:pt idx="18">
                        <c:v>74.144996643066406</c:v>
                      </c:pt>
                      <c:pt idx="19">
                        <c:v>74.005996704101605</c:v>
                      </c:pt>
                    </c:numCache>
                  </c:numRef>
                </c:val>
                <c:smooth val="0"/>
                <c:extLst xmlns:c15="http://schemas.microsoft.com/office/drawing/2012/chart">
                  <c:ext xmlns:c16="http://schemas.microsoft.com/office/drawing/2014/chart" uri="{C3380CC4-5D6E-409C-BE32-E72D297353CC}">
                    <c16:uniqueId val="{0000001C-783C-4805-A8A1-4448E34F5A3E}"/>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'Data LM'!$A$26</c15:sqref>
                        </c15:formulaRef>
                      </c:ext>
                    </c:extLst>
                    <c:strCache>
                      <c:ptCount val="1"/>
                      <c:pt idx="0">
                        <c:v>Labor force participation rate, total (% of total population ages 15+) (national estimate)</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LM'!$C$26:$V$26</c15:sqref>
                        </c15:formulaRef>
                      </c:ext>
                    </c:extLst>
                    <c:numCache>
                      <c:formatCode>0.0</c:formatCode>
                      <c:ptCount val="20"/>
                      <c:pt idx="0">
                        <c:v>0</c:v>
                      </c:pt>
                      <c:pt idx="1">
                        <c:v>0</c:v>
                      </c:pt>
                      <c:pt idx="2">
                        <c:v>0</c:v>
                      </c:pt>
                      <c:pt idx="3">
                        <c:v>0</c:v>
                      </c:pt>
                      <c:pt idx="4">
                        <c:v>0</c:v>
                      </c:pt>
                      <c:pt idx="5">
                        <c:v>63.930000305175803</c:v>
                      </c:pt>
                      <c:pt idx="6">
                        <c:v>63.259998321533203</c:v>
                      </c:pt>
                      <c:pt idx="7">
                        <c:v>0</c:v>
                      </c:pt>
                      <c:pt idx="8">
                        <c:v>0</c:v>
                      </c:pt>
                      <c:pt idx="9">
                        <c:v>76.519996643066406</c:v>
                      </c:pt>
                      <c:pt idx="10">
                        <c:v>0</c:v>
                      </c:pt>
                      <c:pt idx="11">
                        <c:v>0</c:v>
                      </c:pt>
                      <c:pt idx="12">
                        <c:v>0</c:v>
                      </c:pt>
                      <c:pt idx="13">
                        <c:v>0</c:v>
                      </c:pt>
                      <c:pt idx="14">
                        <c:v>0</c:v>
                      </c:pt>
                      <c:pt idx="15">
                        <c:v>0</c:v>
                      </c:pt>
                      <c:pt idx="16">
                        <c:v>74.410003662109403</c:v>
                      </c:pt>
                      <c:pt idx="17">
                        <c:v>0</c:v>
                      </c:pt>
                      <c:pt idx="18">
                        <c:v>0</c:v>
                      </c:pt>
                      <c:pt idx="19">
                        <c:v>67.800003051757798</c:v>
                      </c:pt>
                    </c:numCache>
                  </c:numRef>
                </c:val>
                <c:smooth val="0"/>
                <c:extLst xmlns:c15="http://schemas.microsoft.com/office/drawing/2012/chart">
                  <c:ext xmlns:c16="http://schemas.microsoft.com/office/drawing/2014/chart" uri="{C3380CC4-5D6E-409C-BE32-E72D297353CC}">
                    <c16:uniqueId val="{0000001D-783C-4805-A8A1-4448E34F5A3E}"/>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'Data LM'!$A$27</c15:sqref>
                        </c15:formulaRef>
                      </c:ext>
                    </c:extLst>
                    <c:strCache>
                      <c:ptCount val="1"/>
                      <c:pt idx="0">
                        <c:v>Labor force participation rate, total (% of total population ages 15-64) (modeled ILO estimate)</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LM'!$C$27:$V$27</c15:sqref>
                        </c15:formulaRef>
                      </c:ext>
                    </c:extLst>
                    <c:numCache>
                      <c:formatCode>0.0</c:formatCode>
                      <c:ptCount val="20"/>
                      <c:pt idx="0">
                        <c:v>71.8</c:v>
                      </c:pt>
                      <c:pt idx="1">
                        <c:v>70.63</c:v>
                      </c:pt>
                      <c:pt idx="2">
                        <c:v>69.39</c:v>
                      </c:pt>
                      <c:pt idx="3">
                        <c:v>68.099999999999994</c:v>
                      </c:pt>
                      <c:pt idx="4">
                        <c:v>66.78</c:v>
                      </c:pt>
                      <c:pt idx="5">
                        <c:v>65.45</c:v>
                      </c:pt>
                      <c:pt idx="6">
                        <c:v>66.62</c:v>
                      </c:pt>
                      <c:pt idx="7">
                        <c:v>67.790000000000006</c:v>
                      </c:pt>
                      <c:pt idx="8">
                        <c:v>68.930000000000007</c:v>
                      </c:pt>
                      <c:pt idx="9">
                        <c:v>69.989999999999995</c:v>
                      </c:pt>
                      <c:pt idx="10">
                        <c:v>70.95</c:v>
                      </c:pt>
                      <c:pt idx="11">
                        <c:v>71.83</c:v>
                      </c:pt>
                      <c:pt idx="12">
                        <c:v>72.61</c:v>
                      </c:pt>
                      <c:pt idx="13">
                        <c:v>73.33</c:v>
                      </c:pt>
                      <c:pt idx="14">
                        <c:v>74.010000000000005</c:v>
                      </c:pt>
                      <c:pt idx="15">
                        <c:v>74.67</c:v>
                      </c:pt>
                      <c:pt idx="16">
                        <c:v>75.3</c:v>
                      </c:pt>
                      <c:pt idx="17">
                        <c:v>75.06</c:v>
                      </c:pt>
                      <c:pt idx="18">
                        <c:v>74.81</c:v>
                      </c:pt>
                      <c:pt idx="19">
                        <c:v>74.56</c:v>
                      </c:pt>
                    </c:numCache>
                  </c:numRef>
                </c:val>
                <c:smooth val="0"/>
                <c:extLst xmlns:c15="http://schemas.microsoft.com/office/drawing/2012/chart">
                  <c:ext xmlns:c16="http://schemas.microsoft.com/office/drawing/2014/chart" uri="{C3380CC4-5D6E-409C-BE32-E72D297353CC}">
                    <c16:uniqueId val="{0000001E-783C-4805-A8A1-4448E34F5A3E}"/>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'Data LM'!$A$28</c15:sqref>
                        </c15:formulaRef>
                      </c:ext>
                    </c:extLst>
                    <c:strCache>
                      <c:ptCount val="1"/>
                      <c:pt idx="0">
                        <c:v>Labor force with advanced education (% of total working-age population with advanced education)</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LM'!$C$28:$V$28</c15:sqref>
                        </c15:formulaRef>
                      </c:ext>
                    </c:extLst>
                    <c:numCache>
                      <c:formatCode>0.0</c:formatCode>
                      <c:ptCount val="20"/>
                      <c:pt idx="0">
                        <c:v>0</c:v>
                      </c:pt>
                      <c:pt idx="1">
                        <c:v>0</c:v>
                      </c:pt>
                      <c:pt idx="2">
                        <c:v>0</c:v>
                      </c:pt>
                      <c:pt idx="3">
                        <c:v>0</c:v>
                      </c:pt>
                      <c:pt idx="4">
                        <c:v>0</c:v>
                      </c:pt>
                      <c:pt idx="5">
                        <c:v>77.819999694824205</c:v>
                      </c:pt>
                      <c:pt idx="6">
                        <c:v>77.819999694824205</c:v>
                      </c:pt>
                      <c:pt idx="7">
                        <c:v>0</c:v>
                      </c:pt>
                      <c:pt idx="8">
                        <c:v>0</c:v>
                      </c:pt>
                      <c:pt idx="9">
                        <c:v>0</c:v>
                      </c:pt>
                      <c:pt idx="10">
                        <c:v>0</c:v>
                      </c:pt>
                      <c:pt idx="11">
                        <c:v>0</c:v>
                      </c:pt>
                      <c:pt idx="12">
                        <c:v>0</c:v>
                      </c:pt>
                      <c:pt idx="13">
                        <c:v>0</c:v>
                      </c:pt>
                      <c:pt idx="14">
                        <c:v>0</c:v>
                      </c:pt>
                      <c:pt idx="15">
                        <c:v>0</c:v>
                      </c:pt>
                      <c:pt idx="16">
                        <c:v>69.139999389648395</c:v>
                      </c:pt>
                      <c:pt idx="17">
                        <c:v>0</c:v>
                      </c:pt>
                      <c:pt idx="18">
                        <c:v>0</c:v>
                      </c:pt>
                      <c:pt idx="19">
                        <c:v>86.190002441406307</c:v>
                      </c:pt>
                    </c:numCache>
                  </c:numRef>
                </c:val>
                <c:smooth val="0"/>
                <c:extLst xmlns:c15="http://schemas.microsoft.com/office/drawing/2012/chart">
                  <c:ext xmlns:c16="http://schemas.microsoft.com/office/drawing/2014/chart" uri="{C3380CC4-5D6E-409C-BE32-E72D297353CC}">
                    <c16:uniqueId val="{0000001F-783C-4805-A8A1-4448E34F5A3E}"/>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'Data LM'!$A$29</c15:sqref>
                        </c15:formulaRef>
                      </c:ext>
                    </c:extLst>
                    <c:strCache>
                      <c:ptCount val="1"/>
                      <c:pt idx="0">
                        <c:v>Labor force with advanced education, female (% of female working-age population with advanced education)</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LM'!$C$29:$V$29</c15:sqref>
                        </c15:formulaRef>
                      </c:ext>
                    </c:extLst>
                    <c:numCache>
                      <c:formatCode>0.0</c:formatCode>
                      <c:ptCount val="20"/>
                      <c:pt idx="0">
                        <c:v>0</c:v>
                      </c:pt>
                      <c:pt idx="1">
                        <c:v>0</c:v>
                      </c:pt>
                      <c:pt idx="2">
                        <c:v>0</c:v>
                      </c:pt>
                      <c:pt idx="3">
                        <c:v>0</c:v>
                      </c:pt>
                      <c:pt idx="4">
                        <c:v>0</c:v>
                      </c:pt>
                      <c:pt idx="5">
                        <c:v>66.569999694824205</c:v>
                      </c:pt>
                      <c:pt idx="6">
                        <c:v>66.569999694824205</c:v>
                      </c:pt>
                      <c:pt idx="7">
                        <c:v>0</c:v>
                      </c:pt>
                      <c:pt idx="8">
                        <c:v>0</c:v>
                      </c:pt>
                      <c:pt idx="9">
                        <c:v>0</c:v>
                      </c:pt>
                      <c:pt idx="10">
                        <c:v>0</c:v>
                      </c:pt>
                      <c:pt idx="11">
                        <c:v>0</c:v>
                      </c:pt>
                      <c:pt idx="12">
                        <c:v>0</c:v>
                      </c:pt>
                      <c:pt idx="13">
                        <c:v>0</c:v>
                      </c:pt>
                      <c:pt idx="14">
                        <c:v>0</c:v>
                      </c:pt>
                      <c:pt idx="15">
                        <c:v>0</c:v>
                      </c:pt>
                      <c:pt idx="16">
                        <c:v>68.300003051757798</c:v>
                      </c:pt>
                      <c:pt idx="17">
                        <c:v>0</c:v>
                      </c:pt>
                      <c:pt idx="18">
                        <c:v>0</c:v>
                      </c:pt>
                      <c:pt idx="19">
                        <c:v>82.260002136230497</c:v>
                      </c:pt>
                    </c:numCache>
                  </c:numRef>
                </c:val>
                <c:smooth val="0"/>
                <c:extLst xmlns:c15="http://schemas.microsoft.com/office/drawing/2012/chart">
                  <c:ext xmlns:c16="http://schemas.microsoft.com/office/drawing/2014/chart" uri="{C3380CC4-5D6E-409C-BE32-E72D297353CC}">
                    <c16:uniqueId val="{00000020-783C-4805-A8A1-4448E34F5A3E}"/>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'Data LM'!$A$30</c15:sqref>
                        </c15:formulaRef>
                      </c:ext>
                    </c:extLst>
                    <c:strCache>
                      <c:ptCount val="1"/>
                      <c:pt idx="0">
                        <c:v>Labor force with advanced education, male (% of male working-age population with advanced education)</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LM'!$C$30:$V$30</c15:sqref>
                        </c15:formulaRef>
                      </c:ext>
                    </c:extLst>
                    <c:numCache>
                      <c:formatCode>0.0</c:formatCode>
                      <c:ptCount val="20"/>
                      <c:pt idx="0">
                        <c:v>0</c:v>
                      </c:pt>
                      <c:pt idx="1">
                        <c:v>0</c:v>
                      </c:pt>
                      <c:pt idx="2">
                        <c:v>0</c:v>
                      </c:pt>
                      <c:pt idx="3">
                        <c:v>0</c:v>
                      </c:pt>
                      <c:pt idx="4">
                        <c:v>0</c:v>
                      </c:pt>
                      <c:pt idx="5">
                        <c:v>83.129997253417997</c:v>
                      </c:pt>
                      <c:pt idx="6">
                        <c:v>83.129997253417997</c:v>
                      </c:pt>
                      <c:pt idx="7">
                        <c:v>0</c:v>
                      </c:pt>
                      <c:pt idx="8">
                        <c:v>0</c:v>
                      </c:pt>
                      <c:pt idx="9">
                        <c:v>0</c:v>
                      </c:pt>
                      <c:pt idx="10">
                        <c:v>0</c:v>
                      </c:pt>
                      <c:pt idx="11">
                        <c:v>0</c:v>
                      </c:pt>
                      <c:pt idx="12">
                        <c:v>0</c:v>
                      </c:pt>
                      <c:pt idx="13">
                        <c:v>0</c:v>
                      </c:pt>
                      <c:pt idx="14">
                        <c:v>0</c:v>
                      </c:pt>
                      <c:pt idx="15">
                        <c:v>0</c:v>
                      </c:pt>
                      <c:pt idx="16">
                        <c:v>69.699996948242202</c:v>
                      </c:pt>
                      <c:pt idx="17">
                        <c:v>0</c:v>
                      </c:pt>
                      <c:pt idx="18">
                        <c:v>0</c:v>
                      </c:pt>
                      <c:pt idx="19">
                        <c:v>88.879997253417997</c:v>
                      </c:pt>
                    </c:numCache>
                  </c:numRef>
                </c:val>
                <c:smooth val="0"/>
                <c:extLst xmlns:c15="http://schemas.microsoft.com/office/drawing/2012/chart">
                  <c:ext xmlns:c16="http://schemas.microsoft.com/office/drawing/2014/chart" uri="{C3380CC4-5D6E-409C-BE32-E72D297353CC}">
                    <c16:uniqueId val="{00000021-783C-4805-A8A1-4448E34F5A3E}"/>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'Data LM'!$A$31</c15:sqref>
                        </c15:formulaRef>
                      </c:ext>
                    </c:extLst>
                    <c:strCache>
                      <c:ptCount val="1"/>
                      <c:pt idx="0">
                        <c:v>Labor force with basic education (% of total working-age population with basic education)</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LM'!$C$31:$V$31</c15:sqref>
                        </c15:formulaRef>
                      </c:ext>
                    </c:extLst>
                    <c:numCache>
                      <c:formatCode>0.0</c:formatCode>
                      <c:ptCount val="20"/>
                      <c:pt idx="0">
                        <c:v>0</c:v>
                      </c:pt>
                      <c:pt idx="1">
                        <c:v>0</c:v>
                      </c:pt>
                      <c:pt idx="2">
                        <c:v>0</c:v>
                      </c:pt>
                      <c:pt idx="3">
                        <c:v>0</c:v>
                      </c:pt>
                      <c:pt idx="4">
                        <c:v>0</c:v>
                      </c:pt>
                      <c:pt idx="5">
                        <c:v>58.950000762939503</c:v>
                      </c:pt>
                      <c:pt idx="6">
                        <c:v>58.950000762939503</c:v>
                      </c:pt>
                      <c:pt idx="7">
                        <c:v>0</c:v>
                      </c:pt>
                      <c:pt idx="8">
                        <c:v>0</c:v>
                      </c:pt>
                      <c:pt idx="9">
                        <c:v>0</c:v>
                      </c:pt>
                      <c:pt idx="10">
                        <c:v>0</c:v>
                      </c:pt>
                      <c:pt idx="11">
                        <c:v>0</c:v>
                      </c:pt>
                      <c:pt idx="12">
                        <c:v>0</c:v>
                      </c:pt>
                      <c:pt idx="13">
                        <c:v>0</c:v>
                      </c:pt>
                      <c:pt idx="14">
                        <c:v>0</c:v>
                      </c:pt>
                      <c:pt idx="15">
                        <c:v>0</c:v>
                      </c:pt>
                      <c:pt idx="16">
                        <c:v>79.059997558593807</c:v>
                      </c:pt>
                      <c:pt idx="17">
                        <c:v>0</c:v>
                      </c:pt>
                      <c:pt idx="18">
                        <c:v>0</c:v>
                      </c:pt>
                      <c:pt idx="19">
                        <c:v>65.779998779296903</c:v>
                      </c:pt>
                    </c:numCache>
                  </c:numRef>
                </c:val>
                <c:smooth val="0"/>
                <c:extLst xmlns:c15="http://schemas.microsoft.com/office/drawing/2012/chart">
                  <c:ext xmlns:c16="http://schemas.microsoft.com/office/drawing/2014/chart" uri="{C3380CC4-5D6E-409C-BE32-E72D297353CC}">
                    <c16:uniqueId val="{00000022-783C-4805-A8A1-4448E34F5A3E}"/>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'Data LM'!$A$32</c15:sqref>
                        </c15:formulaRef>
                      </c:ext>
                    </c:extLst>
                    <c:strCache>
                      <c:ptCount val="1"/>
                      <c:pt idx="0">
                        <c:v>Labor force with basic education, female (% of female working-age population with basic education)</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LM'!$C$32:$V$32</c15:sqref>
                        </c15:formulaRef>
                      </c:ext>
                    </c:extLst>
                    <c:numCache>
                      <c:formatCode>0.0</c:formatCode>
                      <c:ptCount val="20"/>
                      <c:pt idx="0">
                        <c:v>0</c:v>
                      </c:pt>
                      <c:pt idx="1">
                        <c:v>0</c:v>
                      </c:pt>
                      <c:pt idx="2">
                        <c:v>0</c:v>
                      </c:pt>
                      <c:pt idx="3">
                        <c:v>0</c:v>
                      </c:pt>
                      <c:pt idx="4">
                        <c:v>0</c:v>
                      </c:pt>
                      <c:pt idx="5">
                        <c:v>52.869998931884801</c:v>
                      </c:pt>
                      <c:pt idx="6">
                        <c:v>52.869998931884801</c:v>
                      </c:pt>
                      <c:pt idx="7">
                        <c:v>0</c:v>
                      </c:pt>
                      <c:pt idx="8">
                        <c:v>0</c:v>
                      </c:pt>
                      <c:pt idx="9">
                        <c:v>0</c:v>
                      </c:pt>
                      <c:pt idx="10">
                        <c:v>0</c:v>
                      </c:pt>
                      <c:pt idx="11">
                        <c:v>0</c:v>
                      </c:pt>
                      <c:pt idx="12">
                        <c:v>0</c:v>
                      </c:pt>
                      <c:pt idx="13">
                        <c:v>0</c:v>
                      </c:pt>
                      <c:pt idx="14">
                        <c:v>0</c:v>
                      </c:pt>
                      <c:pt idx="15">
                        <c:v>0</c:v>
                      </c:pt>
                      <c:pt idx="16">
                        <c:v>77.589996337890597</c:v>
                      </c:pt>
                      <c:pt idx="17">
                        <c:v>0</c:v>
                      </c:pt>
                      <c:pt idx="18">
                        <c:v>0</c:v>
                      </c:pt>
                      <c:pt idx="19">
                        <c:v>63</c:v>
                      </c:pt>
                    </c:numCache>
                  </c:numRef>
                </c:val>
                <c:smooth val="0"/>
                <c:extLst xmlns:c15="http://schemas.microsoft.com/office/drawing/2012/chart">
                  <c:ext xmlns:c16="http://schemas.microsoft.com/office/drawing/2014/chart" uri="{C3380CC4-5D6E-409C-BE32-E72D297353CC}">
                    <c16:uniqueId val="{00000023-783C-4805-A8A1-4448E34F5A3E}"/>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'Data LM'!$A$33</c15:sqref>
                        </c15:formulaRef>
                      </c:ext>
                    </c:extLst>
                    <c:strCache>
                      <c:ptCount val="1"/>
                      <c:pt idx="0">
                        <c:v>Labor force with basic education, male (% of male working-age population with basic education)</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LM'!$C$33:$V$33</c15:sqref>
                        </c15:formulaRef>
                      </c:ext>
                    </c:extLst>
                    <c:numCache>
                      <c:formatCode>0.0</c:formatCode>
                      <c:ptCount val="20"/>
                      <c:pt idx="0">
                        <c:v>0</c:v>
                      </c:pt>
                      <c:pt idx="1">
                        <c:v>0</c:v>
                      </c:pt>
                      <c:pt idx="2">
                        <c:v>0</c:v>
                      </c:pt>
                      <c:pt idx="3">
                        <c:v>0</c:v>
                      </c:pt>
                      <c:pt idx="4">
                        <c:v>0</c:v>
                      </c:pt>
                      <c:pt idx="5">
                        <c:v>64.980003356933594</c:v>
                      </c:pt>
                      <c:pt idx="6">
                        <c:v>64.980003356933594</c:v>
                      </c:pt>
                      <c:pt idx="7">
                        <c:v>0</c:v>
                      </c:pt>
                      <c:pt idx="8">
                        <c:v>0</c:v>
                      </c:pt>
                      <c:pt idx="9">
                        <c:v>0</c:v>
                      </c:pt>
                      <c:pt idx="10">
                        <c:v>0</c:v>
                      </c:pt>
                      <c:pt idx="11">
                        <c:v>0</c:v>
                      </c:pt>
                      <c:pt idx="12">
                        <c:v>0</c:v>
                      </c:pt>
                      <c:pt idx="13">
                        <c:v>0</c:v>
                      </c:pt>
                      <c:pt idx="14">
                        <c:v>0</c:v>
                      </c:pt>
                      <c:pt idx="15">
                        <c:v>0</c:v>
                      </c:pt>
                      <c:pt idx="16">
                        <c:v>80.580001831054702</c:v>
                      </c:pt>
                      <c:pt idx="17">
                        <c:v>0</c:v>
                      </c:pt>
                      <c:pt idx="18">
                        <c:v>0</c:v>
                      </c:pt>
                      <c:pt idx="19">
                        <c:v>68.830001831054702</c:v>
                      </c:pt>
                    </c:numCache>
                  </c:numRef>
                </c:val>
                <c:smooth val="0"/>
                <c:extLst xmlns:c15="http://schemas.microsoft.com/office/drawing/2012/chart">
                  <c:ext xmlns:c16="http://schemas.microsoft.com/office/drawing/2014/chart" uri="{C3380CC4-5D6E-409C-BE32-E72D297353CC}">
                    <c16:uniqueId val="{00000024-783C-4805-A8A1-4448E34F5A3E}"/>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'Data LM'!$A$34</c15:sqref>
                        </c15:formulaRef>
                      </c:ext>
                    </c:extLst>
                    <c:strCache>
                      <c:ptCount val="1"/>
                      <c:pt idx="0">
                        <c:v>Labor force with intermediate education (% of total working-age population with intermediate education)</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LM'!$C$34:$V$34</c15:sqref>
                        </c15:formulaRef>
                      </c:ext>
                    </c:extLst>
                    <c:numCache>
                      <c:formatCode>0.0</c:formatCode>
                      <c:ptCount val="20"/>
                      <c:pt idx="0">
                        <c:v>0</c:v>
                      </c:pt>
                      <c:pt idx="1">
                        <c:v>0</c:v>
                      </c:pt>
                      <c:pt idx="2">
                        <c:v>0</c:v>
                      </c:pt>
                      <c:pt idx="3">
                        <c:v>0</c:v>
                      </c:pt>
                      <c:pt idx="4">
                        <c:v>0</c:v>
                      </c:pt>
                      <c:pt idx="5">
                        <c:v>78.089996337890597</c:v>
                      </c:pt>
                      <c:pt idx="6">
                        <c:v>78.089996337890597</c:v>
                      </c:pt>
                      <c:pt idx="7">
                        <c:v>0</c:v>
                      </c:pt>
                      <c:pt idx="8">
                        <c:v>0</c:v>
                      </c:pt>
                      <c:pt idx="9">
                        <c:v>0</c:v>
                      </c:pt>
                      <c:pt idx="10">
                        <c:v>0</c:v>
                      </c:pt>
                      <c:pt idx="11">
                        <c:v>0</c:v>
                      </c:pt>
                      <c:pt idx="12">
                        <c:v>0</c:v>
                      </c:pt>
                      <c:pt idx="13">
                        <c:v>0</c:v>
                      </c:pt>
                      <c:pt idx="14">
                        <c:v>0</c:v>
                      </c:pt>
                      <c:pt idx="15">
                        <c:v>0</c:v>
                      </c:pt>
                      <c:pt idx="16">
                        <c:v>70.879997253417997</c:v>
                      </c:pt>
                      <c:pt idx="17">
                        <c:v>0</c:v>
                      </c:pt>
                      <c:pt idx="18">
                        <c:v>0</c:v>
                      </c:pt>
                      <c:pt idx="19">
                        <c:v>73.410003662109403</c:v>
                      </c:pt>
                    </c:numCache>
                  </c:numRef>
                </c:val>
                <c:smooth val="0"/>
                <c:extLst xmlns:c15="http://schemas.microsoft.com/office/drawing/2012/chart">
                  <c:ext xmlns:c16="http://schemas.microsoft.com/office/drawing/2014/chart" uri="{C3380CC4-5D6E-409C-BE32-E72D297353CC}">
                    <c16:uniqueId val="{00000025-783C-4805-A8A1-4448E34F5A3E}"/>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'Data LM'!$A$35</c15:sqref>
                        </c15:formulaRef>
                      </c:ext>
                    </c:extLst>
                    <c:strCache>
                      <c:ptCount val="1"/>
                      <c:pt idx="0">
                        <c:v>Labor force with intermediate education, female (% of female working-age population with intermediate education)</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LM'!$C$35:$V$35</c15:sqref>
                        </c15:formulaRef>
                      </c:ext>
                    </c:extLst>
                    <c:numCache>
                      <c:formatCode>0.0</c:formatCode>
                      <c:ptCount val="20"/>
                      <c:pt idx="0">
                        <c:v>0</c:v>
                      </c:pt>
                      <c:pt idx="1">
                        <c:v>0</c:v>
                      </c:pt>
                      <c:pt idx="2">
                        <c:v>0</c:v>
                      </c:pt>
                      <c:pt idx="3">
                        <c:v>0</c:v>
                      </c:pt>
                      <c:pt idx="4">
                        <c:v>0</c:v>
                      </c:pt>
                      <c:pt idx="5">
                        <c:v>70.930000305175795</c:v>
                      </c:pt>
                      <c:pt idx="6">
                        <c:v>70.930000305175795</c:v>
                      </c:pt>
                      <c:pt idx="7">
                        <c:v>0</c:v>
                      </c:pt>
                      <c:pt idx="8">
                        <c:v>0</c:v>
                      </c:pt>
                      <c:pt idx="9">
                        <c:v>0</c:v>
                      </c:pt>
                      <c:pt idx="10">
                        <c:v>0</c:v>
                      </c:pt>
                      <c:pt idx="11">
                        <c:v>0</c:v>
                      </c:pt>
                      <c:pt idx="12">
                        <c:v>0</c:v>
                      </c:pt>
                      <c:pt idx="13">
                        <c:v>0</c:v>
                      </c:pt>
                      <c:pt idx="14">
                        <c:v>0</c:v>
                      </c:pt>
                      <c:pt idx="15">
                        <c:v>0</c:v>
                      </c:pt>
                      <c:pt idx="16">
                        <c:v>66.470001220703097</c:v>
                      </c:pt>
                      <c:pt idx="17">
                        <c:v>0</c:v>
                      </c:pt>
                      <c:pt idx="18">
                        <c:v>0</c:v>
                      </c:pt>
                      <c:pt idx="19">
                        <c:v>64.809997558593807</c:v>
                      </c:pt>
                    </c:numCache>
                  </c:numRef>
                </c:val>
                <c:smooth val="0"/>
                <c:extLst xmlns:c15="http://schemas.microsoft.com/office/drawing/2012/chart">
                  <c:ext xmlns:c16="http://schemas.microsoft.com/office/drawing/2014/chart" uri="{C3380CC4-5D6E-409C-BE32-E72D297353CC}">
                    <c16:uniqueId val="{00000026-783C-4805-A8A1-4448E34F5A3E}"/>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'Data LM'!$A$36</c15:sqref>
                        </c15:formulaRef>
                      </c:ext>
                    </c:extLst>
                    <c:strCache>
                      <c:ptCount val="1"/>
                      <c:pt idx="0">
                        <c:v>Labor force with intermediate education, male (% of male working-age population with intermediate education)</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LM'!$C$36:$V$36</c15:sqref>
                        </c15:formulaRef>
                      </c:ext>
                    </c:extLst>
                    <c:numCache>
                      <c:formatCode>0.0</c:formatCode>
                      <c:ptCount val="20"/>
                      <c:pt idx="0">
                        <c:v>0</c:v>
                      </c:pt>
                      <c:pt idx="1">
                        <c:v>0</c:v>
                      </c:pt>
                      <c:pt idx="2">
                        <c:v>0</c:v>
                      </c:pt>
                      <c:pt idx="3">
                        <c:v>0</c:v>
                      </c:pt>
                      <c:pt idx="4">
                        <c:v>0</c:v>
                      </c:pt>
                      <c:pt idx="5">
                        <c:v>83.569999694824205</c:v>
                      </c:pt>
                      <c:pt idx="6">
                        <c:v>83.569999694824205</c:v>
                      </c:pt>
                      <c:pt idx="7">
                        <c:v>0</c:v>
                      </c:pt>
                      <c:pt idx="8">
                        <c:v>0</c:v>
                      </c:pt>
                      <c:pt idx="9">
                        <c:v>0</c:v>
                      </c:pt>
                      <c:pt idx="10">
                        <c:v>0</c:v>
                      </c:pt>
                      <c:pt idx="11">
                        <c:v>0</c:v>
                      </c:pt>
                      <c:pt idx="12">
                        <c:v>0</c:v>
                      </c:pt>
                      <c:pt idx="13">
                        <c:v>0</c:v>
                      </c:pt>
                      <c:pt idx="14">
                        <c:v>0</c:v>
                      </c:pt>
                      <c:pt idx="15">
                        <c:v>0</c:v>
                      </c:pt>
                      <c:pt idx="16">
                        <c:v>74.989997863769503</c:v>
                      </c:pt>
                      <c:pt idx="17">
                        <c:v>0</c:v>
                      </c:pt>
                      <c:pt idx="18">
                        <c:v>0</c:v>
                      </c:pt>
                      <c:pt idx="19">
                        <c:v>79.940002441406307</c:v>
                      </c:pt>
                    </c:numCache>
                  </c:numRef>
                </c:val>
                <c:smooth val="0"/>
                <c:extLst xmlns:c15="http://schemas.microsoft.com/office/drawing/2012/chart">
                  <c:ext xmlns:c16="http://schemas.microsoft.com/office/drawing/2014/chart" uri="{C3380CC4-5D6E-409C-BE32-E72D297353CC}">
                    <c16:uniqueId val="{00000027-783C-4805-A8A1-4448E34F5A3E}"/>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'Data LM'!$A$37</c15:sqref>
                        </c15:formulaRef>
                      </c:ext>
                    </c:extLst>
                    <c:strCache>
                      <c:ptCount val="1"/>
                      <c:pt idx="0">
                        <c:v>Labor force, female (% of total labor force)</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LM'!$C$37:$V$37</c15:sqref>
                        </c15:formulaRef>
                      </c:ext>
                    </c:extLst>
                    <c:numCache>
                      <c:formatCode>0.0</c:formatCode>
                      <c:ptCount val="20"/>
                      <c:pt idx="0">
                        <c:v>49.44905113837391</c:v>
                      </c:pt>
                      <c:pt idx="1">
                        <c:v>49.419118473876118</c:v>
                      </c:pt>
                      <c:pt idx="2">
                        <c:v>49.385341912071013</c:v>
                      </c:pt>
                      <c:pt idx="3">
                        <c:v>49.348688481543284</c:v>
                      </c:pt>
                      <c:pt idx="4">
                        <c:v>49.309857659369641</c:v>
                      </c:pt>
                      <c:pt idx="5">
                        <c:v>49.271817649043101</c:v>
                      </c:pt>
                      <c:pt idx="6">
                        <c:v>49.235928643255825</c:v>
                      </c:pt>
                      <c:pt idx="7">
                        <c:v>49.200012757638021</c:v>
                      </c:pt>
                      <c:pt idx="8">
                        <c:v>49.162796540594336</c:v>
                      </c:pt>
                      <c:pt idx="9">
                        <c:v>49.123351250448636</c:v>
                      </c:pt>
                      <c:pt idx="10">
                        <c:v>49.080251544128657</c:v>
                      </c:pt>
                      <c:pt idx="11">
                        <c:v>49.036485294882731</c:v>
                      </c:pt>
                      <c:pt idx="12">
                        <c:v>48.98793845742086</c:v>
                      </c:pt>
                      <c:pt idx="13">
                        <c:v>48.935622203539381</c:v>
                      </c:pt>
                      <c:pt idx="14">
                        <c:v>48.88403570059662</c:v>
                      </c:pt>
                      <c:pt idx="15">
                        <c:v>48.832268867347736</c:v>
                      </c:pt>
                      <c:pt idx="16">
                        <c:v>48.783468523586691</c:v>
                      </c:pt>
                      <c:pt idx="17">
                        <c:v>48.998449127471297</c:v>
                      </c:pt>
                      <c:pt idx="18">
                        <c:v>49.226604338347698</c:v>
                      </c:pt>
                      <c:pt idx="19">
                        <c:v>49.464802908239527</c:v>
                      </c:pt>
                    </c:numCache>
                  </c:numRef>
                </c:val>
                <c:smooth val="0"/>
                <c:extLst xmlns:c15="http://schemas.microsoft.com/office/drawing/2012/chart">
                  <c:ext xmlns:c16="http://schemas.microsoft.com/office/drawing/2014/chart" uri="{C3380CC4-5D6E-409C-BE32-E72D297353CC}">
                    <c16:uniqueId val="{00000028-783C-4805-A8A1-4448E34F5A3E}"/>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'Data LM'!$A$38</c15:sqref>
                        </c15:formulaRef>
                      </c:ext>
                    </c:extLst>
                    <c:strCache>
                      <c:ptCount val="1"/>
                      <c:pt idx="0">
                        <c:v>Self-employed, female (% of female employment) (modeled ILO estimate)</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LM'!$C$38:$V$38</c15:sqref>
                        </c15:formulaRef>
                      </c:ext>
                    </c:extLst>
                    <c:numCache>
                      <c:formatCode>0.0</c:formatCode>
                      <c:ptCount val="20"/>
                      <c:pt idx="0">
                        <c:v>79.559997558593807</c:v>
                      </c:pt>
                      <c:pt idx="1">
                        <c:v>79.319999694824205</c:v>
                      </c:pt>
                      <c:pt idx="2">
                        <c:v>79.010002136230497</c:v>
                      </c:pt>
                      <c:pt idx="3">
                        <c:v>78.900001525878906</c:v>
                      </c:pt>
                      <c:pt idx="4">
                        <c:v>78.610000610351605</c:v>
                      </c:pt>
                      <c:pt idx="5">
                        <c:v>78.410003662109403</c:v>
                      </c:pt>
                      <c:pt idx="6">
                        <c:v>78.449996948242202</c:v>
                      </c:pt>
                      <c:pt idx="7">
                        <c:v>76.540000915527301</c:v>
                      </c:pt>
                      <c:pt idx="8">
                        <c:v>74.910003662109403</c:v>
                      </c:pt>
                      <c:pt idx="9">
                        <c:v>73.080001831054702</c:v>
                      </c:pt>
                      <c:pt idx="10">
                        <c:v>71.180000305175795</c:v>
                      </c:pt>
                      <c:pt idx="11">
                        <c:v>69.190002441406307</c:v>
                      </c:pt>
                      <c:pt idx="12">
                        <c:v>67.360000610351605</c:v>
                      </c:pt>
                      <c:pt idx="13">
                        <c:v>65.589996337890597</c:v>
                      </c:pt>
                      <c:pt idx="14">
                        <c:v>63.900001525878899</c:v>
                      </c:pt>
                      <c:pt idx="15">
                        <c:v>62.209999084472699</c:v>
                      </c:pt>
                      <c:pt idx="16">
                        <c:v>60.610000610351598</c:v>
                      </c:pt>
                      <c:pt idx="17">
                        <c:v>59.459999084472699</c:v>
                      </c:pt>
                      <c:pt idx="18">
                        <c:v>58.340000152587898</c:v>
                      </c:pt>
                      <c:pt idx="19">
                        <c:v>57.2299995422363</c:v>
                      </c:pt>
                    </c:numCache>
                  </c:numRef>
                </c:val>
                <c:smooth val="0"/>
                <c:extLst xmlns:c15="http://schemas.microsoft.com/office/drawing/2012/chart">
                  <c:ext xmlns:c16="http://schemas.microsoft.com/office/drawing/2014/chart" uri="{C3380CC4-5D6E-409C-BE32-E72D297353CC}">
                    <c16:uniqueId val="{00000029-783C-4805-A8A1-4448E34F5A3E}"/>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'Data LM'!$A$39</c15:sqref>
                        </c15:formulaRef>
                      </c:ext>
                    </c:extLst>
                    <c:strCache>
                      <c:ptCount val="1"/>
                      <c:pt idx="0">
                        <c:v>Self-employed, male (% of male employment) (modeled ILO estimate)</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LM'!$C$39:$V$39</c15:sqref>
                        </c15:formulaRef>
                      </c:ext>
                    </c:extLst>
                    <c:numCache>
                      <c:formatCode>0.0</c:formatCode>
                      <c:ptCount val="20"/>
                      <c:pt idx="0">
                        <c:v>53.470001220703097</c:v>
                      </c:pt>
                      <c:pt idx="1">
                        <c:v>54.75</c:v>
                      </c:pt>
                      <c:pt idx="2">
                        <c:v>56.159999847412102</c:v>
                      </c:pt>
                      <c:pt idx="3">
                        <c:v>57.490001678466797</c:v>
                      </c:pt>
                      <c:pt idx="4">
                        <c:v>58.189998626708999</c:v>
                      </c:pt>
                      <c:pt idx="5">
                        <c:v>58.740001678466797</c:v>
                      </c:pt>
                      <c:pt idx="6">
                        <c:v>59.650001525878899</c:v>
                      </c:pt>
                      <c:pt idx="7">
                        <c:v>57.450000762939503</c:v>
                      </c:pt>
                      <c:pt idx="8">
                        <c:v>56.430000305175803</c:v>
                      </c:pt>
                      <c:pt idx="9">
                        <c:v>54.900001525878899</c:v>
                      </c:pt>
                      <c:pt idx="10">
                        <c:v>52.869998931884801</c:v>
                      </c:pt>
                      <c:pt idx="11">
                        <c:v>51.0200004577637</c:v>
                      </c:pt>
                      <c:pt idx="12">
                        <c:v>49.580001831054702</c:v>
                      </c:pt>
                      <c:pt idx="13">
                        <c:v>48.150001525878899</c:v>
                      </c:pt>
                      <c:pt idx="14">
                        <c:v>46.849998474121101</c:v>
                      </c:pt>
                      <c:pt idx="15">
                        <c:v>45.580001831054702</c:v>
                      </c:pt>
                      <c:pt idx="16">
                        <c:v>44.459999084472699</c:v>
                      </c:pt>
                      <c:pt idx="17">
                        <c:v>43.590000152587898</c:v>
                      </c:pt>
                      <c:pt idx="18">
                        <c:v>42.580001831054702</c:v>
                      </c:pt>
                      <c:pt idx="19">
                        <c:v>41.630001068115199</c:v>
                      </c:pt>
                    </c:numCache>
                  </c:numRef>
                </c:val>
                <c:smooth val="0"/>
                <c:extLst xmlns:c15="http://schemas.microsoft.com/office/drawing/2012/chart">
                  <c:ext xmlns:c16="http://schemas.microsoft.com/office/drawing/2014/chart" uri="{C3380CC4-5D6E-409C-BE32-E72D297353CC}">
                    <c16:uniqueId val="{0000002A-783C-4805-A8A1-4448E34F5A3E}"/>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'Data LM'!$A$40</c15:sqref>
                        </c15:formulaRef>
                      </c:ext>
                    </c:extLst>
                    <c:strCache>
                      <c:ptCount val="1"/>
                      <c:pt idx="0">
                        <c:v>Self-employed, total (% of total employment) (modeled ILO estimate)</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LM'!$C$40:$V$40</c15:sqref>
                        </c15:formulaRef>
                      </c:ext>
                    </c:extLst>
                    <c:numCache>
                      <c:formatCode>0.0</c:formatCode>
                      <c:ptCount val="20"/>
                      <c:pt idx="0">
                        <c:v>66.300003051757798</c:v>
                      </c:pt>
                      <c:pt idx="1">
                        <c:v>66.730003356933594</c:v>
                      </c:pt>
                      <c:pt idx="2">
                        <c:v>67.220001220703097</c:v>
                      </c:pt>
                      <c:pt idx="3">
                        <c:v>67.760002136230497</c:v>
                      </c:pt>
                      <c:pt idx="4">
                        <c:v>67.889999389648395</c:v>
                      </c:pt>
                      <c:pt idx="5">
                        <c:v>67.989997863769503</c:v>
                      </c:pt>
                      <c:pt idx="6">
                        <c:v>68.519996643066406</c:v>
                      </c:pt>
                      <c:pt idx="7">
                        <c:v>66.480003356933594</c:v>
                      </c:pt>
                      <c:pt idx="8">
                        <c:v>65.209999084472699</c:v>
                      </c:pt>
                      <c:pt idx="9">
                        <c:v>63.560001373291001</c:v>
                      </c:pt>
                      <c:pt idx="10">
                        <c:v>61.610000610351598</c:v>
                      </c:pt>
                      <c:pt idx="11">
                        <c:v>59.720001220703097</c:v>
                      </c:pt>
                      <c:pt idx="12">
                        <c:v>58.119998931884801</c:v>
                      </c:pt>
                      <c:pt idx="13">
                        <c:v>56.549999237060497</c:v>
                      </c:pt>
                      <c:pt idx="14">
                        <c:v>55.080001831054702</c:v>
                      </c:pt>
                      <c:pt idx="15">
                        <c:v>53.630001068115199</c:v>
                      </c:pt>
                      <c:pt idx="16">
                        <c:v>52.290000915527301</c:v>
                      </c:pt>
                      <c:pt idx="17">
                        <c:v>51.330001831054702</c:v>
                      </c:pt>
                      <c:pt idx="18">
                        <c:v>50.290000915527301</c:v>
                      </c:pt>
                      <c:pt idx="19">
                        <c:v>49.2700004577637</c:v>
                      </c:pt>
                    </c:numCache>
                  </c:numRef>
                </c:val>
                <c:smooth val="0"/>
                <c:extLst xmlns:c15="http://schemas.microsoft.com/office/drawing/2012/chart">
                  <c:ext xmlns:c16="http://schemas.microsoft.com/office/drawing/2014/chart" uri="{C3380CC4-5D6E-409C-BE32-E72D297353CC}">
                    <c16:uniqueId val="{0000002B-783C-4805-A8A1-4448E34F5A3E}"/>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'Data LM'!$A$41</c15:sqref>
                        </c15:formulaRef>
                      </c:ext>
                    </c:extLst>
                    <c:strCache>
                      <c:ptCount val="1"/>
                      <c:pt idx="0">
                        <c:v>Unemployment with advanced education (% of total labor force with advanced education)</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LM'!$C$41:$V$41</c15:sqref>
                        </c15:formulaRef>
                      </c:ext>
                    </c:extLst>
                    <c:numCache>
                      <c:formatCode>0.0</c:formatCode>
                      <c:ptCount val="20"/>
                      <c:pt idx="0">
                        <c:v>0</c:v>
                      </c:pt>
                      <c:pt idx="1">
                        <c:v>0</c:v>
                      </c:pt>
                      <c:pt idx="2">
                        <c:v>0</c:v>
                      </c:pt>
                      <c:pt idx="3">
                        <c:v>0</c:v>
                      </c:pt>
                      <c:pt idx="4">
                        <c:v>0</c:v>
                      </c:pt>
                      <c:pt idx="5">
                        <c:v>9.0900001525878906</c:v>
                      </c:pt>
                      <c:pt idx="6">
                        <c:v>9.0900001525878906</c:v>
                      </c:pt>
                      <c:pt idx="7">
                        <c:v>0</c:v>
                      </c:pt>
                      <c:pt idx="8">
                        <c:v>0</c:v>
                      </c:pt>
                      <c:pt idx="9">
                        <c:v>0</c:v>
                      </c:pt>
                      <c:pt idx="10">
                        <c:v>0</c:v>
                      </c:pt>
                      <c:pt idx="11">
                        <c:v>0</c:v>
                      </c:pt>
                      <c:pt idx="12">
                        <c:v>0</c:v>
                      </c:pt>
                      <c:pt idx="13">
                        <c:v>0</c:v>
                      </c:pt>
                      <c:pt idx="14">
                        <c:v>0</c:v>
                      </c:pt>
                      <c:pt idx="15">
                        <c:v>0</c:v>
                      </c:pt>
                      <c:pt idx="16">
                        <c:v>7.8200001716613796</c:v>
                      </c:pt>
                      <c:pt idx="17">
                        <c:v>0</c:v>
                      </c:pt>
                      <c:pt idx="18">
                        <c:v>0</c:v>
                      </c:pt>
                      <c:pt idx="19">
                        <c:v>12.329999923706101</c:v>
                      </c:pt>
                    </c:numCache>
                  </c:numRef>
                </c:val>
                <c:smooth val="0"/>
                <c:extLst xmlns:c15="http://schemas.microsoft.com/office/drawing/2012/chart">
                  <c:ext xmlns:c16="http://schemas.microsoft.com/office/drawing/2014/chart" uri="{C3380CC4-5D6E-409C-BE32-E72D297353CC}">
                    <c16:uniqueId val="{0000002C-783C-4805-A8A1-4448E34F5A3E}"/>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'Data LM'!$A$42</c15:sqref>
                        </c15:formulaRef>
                      </c:ext>
                    </c:extLst>
                    <c:strCache>
                      <c:ptCount val="1"/>
                      <c:pt idx="0">
                        <c:v>Unemployment with advanced education, female (% of female labor force with advanced education)</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LM'!$C$42:$V$42</c15:sqref>
                        </c15:formulaRef>
                      </c:ext>
                    </c:extLst>
                    <c:numCache>
                      <c:formatCode>0.0</c:formatCode>
                      <c:ptCount val="20"/>
                      <c:pt idx="0">
                        <c:v>0</c:v>
                      </c:pt>
                      <c:pt idx="1">
                        <c:v>0</c:v>
                      </c:pt>
                      <c:pt idx="2">
                        <c:v>0</c:v>
                      </c:pt>
                      <c:pt idx="3">
                        <c:v>0</c:v>
                      </c:pt>
                      <c:pt idx="4">
                        <c:v>0</c:v>
                      </c:pt>
                      <c:pt idx="5">
                        <c:v>13.810000419616699</c:v>
                      </c:pt>
                      <c:pt idx="6">
                        <c:v>13.810000419616699</c:v>
                      </c:pt>
                      <c:pt idx="7">
                        <c:v>0</c:v>
                      </c:pt>
                      <c:pt idx="8">
                        <c:v>0</c:v>
                      </c:pt>
                      <c:pt idx="9">
                        <c:v>0</c:v>
                      </c:pt>
                      <c:pt idx="10">
                        <c:v>0</c:v>
                      </c:pt>
                      <c:pt idx="11">
                        <c:v>0</c:v>
                      </c:pt>
                      <c:pt idx="12">
                        <c:v>0</c:v>
                      </c:pt>
                      <c:pt idx="13">
                        <c:v>0</c:v>
                      </c:pt>
                      <c:pt idx="14">
                        <c:v>0</c:v>
                      </c:pt>
                      <c:pt idx="15">
                        <c:v>0</c:v>
                      </c:pt>
                      <c:pt idx="16">
                        <c:v>10.0299997329712</c:v>
                      </c:pt>
                      <c:pt idx="17">
                        <c:v>0</c:v>
                      </c:pt>
                      <c:pt idx="18">
                        <c:v>0</c:v>
                      </c:pt>
                      <c:pt idx="19">
                        <c:v>14.2799997329712</c:v>
                      </c:pt>
                    </c:numCache>
                  </c:numRef>
                </c:val>
                <c:smooth val="0"/>
                <c:extLst xmlns:c15="http://schemas.microsoft.com/office/drawing/2012/chart">
                  <c:ext xmlns:c16="http://schemas.microsoft.com/office/drawing/2014/chart" uri="{C3380CC4-5D6E-409C-BE32-E72D297353CC}">
                    <c16:uniqueId val="{0000002D-783C-4805-A8A1-4448E34F5A3E}"/>
                  </c:ext>
                </c:extLst>
              </c15:ser>
            </c15:filteredLineSeries>
            <c15:filteredLineSeries>
              <c15:ser>
                <c:idx val="44"/>
                <c:order val="44"/>
                <c:tx>
                  <c:strRef>
                    <c:extLst xmlns:c15="http://schemas.microsoft.com/office/drawing/2012/chart">
                      <c:ext xmlns:c15="http://schemas.microsoft.com/office/drawing/2012/chart" uri="{02D57815-91ED-43cb-92C2-25804820EDAC}">
                        <c15:formulaRef>
                          <c15:sqref>'Data LM'!$A$43</c15:sqref>
                        </c15:formulaRef>
                      </c:ext>
                    </c:extLst>
                    <c:strCache>
                      <c:ptCount val="1"/>
                      <c:pt idx="0">
                        <c:v>Unemployment with advanced education, male (% of male labor force with advanced education)</c:v>
                      </c:pt>
                    </c:strCache>
                  </c:strRef>
                </c:tx>
                <c:spPr>
                  <a:ln w="28575" cap="rnd">
                    <a:solidFill>
                      <a:schemeClr val="accent3">
                        <a:lumMod val="70000"/>
                      </a:schemeClr>
                    </a:solidFill>
                    <a:round/>
                  </a:ln>
                  <a:effectLst/>
                </c:spPr>
                <c:marker>
                  <c:symbol val="circle"/>
                  <c:size val="5"/>
                  <c:spPr>
                    <a:solidFill>
                      <a:schemeClr val="accent3">
                        <a:lumMod val="70000"/>
                      </a:schemeClr>
                    </a:solidFill>
                    <a:ln w="9525">
                      <a:solidFill>
                        <a:schemeClr val="accent3">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LM'!$C$43:$V$43</c15:sqref>
                        </c15:formulaRef>
                      </c:ext>
                    </c:extLst>
                    <c:numCache>
                      <c:formatCode>0.0</c:formatCode>
                      <c:ptCount val="20"/>
                      <c:pt idx="0">
                        <c:v>0</c:v>
                      </c:pt>
                      <c:pt idx="1">
                        <c:v>0</c:v>
                      </c:pt>
                      <c:pt idx="2">
                        <c:v>0</c:v>
                      </c:pt>
                      <c:pt idx="3">
                        <c:v>0</c:v>
                      </c:pt>
                      <c:pt idx="4">
                        <c:v>0</c:v>
                      </c:pt>
                      <c:pt idx="5">
                        <c:v>7.3099999427795401</c:v>
                      </c:pt>
                      <c:pt idx="6">
                        <c:v>7.3099999427795401</c:v>
                      </c:pt>
                      <c:pt idx="7">
                        <c:v>0</c:v>
                      </c:pt>
                      <c:pt idx="8">
                        <c:v>0</c:v>
                      </c:pt>
                      <c:pt idx="9">
                        <c:v>0</c:v>
                      </c:pt>
                      <c:pt idx="10">
                        <c:v>0</c:v>
                      </c:pt>
                      <c:pt idx="11">
                        <c:v>0</c:v>
                      </c:pt>
                      <c:pt idx="12">
                        <c:v>0</c:v>
                      </c:pt>
                      <c:pt idx="13">
                        <c:v>0</c:v>
                      </c:pt>
                      <c:pt idx="14">
                        <c:v>0</c:v>
                      </c:pt>
                      <c:pt idx="15">
                        <c:v>0</c:v>
                      </c:pt>
                      <c:pt idx="16">
                        <c:v>6.3499999046325701</c:v>
                      </c:pt>
                      <c:pt idx="17">
                        <c:v>0</c:v>
                      </c:pt>
                      <c:pt idx="18">
                        <c:v>0</c:v>
                      </c:pt>
                      <c:pt idx="19">
                        <c:v>11.0900001525879</c:v>
                      </c:pt>
                    </c:numCache>
                  </c:numRef>
                </c:val>
                <c:smooth val="0"/>
                <c:extLst xmlns:c15="http://schemas.microsoft.com/office/drawing/2012/chart">
                  <c:ext xmlns:c16="http://schemas.microsoft.com/office/drawing/2014/chart" uri="{C3380CC4-5D6E-409C-BE32-E72D297353CC}">
                    <c16:uniqueId val="{0000002E-783C-4805-A8A1-4448E34F5A3E}"/>
                  </c:ext>
                </c:extLst>
              </c15:ser>
            </c15:filteredLineSeries>
            <c15:filteredLineSeries>
              <c15:ser>
                <c:idx val="45"/>
                <c:order val="45"/>
                <c:tx>
                  <c:strRef>
                    <c:extLst xmlns:c15="http://schemas.microsoft.com/office/drawing/2012/chart">
                      <c:ext xmlns:c15="http://schemas.microsoft.com/office/drawing/2012/chart" uri="{02D57815-91ED-43cb-92C2-25804820EDAC}">
                        <c15:formulaRef>
                          <c15:sqref>'Data LM'!$A$44</c15:sqref>
                        </c15:formulaRef>
                      </c:ext>
                    </c:extLst>
                    <c:strCache>
                      <c:ptCount val="1"/>
                      <c:pt idx="0">
                        <c:v>Unemployment with basic education (% of total labor force with basic education)</c:v>
                      </c:pt>
                    </c:strCache>
                  </c:strRef>
                </c:tx>
                <c:spPr>
                  <a:ln w="28575" cap="rnd">
                    <a:solidFill>
                      <a:schemeClr val="accent4">
                        <a:lumMod val="70000"/>
                      </a:schemeClr>
                    </a:solidFill>
                    <a:round/>
                  </a:ln>
                  <a:effectLst/>
                </c:spPr>
                <c:marker>
                  <c:symbol val="circle"/>
                  <c:size val="5"/>
                  <c:spPr>
                    <a:solidFill>
                      <a:schemeClr val="accent4">
                        <a:lumMod val="70000"/>
                      </a:schemeClr>
                    </a:solidFill>
                    <a:ln w="9525">
                      <a:solidFill>
                        <a:schemeClr val="accent4">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LM'!$C$44:$V$44</c15:sqref>
                        </c15:formulaRef>
                      </c:ext>
                    </c:extLst>
                    <c:numCache>
                      <c:formatCode>0.0</c:formatCode>
                      <c:ptCount val="20"/>
                      <c:pt idx="0">
                        <c:v>0</c:v>
                      </c:pt>
                      <c:pt idx="1">
                        <c:v>0</c:v>
                      </c:pt>
                      <c:pt idx="2">
                        <c:v>0</c:v>
                      </c:pt>
                      <c:pt idx="3">
                        <c:v>0</c:v>
                      </c:pt>
                      <c:pt idx="4">
                        <c:v>0</c:v>
                      </c:pt>
                      <c:pt idx="5">
                        <c:v>9.3100004196166992</c:v>
                      </c:pt>
                      <c:pt idx="6">
                        <c:v>9.3100004196166992</c:v>
                      </c:pt>
                      <c:pt idx="7">
                        <c:v>0</c:v>
                      </c:pt>
                      <c:pt idx="8">
                        <c:v>0</c:v>
                      </c:pt>
                      <c:pt idx="9">
                        <c:v>0</c:v>
                      </c:pt>
                      <c:pt idx="10">
                        <c:v>0</c:v>
                      </c:pt>
                      <c:pt idx="11">
                        <c:v>0</c:v>
                      </c:pt>
                      <c:pt idx="12">
                        <c:v>0</c:v>
                      </c:pt>
                      <c:pt idx="13">
                        <c:v>0</c:v>
                      </c:pt>
                      <c:pt idx="14">
                        <c:v>0</c:v>
                      </c:pt>
                      <c:pt idx="15">
                        <c:v>0</c:v>
                      </c:pt>
                      <c:pt idx="16">
                        <c:v>1.5900000333786</c:v>
                      </c:pt>
                      <c:pt idx="17">
                        <c:v>0</c:v>
                      </c:pt>
                      <c:pt idx="18">
                        <c:v>0</c:v>
                      </c:pt>
                      <c:pt idx="19">
                        <c:v>4.1399998664856001</c:v>
                      </c:pt>
                    </c:numCache>
                  </c:numRef>
                </c:val>
                <c:smooth val="0"/>
                <c:extLst xmlns:c15="http://schemas.microsoft.com/office/drawing/2012/chart">
                  <c:ext xmlns:c16="http://schemas.microsoft.com/office/drawing/2014/chart" uri="{C3380CC4-5D6E-409C-BE32-E72D297353CC}">
                    <c16:uniqueId val="{0000002F-783C-4805-A8A1-4448E34F5A3E}"/>
                  </c:ext>
                </c:extLst>
              </c15:ser>
            </c15:filteredLineSeries>
            <c15:filteredLineSeries>
              <c15:ser>
                <c:idx val="46"/>
                <c:order val="46"/>
                <c:tx>
                  <c:strRef>
                    <c:extLst xmlns:c15="http://schemas.microsoft.com/office/drawing/2012/chart">
                      <c:ext xmlns:c15="http://schemas.microsoft.com/office/drawing/2012/chart" uri="{02D57815-91ED-43cb-92C2-25804820EDAC}">
                        <c15:formulaRef>
                          <c15:sqref>'Data LM'!$A$45</c15:sqref>
                        </c15:formulaRef>
                      </c:ext>
                    </c:extLst>
                    <c:strCache>
                      <c:ptCount val="1"/>
                      <c:pt idx="0">
                        <c:v>Unemployment with basic education, female (% of female labor force with basic education)</c:v>
                      </c:pt>
                    </c:strCache>
                  </c:strRef>
                </c:tx>
                <c:spPr>
                  <a:ln w="28575" cap="rnd">
                    <a:solidFill>
                      <a:schemeClr val="accent5">
                        <a:lumMod val="70000"/>
                      </a:schemeClr>
                    </a:solidFill>
                    <a:round/>
                  </a:ln>
                  <a:effectLst/>
                </c:spPr>
                <c:marker>
                  <c:symbol val="circle"/>
                  <c:size val="5"/>
                  <c:spPr>
                    <a:solidFill>
                      <a:schemeClr val="accent5">
                        <a:lumMod val="70000"/>
                      </a:schemeClr>
                    </a:solidFill>
                    <a:ln w="9525">
                      <a:solidFill>
                        <a:schemeClr val="accent5">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LM'!$C$45:$V$45</c15:sqref>
                        </c15:formulaRef>
                      </c:ext>
                    </c:extLst>
                    <c:numCache>
                      <c:formatCode>0.0</c:formatCode>
                      <c:ptCount val="20"/>
                      <c:pt idx="0">
                        <c:v>0</c:v>
                      </c:pt>
                      <c:pt idx="1">
                        <c:v>0</c:v>
                      </c:pt>
                      <c:pt idx="2">
                        <c:v>0</c:v>
                      </c:pt>
                      <c:pt idx="3">
                        <c:v>0</c:v>
                      </c:pt>
                      <c:pt idx="4">
                        <c:v>0</c:v>
                      </c:pt>
                      <c:pt idx="5">
                        <c:v>9.0799999237060494</c:v>
                      </c:pt>
                      <c:pt idx="6">
                        <c:v>9.0799999237060494</c:v>
                      </c:pt>
                      <c:pt idx="7">
                        <c:v>0</c:v>
                      </c:pt>
                      <c:pt idx="8">
                        <c:v>0</c:v>
                      </c:pt>
                      <c:pt idx="9">
                        <c:v>0</c:v>
                      </c:pt>
                      <c:pt idx="10">
                        <c:v>0</c:v>
                      </c:pt>
                      <c:pt idx="11">
                        <c:v>0</c:v>
                      </c:pt>
                      <c:pt idx="12">
                        <c:v>0</c:v>
                      </c:pt>
                      <c:pt idx="13">
                        <c:v>0</c:v>
                      </c:pt>
                      <c:pt idx="14">
                        <c:v>0</c:v>
                      </c:pt>
                      <c:pt idx="15">
                        <c:v>0</c:v>
                      </c:pt>
                      <c:pt idx="16">
                        <c:v>1.7799999713897701</c:v>
                      </c:pt>
                      <c:pt idx="17">
                        <c:v>0</c:v>
                      </c:pt>
                      <c:pt idx="18">
                        <c:v>0</c:v>
                      </c:pt>
                      <c:pt idx="19">
                        <c:v>4.2300000190734899</c:v>
                      </c:pt>
                    </c:numCache>
                  </c:numRef>
                </c:val>
                <c:smooth val="0"/>
                <c:extLst xmlns:c15="http://schemas.microsoft.com/office/drawing/2012/chart">
                  <c:ext xmlns:c16="http://schemas.microsoft.com/office/drawing/2014/chart" uri="{C3380CC4-5D6E-409C-BE32-E72D297353CC}">
                    <c16:uniqueId val="{00000030-783C-4805-A8A1-4448E34F5A3E}"/>
                  </c:ext>
                </c:extLst>
              </c15:ser>
            </c15:filteredLineSeries>
            <c15:filteredLineSeries>
              <c15:ser>
                <c:idx val="47"/>
                <c:order val="47"/>
                <c:tx>
                  <c:strRef>
                    <c:extLst xmlns:c15="http://schemas.microsoft.com/office/drawing/2012/chart">
                      <c:ext xmlns:c15="http://schemas.microsoft.com/office/drawing/2012/chart" uri="{02D57815-91ED-43cb-92C2-25804820EDAC}">
                        <c15:formulaRef>
                          <c15:sqref>'Data LM'!$A$46</c15:sqref>
                        </c15:formulaRef>
                      </c:ext>
                    </c:extLst>
                    <c:strCache>
                      <c:ptCount val="1"/>
                      <c:pt idx="0">
                        <c:v>Unemployment with basic education, male (% of male labor force with basic education)</c:v>
                      </c:pt>
                    </c:strCache>
                  </c:strRef>
                </c:tx>
                <c:spPr>
                  <a:ln w="28575" cap="rnd">
                    <a:solidFill>
                      <a:schemeClr val="accent6">
                        <a:lumMod val="70000"/>
                      </a:schemeClr>
                    </a:solidFill>
                    <a:round/>
                  </a:ln>
                  <a:effectLst/>
                </c:spPr>
                <c:marker>
                  <c:symbol val="circle"/>
                  <c:size val="5"/>
                  <c:spPr>
                    <a:solidFill>
                      <a:schemeClr val="accent6">
                        <a:lumMod val="70000"/>
                      </a:schemeClr>
                    </a:solidFill>
                    <a:ln w="9525">
                      <a:solidFill>
                        <a:schemeClr val="accent6">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LM'!$C$46:$V$46</c15:sqref>
                        </c15:formulaRef>
                      </c:ext>
                    </c:extLst>
                    <c:numCache>
                      <c:formatCode>0.0</c:formatCode>
                      <c:ptCount val="20"/>
                      <c:pt idx="0">
                        <c:v>0</c:v>
                      </c:pt>
                      <c:pt idx="1">
                        <c:v>0</c:v>
                      </c:pt>
                      <c:pt idx="2">
                        <c:v>0</c:v>
                      </c:pt>
                      <c:pt idx="3">
                        <c:v>0</c:v>
                      </c:pt>
                      <c:pt idx="4">
                        <c:v>0</c:v>
                      </c:pt>
                      <c:pt idx="5">
                        <c:v>9.5</c:v>
                      </c:pt>
                      <c:pt idx="6">
                        <c:v>9.5</c:v>
                      </c:pt>
                      <c:pt idx="7">
                        <c:v>0</c:v>
                      </c:pt>
                      <c:pt idx="8">
                        <c:v>0</c:v>
                      </c:pt>
                      <c:pt idx="9">
                        <c:v>0</c:v>
                      </c:pt>
                      <c:pt idx="10">
                        <c:v>0</c:v>
                      </c:pt>
                      <c:pt idx="11">
                        <c:v>0</c:v>
                      </c:pt>
                      <c:pt idx="12">
                        <c:v>0</c:v>
                      </c:pt>
                      <c:pt idx="13">
                        <c:v>0</c:v>
                      </c:pt>
                      <c:pt idx="14">
                        <c:v>0</c:v>
                      </c:pt>
                      <c:pt idx="15">
                        <c:v>0</c:v>
                      </c:pt>
                      <c:pt idx="16">
                        <c:v>1.3999999761581401</c:v>
                      </c:pt>
                      <c:pt idx="17">
                        <c:v>0</c:v>
                      </c:pt>
                      <c:pt idx="18">
                        <c:v>0</c:v>
                      </c:pt>
                      <c:pt idx="19">
                        <c:v>4.0599999427795401</c:v>
                      </c:pt>
                    </c:numCache>
                  </c:numRef>
                </c:val>
                <c:smooth val="0"/>
                <c:extLst xmlns:c15="http://schemas.microsoft.com/office/drawing/2012/chart">
                  <c:ext xmlns:c16="http://schemas.microsoft.com/office/drawing/2014/chart" uri="{C3380CC4-5D6E-409C-BE32-E72D297353CC}">
                    <c16:uniqueId val="{00000031-783C-4805-A8A1-4448E34F5A3E}"/>
                  </c:ext>
                </c:extLst>
              </c15:ser>
            </c15:filteredLineSeries>
            <c15:filteredLineSeries>
              <c15:ser>
                <c:idx val="48"/>
                <c:order val="48"/>
                <c:tx>
                  <c:strRef>
                    <c:extLst xmlns:c15="http://schemas.microsoft.com/office/drawing/2012/chart">
                      <c:ext xmlns:c15="http://schemas.microsoft.com/office/drawing/2012/chart" uri="{02D57815-91ED-43cb-92C2-25804820EDAC}">
                        <c15:formulaRef>
                          <c15:sqref>'Data LM'!$A$47</c15:sqref>
                        </c15:formulaRef>
                      </c:ext>
                    </c:extLst>
                    <c:strCache>
                      <c:ptCount val="1"/>
                      <c:pt idx="0">
                        <c:v>Unemployment with intermediate education (% of total labor force with intermediate education)</c:v>
                      </c:pt>
                    </c:strCache>
                  </c:strRef>
                </c:tx>
                <c:spPr>
                  <a:ln w="28575" cap="rnd">
                    <a:solidFill>
                      <a:schemeClr val="accent1">
                        <a:lumMod val="50000"/>
                        <a:lumOff val="50000"/>
                      </a:schemeClr>
                    </a:solid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LM'!$C$47:$V$47</c15:sqref>
                        </c15:formulaRef>
                      </c:ext>
                    </c:extLst>
                    <c:numCache>
                      <c:formatCode>0.0</c:formatCode>
                      <c:ptCount val="20"/>
                      <c:pt idx="0">
                        <c:v>0</c:v>
                      </c:pt>
                      <c:pt idx="1">
                        <c:v>0</c:v>
                      </c:pt>
                      <c:pt idx="2">
                        <c:v>0</c:v>
                      </c:pt>
                      <c:pt idx="3">
                        <c:v>0</c:v>
                      </c:pt>
                      <c:pt idx="4">
                        <c:v>0</c:v>
                      </c:pt>
                      <c:pt idx="5">
                        <c:v>12.3400001525879</c:v>
                      </c:pt>
                      <c:pt idx="6">
                        <c:v>12.3400001525879</c:v>
                      </c:pt>
                      <c:pt idx="7">
                        <c:v>0</c:v>
                      </c:pt>
                      <c:pt idx="8">
                        <c:v>0</c:v>
                      </c:pt>
                      <c:pt idx="9">
                        <c:v>0</c:v>
                      </c:pt>
                      <c:pt idx="10">
                        <c:v>0</c:v>
                      </c:pt>
                      <c:pt idx="11">
                        <c:v>0</c:v>
                      </c:pt>
                      <c:pt idx="12">
                        <c:v>0</c:v>
                      </c:pt>
                      <c:pt idx="13">
                        <c:v>0</c:v>
                      </c:pt>
                      <c:pt idx="14">
                        <c:v>0</c:v>
                      </c:pt>
                      <c:pt idx="15">
                        <c:v>0</c:v>
                      </c:pt>
                      <c:pt idx="16">
                        <c:v>4.1700000762939498</c:v>
                      </c:pt>
                      <c:pt idx="17">
                        <c:v>0</c:v>
                      </c:pt>
                      <c:pt idx="18">
                        <c:v>0</c:v>
                      </c:pt>
                      <c:pt idx="19">
                        <c:v>8.1400003433227504</c:v>
                      </c:pt>
                    </c:numCache>
                  </c:numRef>
                </c:val>
                <c:smooth val="0"/>
                <c:extLst xmlns:c15="http://schemas.microsoft.com/office/drawing/2012/chart">
                  <c:ext xmlns:c16="http://schemas.microsoft.com/office/drawing/2014/chart" uri="{C3380CC4-5D6E-409C-BE32-E72D297353CC}">
                    <c16:uniqueId val="{00000032-783C-4805-A8A1-4448E34F5A3E}"/>
                  </c:ext>
                </c:extLst>
              </c15:ser>
            </c15:filteredLineSeries>
            <c15:filteredLineSeries>
              <c15:ser>
                <c:idx val="49"/>
                <c:order val="49"/>
                <c:tx>
                  <c:strRef>
                    <c:extLst xmlns:c15="http://schemas.microsoft.com/office/drawing/2012/chart">
                      <c:ext xmlns:c15="http://schemas.microsoft.com/office/drawing/2012/chart" uri="{02D57815-91ED-43cb-92C2-25804820EDAC}">
                        <c15:formulaRef>
                          <c15:sqref>'Data LM'!$A$48</c15:sqref>
                        </c15:formulaRef>
                      </c:ext>
                    </c:extLst>
                    <c:strCache>
                      <c:ptCount val="1"/>
                      <c:pt idx="0">
                        <c:v>Unemployment with intermediate education, female (% of female labor force with intermediate education)</c:v>
                      </c:pt>
                    </c:strCache>
                  </c:strRef>
                </c:tx>
                <c:spPr>
                  <a:ln w="28575" cap="rnd">
                    <a:solidFill>
                      <a:schemeClr val="accent2">
                        <a:lumMod val="50000"/>
                        <a:lumOff val="50000"/>
                      </a:schemeClr>
                    </a:solidFill>
                    <a:round/>
                  </a:ln>
                  <a:effectLst/>
                </c:spPr>
                <c:marker>
                  <c:symbol val="circle"/>
                  <c:size val="5"/>
                  <c:spPr>
                    <a:solidFill>
                      <a:schemeClr val="accent2">
                        <a:lumMod val="50000"/>
                        <a:lumOff val="50000"/>
                      </a:schemeClr>
                    </a:solidFill>
                    <a:ln w="9525">
                      <a:solidFill>
                        <a:schemeClr val="accent2">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LM'!$C$48:$V$48</c15:sqref>
                        </c15:formulaRef>
                      </c:ext>
                    </c:extLst>
                    <c:numCache>
                      <c:formatCode>0.0</c:formatCode>
                      <c:ptCount val="20"/>
                      <c:pt idx="0">
                        <c:v>0</c:v>
                      </c:pt>
                      <c:pt idx="1">
                        <c:v>0</c:v>
                      </c:pt>
                      <c:pt idx="2">
                        <c:v>0</c:v>
                      </c:pt>
                      <c:pt idx="3">
                        <c:v>0</c:v>
                      </c:pt>
                      <c:pt idx="4">
                        <c:v>0</c:v>
                      </c:pt>
                      <c:pt idx="5">
                        <c:v>16.340000152587901</c:v>
                      </c:pt>
                      <c:pt idx="6">
                        <c:v>16.340000152587901</c:v>
                      </c:pt>
                      <c:pt idx="7">
                        <c:v>0</c:v>
                      </c:pt>
                      <c:pt idx="8">
                        <c:v>0</c:v>
                      </c:pt>
                      <c:pt idx="9">
                        <c:v>0</c:v>
                      </c:pt>
                      <c:pt idx="10">
                        <c:v>0</c:v>
                      </c:pt>
                      <c:pt idx="11">
                        <c:v>0</c:v>
                      </c:pt>
                      <c:pt idx="12">
                        <c:v>0</c:v>
                      </c:pt>
                      <c:pt idx="13">
                        <c:v>0</c:v>
                      </c:pt>
                      <c:pt idx="14">
                        <c:v>0</c:v>
                      </c:pt>
                      <c:pt idx="15">
                        <c:v>0</c:v>
                      </c:pt>
                      <c:pt idx="16">
                        <c:v>4.8099999427795401</c:v>
                      </c:pt>
                      <c:pt idx="17">
                        <c:v>0</c:v>
                      </c:pt>
                      <c:pt idx="18">
                        <c:v>0</c:v>
                      </c:pt>
                      <c:pt idx="19">
                        <c:v>10.680000305175801</c:v>
                      </c:pt>
                    </c:numCache>
                  </c:numRef>
                </c:val>
                <c:smooth val="0"/>
                <c:extLst xmlns:c15="http://schemas.microsoft.com/office/drawing/2012/chart">
                  <c:ext xmlns:c16="http://schemas.microsoft.com/office/drawing/2014/chart" uri="{C3380CC4-5D6E-409C-BE32-E72D297353CC}">
                    <c16:uniqueId val="{00000033-783C-4805-A8A1-4448E34F5A3E}"/>
                  </c:ext>
                </c:extLst>
              </c15:ser>
            </c15:filteredLineSeries>
            <c15:filteredLineSeries>
              <c15:ser>
                <c:idx val="50"/>
                <c:order val="50"/>
                <c:tx>
                  <c:strRef>
                    <c:extLst xmlns:c15="http://schemas.microsoft.com/office/drawing/2012/chart">
                      <c:ext xmlns:c15="http://schemas.microsoft.com/office/drawing/2012/chart" uri="{02D57815-91ED-43cb-92C2-25804820EDAC}">
                        <c15:formulaRef>
                          <c15:sqref>'Data LM'!$A$49</c15:sqref>
                        </c15:formulaRef>
                      </c:ext>
                    </c:extLst>
                    <c:strCache>
                      <c:ptCount val="1"/>
                      <c:pt idx="0">
                        <c:v>Unemployment with intermediate education, male (% of male labor force with intermediate education)</c:v>
                      </c:pt>
                    </c:strCache>
                  </c:strRef>
                </c:tx>
                <c:spPr>
                  <a:ln w="28575" cap="rnd">
                    <a:solidFill>
                      <a:schemeClr val="accent3">
                        <a:lumMod val="50000"/>
                        <a:lumOff val="50000"/>
                      </a:schemeClr>
                    </a:solidFill>
                    <a:round/>
                  </a:ln>
                  <a:effectLst/>
                </c:spPr>
                <c:marker>
                  <c:symbol val="circle"/>
                  <c:size val="5"/>
                  <c:spPr>
                    <a:solidFill>
                      <a:schemeClr val="accent3">
                        <a:lumMod val="50000"/>
                        <a:lumOff val="50000"/>
                      </a:schemeClr>
                    </a:solidFill>
                    <a:ln w="9525">
                      <a:solidFill>
                        <a:schemeClr val="accent3">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LM'!$C$49:$V$49</c15:sqref>
                        </c15:formulaRef>
                      </c:ext>
                    </c:extLst>
                    <c:numCache>
                      <c:formatCode>0.0</c:formatCode>
                      <c:ptCount val="20"/>
                      <c:pt idx="0">
                        <c:v>0</c:v>
                      </c:pt>
                      <c:pt idx="1">
                        <c:v>0</c:v>
                      </c:pt>
                      <c:pt idx="2">
                        <c:v>0</c:v>
                      </c:pt>
                      <c:pt idx="3">
                        <c:v>0</c:v>
                      </c:pt>
                      <c:pt idx="4">
                        <c:v>0</c:v>
                      </c:pt>
                      <c:pt idx="5">
                        <c:v>9.7399997711181605</c:v>
                      </c:pt>
                      <c:pt idx="6">
                        <c:v>9.7399997711181605</c:v>
                      </c:pt>
                      <c:pt idx="7">
                        <c:v>0</c:v>
                      </c:pt>
                      <c:pt idx="8">
                        <c:v>0</c:v>
                      </c:pt>
                      <c:pt idx="9">
                        <c:v>0</c:v>
                      </c:pt>
                      <c:pt idx="10">
                        <c:v>0</c:v>
                      </c:pt>
                      <c:pt idx="11">
                        <c:v>0</c:v>
                      </c:pt>
                      <c:pt idx="12">
                        <c:v>0</c:v>
                      </c:pt>
                      <c:pt idx="13">
                        <c:v>0</c:v>
                      </c:pt>
                      <c:pt idx="14">
                        <c:v>0</c:v>
                      </c:pt>
                      <c:pt idx="15">
                        <c:v>0</c:v>
                      </c:pt>
                      <c:pt idx="16">
                        <c:v>3.6500000953674299</c:v>
                      </c:pt>
                      <c:pt idx="17">
                        <c:v>0</c:v>
                      </c:pt>
                      <c:pt idx="18">
                        <c:v>0</c:v>
                      </c:pt>
                      <c:pt idx="19">
                        <c:v>6.5700001716613796</c:v>
                      </c:pt>
                    </c:numCache>
                  </c:numRef>
                </c:val>
                <c:smooth val="0"/>
                <c:extLst xmlns:c15="http://schemas.microsoft.com/office/drawing/2012/chart">
                  <c:ext xmlns:c16="http://schemas.microsoft.com/office/drawing/2014/chart" uri="{C3380CC4-5D6E-409C-BE32-E72D297353CC}">
                    <c16:uniqueId val="{00000034-783C-4805-A8A1-4448E34F5A3E}"/>
                  </c:ext>
                </c:extLst>
              </c15:ser>
            </c15:filteredLineSeries>
            <c15:filteredLineSeries>
              <c15:ser>
                <c:idx val="51"/>
                <c:order val="51"/>
                <c:tx>
                  <c:strRef>
                    <c:extLst xmlns:c15="http://schemas.microsoft.com/office/drawing/2012/chart">
                      <c:ext xmlns:c15="http://schemas.microsoft.com/office/drawing/2012/chart" uri="{02D57815-91ED-43cb-92C2-25804820EDAC}">
                        <c15:formulaRef>
                          <c15:sqref>'Data LM'!$A$50</c15:sqref>
                        </c15:formulaRef>
                      </c:ext>
                    </c:extLst>
                    <c:strCache>
                      <c:ptCount val="1"/>
                      <c:pt idx="0">
                        <c:v>Unemployment, female (% of female labor force) (modeled ILO estimate)</c:v>
                      </c:pt>
                    </c:strCache>
                  </c:strRef>
                </c:tx>
                <c:spPr>
                  <a:ln w="28575" cap="rnd">
                    <a:solidFill>
                      <a:schemeClr val="accent4">
                        <a:lumMod val="50000"/>
                        <a:lumOff val="50000"/>
                      </a:schemeClr>
                    </a:solidFill>
                    <a:round/>
                  </a:ln>
                  <a:effectLst/>
                </c:spPr>
                <c:marker>
                  <c:symbol val="circle"/>
                  <c:size val="5"/>
                  <c:spPr>
                    <a:solidFill>
                      <a:schemeClr val="accent4">
                        <a:lumMod val="50000"/>
                        <a:lumOff val="50000"/>
                      </a:schemeClr>
                    </a:solidFill>
                    <a:ln w="9525">
                      <a:solidFill>
                        <a:schemeClr val="accent4">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LM'!$C$50:$V$50</c15:sqref>
                        </c15:formulaRef>
                      </c:ext>
                    </c:extLst>
                    <c:numCache>
                      <c:formatCode>0.0</c:formatCode>
                      <c:ptCount val="20"/>
                      <c:pt idx="0">
                        <c:v>3.2809998989105198</c:v>
                      </c:pt>
                      <c:pt idx="1">
                        <c:v>3.2439999580383301</c:v>
                      </c:pt>
                      <c:pt idx="2">
                        <c:v>3.2469999790191699</c:v>
                      </c:pt>
                      <c:pt idx="3">
                        <c:v>3.2149999141693102</c:v>
                      </c:pt>
                      <c:pt idx="4">
                        <c:v>3.1849999427795401</c:v>
                      </c:pt>
                      <c:pt idx="5">
                        <c:v>3.1619999408721902</c:v>
                      </c:pt>
                      <c:pt idx="6">
                        <c:v>3.1400001049041699</c:v>
                      </c:pt>
                      <c:pt idx="7">
                        <c:v>3.1199998855590798</c:v>
                      </c:pt>
                      <c:pt idx="8">
                        <c:v>3.1400001049041699</c:v>
                      </c:pt>
                      <c:pt idx="9">
                        <c:v>3.1029999256134002</c:v>
                      </c:pt>
                      <c:pt idx="10">
                        <c:v>3.05299997329712</c:v>
                      </c:pt>
                      <c:pt idx="11">
                        <c:v>3.0469999313354501</c:v>
                      </c:pt>
                      <c:pt idx="12">
                        <c:v>3.03600001335144</c:v>
                      </c:pt>
                      <c:pt idx="13">
                        <c:v>3.0079998970031698</c:v>
                      </c:pt>
                      <c:pt idx="14">
                        <c:v>2.9900000095367401</c:v>
                      </c:pt>
                      <c:pt idx="15">
                        <c:v>2.9670000076293901</c:v>
                      </c:pt>
                      <c:pt idx="16">
                        <c:v>2.9449999332428001</c:v>
                      </c:pt>
                      <c:pt idx="17">
                        <c:v>3.7170000076293901</c:v>
                      </c:pt>
                      <c:pt idx="18">
                        <c:v>4.47300004959106</c:v>
                      </c:pt>
                      <c:pt idx="19">
                        <c:v>5.2519998550415004</c:v>
                      </c:pt>
                    </c:numCache>
                  </c:numRef>
                </c:val>
                <c:smooth val="0"/>
                <c:extLst xmlns:c15="http://schemas.microsoft.com/office/drawing/2012/chart">
                  <c:ext xmlns:c16="http://schemas.microsoft.com/office/drawing/2014/chart" uri="{C3380CC4-5D6E-409C-BE32-E72D297353CC}">
                    <c16:uniqueId val="{00000035-783C-4805-A8A1-4448E34F5A3E}"/>
                  </c:ext>
                </c:extLst>
              </c15:ser>
            </c15:filteredLineSeries>
            <c15:filteredLineSeries>
              <c15:ser>
                <c:idx val="52"/>
                <c:order val="52"/>
                <c:tx>
                  <c:strRef>
                    <c:extLst xmlns:c15="http://schemas.microsoft.com/office/drawing/2012/chart">
                      <c:ext xmlns:c15="http://schemas.microsoft.com/office/drawing/2012/chart" uri="{02D57815-91ED-43cb-92C2-25804820EDAC}">
                        <c15:formulaRef>
                          <c15:sqref>'Data LM'!$A$51</c15:sqref>
                        </c15:formulaRef>
                      </c:ext>
                    </c:extLst>
                    <c:strCache>
                      <c:ptCount val="1"/>
                      <c:pt idx="0">
                        <c:v>Unemployment, female (% of female labor force) (national estimate)</c:v>
                      </c:pt>
                    </c:strCache>
                  </c:strRef>
                </c:tx>
                <c:spPr>
                  <a:ln w="28575" cap="rnd">
                    <a:solidFill>
                      <a:schemeClr val="accent5">
                        <a:lumMod val="50000"/>
                        <a:lumOff val="50000"/>
                      </a:schemeClr>
                    </a:solidFill>
                    <a:round/>
                  </a:ln>
                  <a:effectLst/>
                </c:spPr>
                <c:marker>
                  <c:symbol val="circle"/>
                  <c:size val="5"/>
                  <c:spPr>
                    <a:solidFill>
                      <a:schemeClr val="accent5">
                        <a:lumMod val="50000"/>
                        <a:lumOff val="50000"/>
                      </a:schemeClr>
                    </a:solidFill>
                    <a:ln w="9525">
                      <a:solidFill>
                        <a:schemeClr val="accent5">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LM'!$C$51:$V$51</c15:sqref>
                        </c15:formulaRef>
                      </c:ext>
                    </c:extLst>
                    <c:numCache>
                      <c:formatCode>0.0</c:formatCode>
                      <c:ptCount val="20"/>
                      <c:pt idx="0">
                        <c:v>0</c:v>
                      </c:pt>
                      <c:pt idx="1">
                        <c:v>0</c:v>
                      </c:pt>
                      <c:pt idx="2">
                        <c:v>0</c:v>
                      </c:pt>
                      <c:pt idx="3">
                        <c:v>0</c:v>
                      </c:pt>
                      <c:pt idx="4">
                        <c:v>0</c:v>
                      </c:pt>
                      <c:pt idx="5">
                        <c:v>10.1300001144409</c:v>
                      </c:pt>
                      <c:pt idx="6">
                        <c:v>10.1300001144409</c:v>
                      </c:pt>
                      <c:pt idx="7">
                        <c:v>0</c:v>
                      </c:pt>
                      <c:pt idx="8">
                        <c:v>0</c:v>
                      </c:pt>
                      <c:pt idx="9">
                        <c:v>9.3999996185302699</c:v>
                      </c:pt>
                      <c:pt idx="10">
                        <c:v>0</c:v>
                      </c:pt>
                      <c:pt idx="11">
                        <c:v>0</c:v>
                      </c:pt>
                      <c:pt idx="12">
                        <c:v>0</c:v>
                      </c:pt>
                      <c:pt idx="13">
                        <c:v>0</c:v>
                      </c:pt>
                      <c:pt idx="14">
                        <c:v>0</c:v>
                      </c:pt>
                      <c:pt idx="15">
                        <c:v>0</c:v>
                      </c:pt>
                      <c:pt idx="16">
                        <c:v>2.9400000572204599</c:v>
                      </c:pt>
                      <c:pt idx="17">
                        <c:v>0</c:v>
                      </c:pt>
                      <c:pt idx="18">
                        <c:v>0</c:v>
                      </c:pt>
                      <c:pt idx="19">
                        <c:v>5.2600002288818404</c:v>
                      </c:pt>
                    </c:numCache>
                  </c:numRef>
                </c:val>
                <c:smooth val="0"/>
                <c:extLst xmlns:c15="http://schemas.microsoft.com/office/drawing/2012/chart">
                  <c:ext xmlns:c16="http://schemas.microsoft.com/office/drawing/2014/chart" uri="{C3380CC4-5D6E-409C-BE32-E72D297353CC}">
                    <c16:uniqueId val="{00000036-783C-4805-A8A1-4448E34F5A3E}"/>
                  </c:ext>
                </c:extLst>
              </c15:ser>
            </c15:filteredLineSeries>
            <c15:filteredLineSeries>
              <c15:ser>
                <c:idx val="53"/>
                <c:order val="53"/>
                <c:tx>
                  <c:strRef>
                    <c:extLst xmlns:c15="http://schemas.microsoft.com/office/drawing/2012/chart">
                      <c:ext xmlns:c15="http://schemas.microsoft.com/office/drawing/2012/chart" uri="{02D57815-91ED-43cb-92C2-25804820EDAC}">
                        <c15:formulaRef>
                          <c15:sqref>'Data LM'!$A$52</c15:sqref>
                        </c15:formulaRef>
                      </c:ext>
                    </c:extLst>
                    <c:strCache>
                      <c:ptCount val="1"/>
                      <c:pt idx="0">
                        <c:v>Unemployment, male (% of male labor force) (modeled ILO estimate)</c:v>
                      </c:pt>
                    </c:strCache>
                  </c:strRef>
                </c:tx>
                <c:spPr>
                  <a:ln w="28575" cap="rnd">
                    <a:solidFill>
                      <a:schemeClr val="accent6">
                        <a:lumMod val="50000"/>
                        <a:lumOff val="50000"/>
                      </a:schemeClr>
                    </a:solidFill>
                    <a:round/>
                  </a:ln>
                  <a:effectLst/>
                </c:spPr>
                <c:marker>
                  <c:symbol val="circle"/>
                  <c:size val="5"/>
                  <c:spPr>
                    <a:solidFill>
                      <a:schemeClr val="accent6">
                        <a:lumMod val="50000"/>
                        <a:lumOff val="50000"/>
                      </a:schemeClr>
                    </a:solidFill>
                    <a:ln w="9525">
                      <a:solidFill>
                        <a:schemeClr val="accent6">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LM'!$C$52:$V$52</c15:sqref>
                        </c15:formulaRef>
                      </c:ext>
                    </c:extLst>
                    <c:numCache>
                      <c:formatCode>0.0</c:formatCode>
                      <c:ptCount val="20"/>
                      <c:pt idx="0">
                        <c:v>2.7660000324249299</c:v>
                      </c:pt>
                      <c:pt idx="1">
                        <c:v>2.7390000820159899</c:v>
                      </c:pt>
                      <c:pt idx="2">
                        <c:v>2.7509999275207502</c:v>
                      </c:pt>
                      <c:pt idx="3">
                        <c:v>2.7279999256134002</c:v>
                      </c:pt>
                      <c:pt idx="4">
                        <c:v>2.7070000171661399</c:v>
                      </c:pt>
                      <c:pt idx="5">
                        <c:v>2.6930000782012899</c:v>
                      </c:pt>
                      <c:pt idx="6">
                        <c:v>2.6809999942779501</c:v>
                      </c:pt>
                      <c:pt idx="7">
                        <c:v>2.6700000762939502</c:v>
                      </c:pt>
                      <c:pt idx="8">
                        <c:v>2.6989998817443799</c:v>
                      </c:pt>
                      <c:pt idx="9">
                        <c:v>2.6719999313354501</c:v>
                      </c:pt>
                      <c:pt idx="10">
                        <c:v>2.6329998970031698</c:v>
                      </c:pt>
                      <c:pt idx="11">
                        <c:v>2.6359999179840101</c:v>
                      </c:pt>
                      <c:pt idx="12">
                        <c:v>2.6340000629425</c:v>
                      </c:pt>
                      <c:pt idx="13">
                        <c:v>2.6170001029968302</c:v>
                      </c:pt>
                      <c:pt idx="14">
                        <c:v>2.6089999675750701</c:v>
                      </c:pt>
                      <c:pt idx="15">
                        <c:v>2.5959999561309801</c:v>
                      </c:pt>
                      <c:pt idx="16">
                        <c:v>2.5840001106262198</c:v>
                      </c:pt>
                      <c:pt idx="17">
                        <c:v>3.31599998474121</c:v>
                      </c:pt>
                      <c:pt idx="18">
                        <c:v>4.0329999923706099</c:v>
                      </c:pt>
                      <c:pt idx="19">
                        <c:v>4.7729997634887704</c:v>
                      </c:pt>
                    </c:numCache>
                  </c:numRef>
                </c:val>
                <c:smooth val="0"/>
                <c:extLst xmlns:c15="http://schemas.microsoft.com/office/drawing/2012/chart">
                  <c:ext xmlns:c16="http://schemas.microsoft.com/office/drawing/2014/chart" uri="{C3380CC4-5D6E-409C-BE32-E72D297353CC}">
                    <c16:uniqueId val="{00000037-783C-4805-A8A1-4448E34F5A3E}"/>
                  </c:ext>
                </c:extLst>
              </c15:ser>
            </c15:filteredLineSeries>
            <c15:filteredLineSeries>
              <c15:ser>
                <c:idx val="54"/>
                <c:order val="54"/>
                <c:tx>
                  <c:strRef>
                    <c:extLst xmlns:c15="http://schemas.microsoft.com/office/drawing/2012/chart">
                      <c:ext xmlns:c15="http://schemas.microsoft.com/office/drawing/2012/chart" uri="{02D57815-91ED-43cb-92C2-25804820EDAC}">
                        <c15:formulaRef>
                          <c15:sqref>'Data LM'!$A$53</c15:sqref>
                        </c15:formulaRef>
                      </c:ext>
                    </c:extLst>
                    <c:strCache>
                      <c:ptCount val="1"/>
                      <c:pt idx="0">
                        <c:v>Unemployment, male (% of male labor force) (national estimate)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LM'!$C$53:$V$53</c15:sqref>
                        </c15:formulaRef>
                      </c:ext>
                    </c:extLst>
                    <c:numCache>
                      <c:formatCode>0.0</c:formatCode>
                      <c:ptCount val="20"/>
                      <c:pt idx="0">
                        <c:v>0</c:v>
                      </c:pt>
                      <c:pt idx="1">
                        <c:v>0</c:v>
                      </c:pt>
                      <c:pt idx="2">
                        <c:v>0</c:v>
                      </c:pt>
                      <c:pt idx="3">
                        <c:v>0</c:v>
                      </c:pt>
                      <c:pt idx="4">
                        <c:v>0</c:v>
                      </c:pt>
                      <c:pt idx="5">
                        <c:v>9.8100004196166992</c:v>
                      </c:pt>
                      <c:pt idx="6">
                        <c:v>9.8100004196166992</c:v>
                      </c:pt>
                      <c:pt idx="7">
                        <c:v>0</c:v>
                      </c:pt>
                      <c:pt idx="8">
                        <c:v>0</c:v>
                      </c:pt>
                      <c:pt idx="9">
                        <c:v>9.8999996185302699</c:v>
                      </c:pt>
                      <c:pt idx="10">
                        <c:v>0</c:v>
                      </c:pt>
                      <c:pt idx="11">
                        <c:v>0</c:v>
                      </c:pt>
                      <c:pt idx="12">
                        <c:v>0</c:v>
                      </c:pt>
                      <c:pt idx="13">
                        <c:v>0</c:v>
                      </c:pt>
                      <c:pt idx="14">
                        <c:v>0</c:v>
                      </c:pt>
                      <c:pt idx="15">
                        <c:v>0</c:v>
                      </c:pt>
                      <c:pt idx="16">
                        <c:v>2.5799999237060498</c:v>
                      </c:pt>
                      <c:pt idx="17">
                        <c:v>0</c:v>
                      </c:pt>
                      <c:pt idx="18">
                        <c:v>0</c:v>
                      </c:pt>
                      <c:pt idx="19">
                        <c:v>4.7800002098083496</c:v>
                      </c:pt>
                    </c:numCache>
                  </c:numRef>
                </c:val>
                <c:smooth val="0"/>
                <c:extLst xmlns:c15="http://schemas.microsoft.com/office/drawing/2012/chart">
                  <c:ext xmlns:c16="http://schemas.microsoft.com/office/drawing/2014/chart" uri="{C3380CC4-5D6E-409C-BE32-E72D297353CC}">
                    <c16:uniqueId val="{00000038-783C-4805-A8A1-4448E34F5A3E}"/>
                  </c:ext>
                </c:extLst>
              </c15:ser>
            </c15:filteredLineSeries>
            <c15:filteredLineSeries>
              <c15:ser>
                <c:idx val="55"/>
                <c:order val="55"/>
                <c:tx>
                  <c:strRef>
                    <c:extLst xmlns:c15="http://schemas.microsoft.com/office/drawing/2012/chart">
                      <c:ext xmlns:c15="http://schemas.microsoft.com/office/drawing/2012/chart" uri="{02D57815-91ED-43cb-92C2-25804820EDAC}">
                        <c15:formulaRef>
                          <c15:sqref>'Data LM'!$A$54</c15:sqref>
                        </c15:formulaRef>
                      </c:ext>
                    </c:extLst>
                    <c:strCache>
                      <c:ptCount val="1"/>
                      <c:pt idx="0">
                        <c:v>Unemployment, total (% of total labor force) (modeled ILO estimate)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LM'!$C$54:$V$54</c15:sqref>
                        </c15:formulaRef>
                      </c:ext>
                    </c:extLst>
                    <c:numCache>
                      <c:formatCode>0.0</c:formatCode>
                      <c:ptCount val="20"/>
                      <c:pt idx="0">
                        <c:v>3.0209999084472701</c:v>
                      </c:pt>
                      <c:pt idx="1">
                        <c:v>2.9890000820159899</c:v>
                      </c:pt>
                      <c:pt idx="2">
                        <c:v>2.99600005149841</c:v>
                      </c:pt>
                      <c:pt idx="3">
                        <c:v>2.9690001010894802</c:v>
                      </c:pt>
                      <c:pt idx="4">
                        <c:v>2.9419999122619598</c:v>
                      </c:pt>
                      <c:pt idx="5">
                        <c:v>2.92400002479553</c:v>
                      </c:pt>
                      <c:pt idx="6">
                        <c:v>2.90700006484985</c:v>
                      </c:pt>
                      <c:pt idx="7">
                        <c:v>2.8910000324249299</c:v>
                      </c:pt>
                      <c:pt idx="8">
                        <c:v>2.9159998893737802</c:v>
                      </c:pt>
                      <c:pt idx="9">
                        <c:v>2.8840000629425</c:v>
                      </c:pt>
                      <c:pt idx="10">
                        <c:v>2.83899998664856</c:v>
                      </c:pt>
                      <c:pt idx="11">
                        <c:v>2.8369998931884801</c:v>
                      </c:pt>
                      <c:pt idx="12">
                        <c:v>2.8310000896453902</c:v>
                      </c:pt>
                      <c:pt idx="13">
                        <c:v>2.8080000877380402</c:v>
                      </c:pt>
                      <c:pt idx="14">
                        <c:v>2.7950000762939502</c:v>
                      </c:pt>
                      <c:pt idx="15">
                        <c:v>2.77699995040894</c:v>
                      </c:pt>
                      <c:pt idx="16">
                        <c:v>2.7599999904632599</c:v>
                      </c:pt>
                      <c:pt idx="17">
                        <c:v>3.51300001144409</c:v>
                      </c:pt>
                      <c:pt idx="18">
                        <c:v>4.2490000724792498</c:v>
                      </c:pt>
                      <c:pt idx="19">
                        <c:v>5.0100002288818404</c:v>
                      </c:pt>
                    </c:numCache>
                  </c:numRef>
                </c:val>
                <c:smooth val="0"/>
                <c:extLst xmlns:c15="http://schemas.microsoft.com/office/drawing/2012/chart">
                  <c:ext xmlns:c16="http://schemas.microsoft.com/office/drawing/2014/chart" uri="{C3380CC4-5D6E-409C-BE32-E72D297353CC}">
                    <c16:uniqueId val="{00000039-783C-4805-A8A1-4448E34F5A3E}"/>
                  </c:ext>
                </c:extLst>
              </c15:ser>
            </c15:filteredLineSeries>
            <c15:filteredLineSeries>
              <c15:ser>
                <c:idx val="56"/>
                <c:order val="56"/>
                <c:tx>
                  <c:strRef>
                    <c:extLst xmlns:c15="http://schemas.microsoft.com/office/drawing/2012/chart">
                      <c:ext xmlns:c15="http://schemas.microsoft.com/office/drawing/2012/chart" uri="{02D57815-91ED-43cb-92C2-25804820EDAC}">
                        <c15:formulaRef>
                          <c15:sqref>'Data LM'!$A$55</c15:sqref>
                        </c15:formulaRef>
                      </c:ext>
                    </c:extLst>
                    <c:strCache>
                      <c:ptCount val="1"/>
                      <c:pt idx="0">
                        <c:v>Unemployment, total (% of total labor force) (national estimate)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LM'!$C$55:$V$55</c15:sqref>
                        </c15:formulaRef>
                      </c:ext>
                    </c:extLst>
                    <c:numCache>
                      <c:formatCode>0.0</c:formatCode>
                      <c:ptCount val="20"/>
                      <c:pt idx="0">
                        <c:v>0</c:v>
                      </c:pt>
                      <c:pt idx="1">
                        <c:v>0</c:v>
                      </c:pt>
                      <c:pt idx="2">
                        <c:v>0</c:v>
                      </c:pt>
                      <c:pt idx="3">
                        <c:v>0</c:v>
                      </c:pt>
                      <c:pt idx="4">
                        <c:v>0</c:v>
                      </c:pt>
                      <c:pt idx="5">
                        <c:v>9.9600000381469709</c:v>
                      </c:pt>
                      <c:pt idx="6">
                        <c:v>9.9600000381469709</c:v>
                      </c:pt>
                      <c:pt idx="7">
                        <c:v>0</c:v>
                      </c:pt>
                      <c:pt idx="8">
                        <c:v>0</c:v>
                      </c:pt>
                      <c:pt idx="9">
                        <c:v>9.6000003814697301</c:v>
                      </c:pt>
                      <c:pt idx="10">
                        <c:v>0</c:v>
                      </c:pt>
                      <c:pt idx="11">
                        <c:v>0</c:v>
                      </c:pt>
                      <c:pt idx="12">
                        <c:v>0</c:v>
                      </c:pt>
                      <c:pt idx="13">
                        <c:v>0</c:v>
                      </c:pt>
                      <c:pt idx="14">
                        <c:v>0</c:v>
                      </c:pt>
                      <c:pt idx="15">
                        <c:v>0</c:v>
                      </c:pt>
                      <c:pt idx="16">
                        <c:v>2.7599999904632599</c:v>
                      </c:pt>
                      <c:pt idx="17">
                        <c:v>0</c:v>
                      </c:pt>
                      <c:pt idx="18">
                        <c:v>0</c:v>
                      </c:pt>
                      <c:pt idx="19">
                        <c:v>5.0100002288818404</c:v>
                      </c:pt>
                    </c:numCache>
                  </c:numRef>
                </c:val>
                <c:smooth val="0"/>
                <c:extLst xmlns:c15="http://schemas.microsoft.com/office/drawing/2012/chart">
                  <c:ext xmlns:c16="http://schemas.microsoft.com/office/drawing/2014/chart" uri="{C3380CC4-5D6E-409C-BE32-E72D297353CC}">
                    <c16:uniqueId val="{0000003A-783C-4805-A8A1-4448E34F5A3E}"/>
                  </c:ext>
                </c:extLst>
              </c15:ser>
            </c15:filteredLineSeries>
            <c15:filteredLineSeries>
              <c15:ser>
                <c:idx val="57"/>
                <c:order val="57"/>
                <c:tx>
                  <c:strRef>
                    <c:extLst xmlns:c15="http://schemas.microsoft.com/office/drawing/2012/chart">
                      <c:ext xmlns:c15="http://schemas.microsoft.com/office/drawing/2012/chart" uri="{02D57815-91ED-43cb-92C2-25804820EDAC}">
                        <c15:formulaRef>
                          <c15:sqref>'Data LM'!$A$56</c15:sqref>
                        </c15:formulaRef>
                      </c:ext>
                    </c:extLst>
                    <c:strCache>
                      <c:ptCount val="1"/>
                      <c:pt idx="0">
                        <c:v>Unemployment, youth female (% of female labor force ages 15-24) (modeled ILO estimate)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LM'!$C$56:$V$56</c15:sqref>
                        </c15:formulaRef>
                      </c:ext>
                    </c:extLst>
                    <c:numCache>
                      <c:formatCode>0.0</c:formatCode>
                      <c:ptCount val="20"/>
                      <c:pt idx="0">
                        <c:v>6.8889999389648402</c:v>
                      </c:pt>
                      <c:pt idx="1">
                        <c:v>6.8670001029968297</c:v>
                      </c:pt>
                      <c:pt idx="2">
                        <c:v>6.9120001792907697</c:v>
                      </c:pt>
                      <c:pt idx="3">
                        <c:v>6.90199995040894</c:v>
                      </c:pt>
                      <c:pt idx="4">
                        <c:v>6.9000000953674299</c:v>
                      </c:pt>
                      <c:pt idx="5">
                        <c:v>6.9219999313354501</c:v>
                      </c:pt>
                      <c:pt idx="6">
                        <c:v>6.9640002250671396</c:v>
                      </c:pt>
                      <c:pt idx="7">
                        <c:v>7.01300001144409</c:v>
                      </c:pt>
                      <c:pt idx="8">
                        <c:v>7.1399998664856001</c:v>
                      </c:pt>
                      <c:pt idx="9">
                        <c:v>7.1609997749328604</c:v>
                      </c:pt>
                      <c:pt idx="10">
                        <c:v>7.1539998054504403</c:v>
                      </c:pt>
                      <c:pt idx="11">
                        <c:v>7.2270002365112296</c:v>
                      </c:pt>
                      <c:pt idx="12">
                        <c:v>7.2870001792907697</c:v>
                      </c:pt>
                      <c:pt idx="13">
                        <c:v>7.3109998703002903</c:v>
                      </c:pt>
                      <c:pt idx="14">
                        <c:v>7.3470001220703098</c:v>
                      </c:pt>
                      <c:pt idx="15">
                        <c:v>7.3649997711181596</c:v>
                      </c:pt>
                      <c:pt idx="16">
                        <c:v>7.3810000419616699</c:v>
                      </c:pt>
                      <c:pt idx="17">
                        <c:v>9.2959995269775408</c:v>
                      </c:pt>
                      <c:pt idx="18">
                        <c:v>11.201000213623001</c:v>
                      </c:pt>
                      <c:pt idx="19">
                        <c:v>13.1759996414185</c:v>
                      </c:pt>
                    </c:numCache>
                  </c:numRef>
                </c:val>
                <c:smooth val="0"/>
                <c:extLst xmlns:c15="http://schemas.microsoft.com/office/drawing/2012/chart">
                  <c:ext xmlns:c16="http://schemas.microsoft.com/office/drawing/2014/chart" uri="{C3380CC4-5D6E-409C-BE32-E72D297353CC}">
                    <c16:uniqueId val="{0000003B-783C-4805-A8A1-4448E34F5A3E}"/>
                  </c:ext>
                </c:extLst>
              </c15:ser>
            </c15:filteredLineSeries>
            <c15:filteredLineSeries>
              <c15:ser>
                <c:idx val="58"/>
                <c:order val="58"/>
                <c:tx>
                  <c:strRef>
                    <c:extLst xmlns:c15="http://schemas.microsoft.com/office/drawing/2012/chart">
                      <c:ext xmlns:c15="http://schemas.microsoft.com/office/drawing/2012/chart" uri="{02D57815-91ED-43cb-92C2-25804820EDAC}">
                        <c15:formulaRef>
                          <c15:sqref>'Data LM'!$A$57</c15:sqref>
                        </c15:formulaRef>
                      </c:ext>
                    </c:extLst>
                    <c:strCache>
                      <c:ptCount val="1"/>
                      <c:pt idx="0">
                        <c:v>Unemployment, youth female (% of female labor force ages 15-24) (national estimate)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LM'!$C$57:$V$57</c15:sqref>
                        </c15:formulaRef>
                      </c:ext>
                    </c:extLst>
                    <c:numCache>
                      <c:formatCode>0.0</c:formatCode>
                      <c:ptCount val="20"/>
                      <c:pt idx="0">
                        <c:v>0</c:v>
                      </c:pt>
                      <c:pt idx="1">
                        <c:v>0</c:v>
                      </c:pt>
                      <c:pt idx="2">
                        <c:v>0</c:v>
                      </c:pt>
                      <c:pt idx="3">
                        <c:v>0</c:v>
                      </c:pt>
                      <c:pt idx="4">
                        <c:v>0</c:v>
                      </c:pt>
                      <c:pt idx="5">
                        <c:v>20.610000610351602</c:v>
                      </c:pt>
                      <c:pt idx="6">
                        <c:v>20.610000610351602</c:v>
                      </c:pt>
                      <c:pt idx="7">
                        <c:v>0</c:v>
                      </c:pt>
                      <c:pt idx="8">
                        <c:v>0</c:v>
                      </c:pt>
                      <c:pt idx="9">
                        <c:v>0</c:v>
                      </c:pt>
                      <c:pt idx="10">
                        <c:v>0</c:v>
                      </c:pt>
                      <c:pt idx="11">
                        <c:v>0</c:v>
                      </c:pt>
                      <c:pt idx="12">
                        <c:v>0</c:v>
                      </c:pt>
                      <c:pt idx="13">
                        <c:v>0</c:v>
                      </c:pt>
                      <c:pt idx="14">
                        <c:v>0</c:v>
                      </c:pt>
                      <c:pt idx="15">
                        <c:v>0</c:v>
                      </c:pt>
                      <c:pt idx="16">
                        <c:v>7.4299998283386204</c:v>
                      </c:pt>
                      <c:pt idx="17">
                        <c:v>0</c:v>
                      </c:pt>
                      <c:pt idx="18">
                        <c:v>0</c:v>
                      </c:pt>
                      <c:pt idx="19">
                        <c:v>13.8400001525879</c:v>
                      </c:pt>
                    </c:numCache>
                  </c:numRef>
                </c:val>
                <c:smooth val="0"/>
                <c:extLst xmlns:c15="http://schemas.microsoft.com/office/drawing/2012/chart">
                  <c:ext xmlns:c16="http://schemas.microsoft.com/office/drawing/2014/chart" uri="{C3380CC4-5D6E-409C-BE32-E72D297353CC}">
                    <c16:uniqueId val="{0000003C-783C-4805-A8A1-4448E34F5A3E}"/>
                  </c:ext>
                </c:extLst>
              </c15:ser>
            </c15:filteredLineSeries>
            <c15:filteredLineSeries>
              <c15:ser>
                <c:idx val="59"/>
                <c:order val="59"/>
                <c:tx>
                  <c:strRef>
                    <c:extLst xmlns:c15="http://schemas.microsoft.com/office/drawing/2012/chart">
                      <c:ext xmlns:c15="http://schemas.microsoft.com/office/drawing/2012/chart" uri="{02D57815-91ED-43cb-92C2-25804820EDAC}">
                        <c15:formulaRef>
                          <c15:sqref>'Data LM'!$A$58</c15:sqref>
                        </c15:formulaRef>
                      </c:ext>
                    </c:extLst>
                    <c:strCache>
                      <c:ptCount val="1"/>
                      <c:pt idx="0">
                        <c:v>Unemployment, youth male (% of male labor force ages 15-24) (modeled ILO estimate)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LM'!$C$58:$V$58</c15:sqref>
                        </c15:formulaRef>
                      </c:ext>
                    </c:extLst>
                    <c:numCache>
                      <c:formatCode>0.0</c:formatCode>
                      <c:ptCount val="20"/>
                      <c:pt idx="0">
                        <c:v>6.67799997329712</c:v>
                      </c:pt>
                      <c:pt idx="1">
                        <c:v>6.6550002098083496</c:v>
                      </c:pt>
                      <c:pt idx="2">
                        <c:v>6.7059998512268102</c:v>
                      </c:pt>
                      <c:pt idx="3">
                        <c:v>6.69700002670288</c:v>
                      </c:pt>
                      <c:pt idx="4">
                        <c:v>6.6979999542236301</c:v>
                      </c:pt>
                      <c:pt idx="5">
                        <c:v>6.7259998321533203</c:v>
                      </c:pt>
                      <c:pt idx="6">
                        <c:v>6.7779998779296902</c:v>
                      </c:pt>
                      <c:pt idx="7">
                        <c:v>6.8390002250671396</c:v>
                      </c:pt>
                      <c:pt idx="8">
                        <c:v>6.9860000610351598</c:v>
                      </c:pt>
                      <c:pt idx="9">
                        <c:v>7.0139999389648402</c:v>
                      </c:pt>
                      <c:pt idx="10">
                        <c:v>7.0100002288818404</c:v>
                      </c:pt>
                      <c:pt idx="11">
                        <c:v>7.0939998626709002</c:v>
                      </c:pt>
                      <c:pt idx="12">
                        <c:v>7.1640000343322798</c:v>
                      </c:pt>
                      <c:pt idx="13">
                        <c:v>7.1919999122619602</c:v>
                      </c:pt>
                      <c:pt idx="14">
                        <c:v>7.2329998016357404</c:v>
                      </c:pt>
                      <c:pt idx="15">
                        <c:v>7.2529997825622603</c:v>
                      </c:pt>
                      <c:pt idx="16">
                        <c:v>7.2699999809265101</c:v>
                      </c:pt>
                      <c:pt idx="17">
                        <c:v>8.6630001068115199</c:v>
                      </c:pt>
                      <c:pt idx="18">
                        <c:v>10.055000305175801</c:v>
                      </c:pt>
                      <c:pt idx="19">
                        <c:v>11.519000053405801</c:v>
                      </c:pt>
                    </c:numCache>
                  </c:numRef>
                </c:val>
                <c:smooth val="0"/>
                <c:extLst xmlns:c15="http://schemas.microsoft.com/office/drawing/2012/chart">
                  <c:ext xmlns:c16="http://schemas.microsoft.com/office/drawing/2014/chart" uri="{C3380CC4-5D6E-409C-BE32-E72D297353CC}">
                    <c16:uniqueId val="{0000003D-783C-4805-A8A1-4448E34F5A3E}"/>
                  </c:ext>
                </c:extLst>
              </c15:ser>
            </c15:filteredLineSeries>
            <c15:filteredLineSeries>
              <c15:ser>
                <c:idx val="60"/>
                <c:order val="60"/>
                <c:tx>
                  <c:strRef>
                    <c:extLst xmlns:c15="http://schemas.microsoft.com/office/drawing/2012/chart">
                      <c:ext xmlns:c15="http://schemas.microsoft.com/office/drawing/2012/chart" uri="{02D57815-91ED-43cb-92C2-25804820EDAC}">
                        <c15:formulaRef>
                          <c15:sqref>'Data LM'!$A$59</c15:sqref>
                        </c15:formulaRef>
                      </c:ext>
                    </c:extLst>
                    <c:strCache>
                      <c:ptCount val="1"/>
                      <c:pt idx="0">
                        <c:v>Unemployment, youth male (% of male labor force ages 15-24) (national estimate)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LM'!$C$59:$V$59</c15:sqref>
                        </c15:formulaRef>
                      </c:ext>
                    </c:extLst>
                    <c:numCache>
                      <c:formatCode>0.0</c:formatCode>
                      <c:ptCount val="20"/>
                      <c:pt idx="0">
                        <c:v>0</c:v>
                      </c:pt>
                      <c:pt idx="1">
                        <c:v>0</c:v>
                      </c:pt>
                      <c:pt idx="2">
                        <c:v>0</c:v>
                      </c:pt>
                      <c:pt idx="3">
                        <c:v>0</c:v>
                      </c:pt>
                      <c:pt idx="4">
                        <c:v>0</c:v>
                      </c:pt>
                      <c:pt idx="5">
                        <c:v>18.879999160766602</c:v>
                      </c:pt>
                      <c:pt idx="6">
                        <c:v>18.879999160766602</c:v>
                      </c:pt>
                      <c:pt idx="7">
                        <c:v>0</c:v>
                      </c:pt>
                      <c:pt idx="8">
                        <c:v>0</c:v>
                      </c:pt>
                      <c:pt idx="9">
                        <c:v>0</c:v>
                      </c:pt>
                      <c:pt idx="10">
                        <c:v>0</c:v>
                      </c:pt>
                      <c:pt idx="11">
                        <c:v>0</c:v>
                      </c:pt>
                      <c:pt idx="12">
                        <c:v>0</c:v>
                      </c:pt>
                      <c:pt idx="13">
                        <c:v>0</c:v>
                      </c:pt>
                      <c:pt idx="14">
                        <c:v>0</c:v>
                      </c:pt>
                      <c:pt idx="15">
                        <c:v>0</c:v>
                      </c:pt>
                      <c:pt idx="16">
                        <c:v>7.28999996185303</c:v>
                      </c:pt>
                      <c:pt idx="17">
                        <c:v>0</c:v>
                      </c:pt>
                      <c:pt idx="18">
                        <c:v>0</c:v>
                      </c:pt>
                      <c:pt idx="19">
                        <c:v>11.9799995422363</c:v>
                      </c:pt>
                    </c:numCache>
                  </c:numRef>
                </c:val>
                <c:smooth val="0"/>
                <c:extLst xmlns:c15="http://schemas.microsoft.com/office/drawing/2012/chart">
                  <c:ext xmlns:c16="http://schemas.microsoft.com/office/drawing/2014/chart" uri="{C3380CC4-5D6E-409C-BE32-E72D297353CC}">
                    <c16:uniqueId val="{0000003E-783C-4805-A8A1-4448E34F5A3E}"/>
                  </c:ext>
                </c:extLst>
              </c15:ser>
            </c15:filteredLineSeries>
            <c15:filteredLineSeries>
              <c15:ser>
                <c:idx val="61"/>
                <c:order val="61"/>
                <c:tx>
                  <c:strRef>
                    <c:extLst xmlns:c15="http://schemas.microsoft.com/office/drawing/2012/chart">
                      <c:ext xmlns:c15="http://schemas.microsoft.com/office/drawing/2012/chart" uri="{02D57815-91ED-43cb-92C2-25804820EDAC}">
                        <c15:formulaRef>
                          <c15:sqref>'Data LM'!$A$60</c15:sqref>
                        </c15:formulaRef>
                      </c:ext>
                    </c:extLst>
                    <c:strCache>
                      <c:ptCount val="1"/>
                      <c:pt idx="0">
                        <c:v>Unemployment, youth total (% of total labor force ages 15-24) (modeled ILO estimate)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LM'!$C$60:$V$60</c15:sqref>
                        </c15:formulaRef>
                      </c:ext>
                    </c:extLst>
                    <c:numCache>
                      <c:formatCode>0.0</c:formatCode>
                      <c:ptCount val="20"/>
                      <c:pt idx="0">
                        <c:v>6.7880001068115199</c:v>
                      </c:pt>
                      <c:pt idx="1">
                        <c:v>6.7639999389648402</c:v>
                      </c:pt>
                      <c:pt idx="2">
                        <c:v>6.8119997978210396</c:v>
                      </c:pt>
                      <c:pt idx="3">
                        <c:v>6.8020000457763699</c:v>
                      </c:pt>
                      <c:pt idx="4">
                        <c:v>6.8010001182556197</c:v>
                      </c:pt>
                      <c:pt idx="5">
                        <c:v>6.8249998092651403</c:v>
                      </c:pt>
                      <c:pt idx="6">
                        <c:v>6.8720002174377397</c:v>
                      </c:pt>
                      <c:pt idx="7">
                        <c:v>6.9270000457763699</c:v>
                      </c:pt>
                      <c:pt idx="8">
                        <c:v>7.0630002021789604</c:v>
                      </c:pt>
                      <c:pt idx="9">
                        <c:v>7.0869998931884801</c:v>
                      </c:pt>
                      <c:pt idx="10">
                        <c:v>7.0819997787475604</c:v>
                      </c:pt>
                      <c:pt idx="11">
                        <c:v>7.1599998474121103</c:v>
                      </c:pt>
                      <c:pt idx="12">
                        <c:v>7.2249999046325701</c:v>
                      </c:pt>
                      <c:pt idx="13">
                        <c:v>7.25</c:v>
                      </c:pt>
                      <c:pt idx="14">
                        <c:v>7.2880001068115199</c:v>
                      </c:pt>
                      <c:pt idx="15">
                        <c:v>7.3080000877380398</c:v>
                      </c:pt>
                      <c:pt idx="16">
                        <c:v>7.3239998817443803</c:v>
                      </c:pt>
                      <c:pt idx="17">
                        <c:v>8.9709997177124006</c:v>
                      </c:pt>
                      <c:pt idx="18">
                        <c:v>10.616000175476101</c:v>
                      </c:pt>
                      <c:pt idx="19">
                        <c:v>12.3369998931885</c:v>
                      </c:pt>
                    </c:numCache>
                  </c:numRef>
                </c:val>
                <c:smooth val="0"/>
                <c:extLst xmlns:c15="http://schemas.microsoft.com/office/drawing/2012/chart">
                  <c:ext xmlns:c16="http://schemas.microsoft.com/office/drawing/2014/chart" uri="{C3380CC4-5D6E-409C-BE32-E72D297353CC}">
                    <c16:uniqueId val="{0000003F-783C-4805-A8A1-4448E34F5A3E}"/>
                  </c:ext>
                </c:extLst>
              </c15:ser>
            </c15:filteredLineSeries>
            <c15:filteredLineSeries>
              <c15:ser>
                <c:idx val="62"/>
                <c:order val="62"/>
                <c:tx>
                  <c:strRef>
                    <c:extLst xmlns:c15="http://schemas.microsoft.com/office/drawing/2012/chart">
                      <c:ext xmlns:c15="http://schemas.microsoft.com/office/drawing/2012/chart" uri="{02D57815-91ED-43cb-92C2-25804820EDAC}">
                        <c15:formulaRef>
                          <c15:sqref>'Data LM'!$A$61</c15:sqref>
                        </c15:formulaRef>
                      </c:ext>
                    </c:extLst>
                    <c:strCache>
                      <c:ptCount val="1"/>
                      <c:pt idx="0">
                        <c:v>Unemployment, youth total (% of total labor force ages 15-24) (national estimate)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LM'!$C$61:$V$61</c15:sqref>
                        </c15:formulaRef>
                      </c:ext>
                    </c:extLst>
                    <c:numCache>
                      <c:formatCode>0.0</c:formatCode>
                      <c:ptCount val="20"/>
                      <c:pt idx="0">
                        <c:v>0</c:v>
                      </c:pt>
                      <c:pt idx="1">
                        <c:v>0</c:v>
                      </c:pt>
                      <c:pt idx="2">
                        <c:v>0</c:v>
                      </c:pt>
                      <c:pt idx="3">
                        <c:v>0</c:v>
                      </c:pt>
                      <c:pt idx="4">
                        <c:v>0</c:v>
                      </c:pt>
                      <c:pt idx="5">
                        <c:v>19.649999618530298</c:v>
                      </c:pt>
                      <c:pt idx="6">
                        <c:v>19.649999618530298</c:v>
                      </c:pt>
                      <c:pt idx="7">
                        <c:v>0</c:v>
                      </c:pt>
                      <c:pt idx="8">
                        <c:v>0</c:v>
                      </c:pt>
                      <c:pt idx="9">
                        <c:v>0</c:v>
                      </c:pt>
                      <c:pt idx="10">
                        <c:v>0</c:v>
                      </c:pt>
                      <c:pt idx="11">
                        <c:v>0</c:v>
                      </c:pt>
                      <c:pt idx="12">
                        <c:v>0</c:v>
                      </c:pt>
                      <c:pt idx="13">
                        <c:v>0</c:v>
                      </c:pt>
                      <c:pt idx="14">
                        <c:v>0</c:v>
                      </c:pt>
                      <c:pt idx="15">
                        <c:v>0</c:v>
                      </c:pt>
                      <c:pt idx="16">
                        <c:v>7.3600001335143999</c:v>
                      </c:pt>
                      <c:pt idx="17">
                        <c:v>0</c:v>
                      </c:pt>
                      <c:pt idx="18">
                        <c:v>0</c:v>
                      </c:pt>
                      <c:pt idx="19">
                        <c:v>12.8500003814697</c:v>
                      </c:pt>
                    </c:numCache>
                  </c:numRef>
                </c:val>
                <c:smooth val="0"/>
                <c:extLst xmlns:c15="http://schemas.microsoft.com/office/drawing/2012/chart">
                  <c:ext xmlns:c16="http://schemas.microsoft.com/office/drawing/2014/chart" uri="{C3380CC4-5D6E-409C-BE32-E72D297353CC}">
                    <c16:uniqueId val="{00000040-783C-4805-A8A1-4448E34F5A3E}"/>
                  </c:ext>
                </c:extLst>
              </c15:ser>
            </c15:filteredLineSeries>
            <c15:filteredLineSeries>
              <c15:ser>
                <c:idx val="63"/>
                <c:order val="63"/>
                <c:tx>
                  <c:strRef>
                    <c:extLst xmlns:c15="http://schemas.microsoft.com/office/drawing/2012/chart">
                      <c:ext xmlns:c15="http://schemas.microsoft.com/office/drawing/2012/chart" uri="{02D57815-91ED-43cb-92C2-25804820EDAC}">
                        <c15:formulaRef>
                          <c15:sqref>'Data LM'!$A$62</c15:sqref>
                        </c15:formulaRef>
                      </c:ext>
                    </c:extLst>
                    <c:strCache>
                      <c:ptCount val="1"/>
                      <c:pt idx="0">
                        <c:v>Vulnerable employment, female (% of female employment) (modeled ILO estimate)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LM'!$C$62:$V$62</c15:sqref>
                        </c15:formulaRef>
                      </c:ext>
                    </c:extLst>
                    <c:numCache>
                      <c:formatCode>0.0</c:formatCode>
                      <c:ptCount val="20"/>
                      <c:pt idx="0">
                        <c:v>73.260000228881808</c:v>
                      </c:pt>
                      <c:pt idx="1">
                        <c:v>74.3399982452393</c:v>
                      </c:pt>
                      <c:pt idx="2">
                        <c:v>75.120000839233398</c:v>
                      </c:pt>
                      <c:pt idx="3">
                        <c:v>75.889999389648509</c:v>
                      </c:pt>
                      <c:pt idx="4">
                        <c:v>76.279998779296903</c:v>
                      </c:pt>
                      <c:pt idx="5">
                        <c:v>76.619998931884695</c:v>
                      </c:pt>
                      <c:pt idx="6">
                        <c:v>77.080001831054602</c:v>
                      </c:pt>
                      <c:pt idx="7">
                        <c:v>75.439998626708999</c:v>
                      </c:pt>
                      <c:pt idx="8">
                        <c:v>74.040000915527301</c:v>
                      </c:pt>
                      <c:pt idx="9">
                        <c:v>72.369998931884695</c:v>
                      </c:pt>
                      <c:pt idx="10">
                        <c:v>70.610002517700195</c:v>
                      </c:pt>
                      <c:pt idx="11">
                        <c:v>68.740001678466797</c:v>
                      </c:pt>
                      <c:pt idx="12">
                        <c:v>67</c:v>
                      </c:pt>
                      <c:pt idx="13">
                        <c:v>65.310001373291001</c:v>
                      </c:pt>
                      <c:pt idx="14">
                        <c:v>63.679999351501394</c:v>
                      </c:pt>
                      <c:pt idx="15">
                        <c:v>62.039999008178697</c:v>
                      </c:pt>
                      <c:pt idx="16">
                        <c:v>60.470000267028801</c:v>
                      </c:pt>
                      <c:pt idx="17">
                        <c:v>59.3400011062622</c:v>
                      </c:pt>
                      <c:pt idx="18">
                        <c:v>58.2299995422363</c:v>
                      </c:pt>
                      <c:pt idx="19">
                        <c:v>57.130001068115199</c:v>
                      </c:pt>
                    </c:numCache>
                  </c:numRef>
                </c:val>
                <c:smooth val="0"/>
                <c:extLst xmlns:c15="http://schemas.microsoft.com/office/drawing/2012/chart">
                  <c:ext xmlns:c16="http://schemas.microsoft.com/office/drawing/2014/chart" uri="{C3380CC4-5D6E-409C-BE32-E72D297353CC}">
                    <c16:uniqueId val="{00000041-783C-4805-A8A1-4448E34F5A3E}"/>
                  </c:ext>
                </c:extLst>
              </c15:ser>
            </c15:filteredLineSeries>
            <c15:filteredLineSeries>
              <c15:ser>
                <c:idx val="64"/>
                <c:order val="64"/>
                <c:tx>
                  <c:strRef>
                    <c:extLst xmlns:c15="http://schemas.microsoft.com/office/drawing/2012/chart">
                      <c:ext xmlns:c15="http://schemas.microsoft.com/office/drawing/2012/chart" uri="{02D57815-91ED-43cb-92C2-25804820EDAC}">
                        <c15:formulaRef>
                          <c15:sqref>'Data LM'!$A$63</c15:sqref>
                        </c15:formulaRef>
                      </c:ext>
                    </c:extLst>
                    <c:strCache>
                      <c:ptCount val="1"/>
                      <c:pt idx="0">
                        <c:v>Vulnerable employment, male (% of male employment) (modeled ILO estimate)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LM'!$C$63:$V$63</c15:sqref>
                        </c15:formulaRef>
                      </c:ext>
                    </c:extLst>
                    <c:numCache>
                      <c:formatCode>0.0</c:formatCode>
                      <c:ptCount val="20"/>
                      <c:pt idx="0">
                        <c:v>47.159999847412095</c:v>
                      </c:pt>
                      <c:pt idx="1">
                        <c:v>49.340000152587905</c:v>
                      </c:pt>
                      <c:pt idx="2">
                        <c:v>51.539999008178697</c:v>
                      </c:pt>
                      <c:pt idx="3">
                        <c:v>53.590000152587805</c:v>
                      </c:pt>
                      <c:pt idx="4">
                        <c:v>54.890001296997099</c:v>
                      </c:pt>
                      <c:pt idx="5">
                        <c:v>55.949998855590898</c:v>
                      </c:pt>
                      <c:pt idx="6">
                        <c:v>57.289999008178704</c:v>
                      </c:pt>
                      <c:pt idx="7">
                        <c:v>55.5</c:v>
                      </c:pt>
                      <c:pt idx="8">
                        <c:v>54.820001602172795</c:v>
                      </c:pt>
                      <c:pt idx="9">
                        <c:v>53.5599975585938</c:v>
                      </c:pt>
                      <c:pt idx="10">
                        <c:v>51.749999046325698</c:v>
                      </c:pt>
                      <c:pt idx="11">
                        <c:v>50.100000381469805</c:v>
                      </c:pt>
                      <c:pt idx="12">
                        <c:v>48.8300008773804</c:v>
                      </c:pt>
                      <c:pt idx="13">
                        <c:v>47.53000164031981</c:v>
                      </c:pt>
                      <c:pt idx="14">
                        <c:v>46.349999427795453</c:v>
                      </c:pt>
                      <c:pt idx="15">
                        <c:v>45.170001983642592</c:v>
                      </c:pt>
                      <c:pt idx="16">
                        <c:v>44.120000362396262</c:v>
                      </c:pt>
                      <c:pt idx="17">
                        <c:v>43.300001621246338</c:v>
                      </c:pt>
                      <c:pt idx="18">
                        <c:v>42.310001850128174</c:v>
                      </c:pt>
                      <c:pt idx="19">
                        <c:v>41.380000114440925</c:v>
                      </c:pt>
                    </c:numCache>
                  </c:numRef>
                </c:val>
                <c:smooth val="0"/>
                <c:extLst xmlns:c15="http://schemas.microsoft.com/office/drawing/2012/chart">
                  <c:ext xmlns:c16="http://schemas.microsoft.com/office/drawing/2014/chart" uri="{C3380CC4-5D6E-409C-BE32-E72D297353CC}">
                    <c16:uniqueId val="{00000042-783C-4805-A8A1-4448E34F5A3E}"/>
                  </c:ext>
                </c:extLst>
              </c15:ser>
            </c15:filteredLineSeries>
            <c15:filteredLineSeries>
              <c15:ser>
                <c:idx val="65"/>
                <c:order val="65"/>
                <c:tx>
                  <c:strRef>
                    <c:extLst xmlns:c15="http://schemas.microsoft.com/office/drawing/2012/chart">
                      <c:ext xmlns:c15="http://schemas.microsoft.com/office/drawing/2012/chart" uri="{02D57815-91ED-43cb-92C2-25804820EDAC}">
                        <c15:formulaRef>
                          <c15:sqref>'Data LM'!$A$64</c15:sqref>
                        </c15:formulaRef>
                      </c:ext>
                    </c:extLst>
                    <c:strCache>
                      <c:ptCount val="1"/>
                      <c:pt idx="0">
                        <c:v>Vulnerable employment, total (% of total employment) (modeled ILO estimate)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LM'!$C$64:$V$64</c15:sqref>
                        </c15:formulaRef>
                      </c:ext>
                    </c:extLst>
                    <c:numCache>
                      <c:formatCode>0.0</c:formatCode>
                      <c:ptCount val="20"/>
                      <c:pt idx="0">
                        <c:v>59.989997863769503</c:v>
                      </c:pt>
                      <c:pt idx="1">
                        <c:v>61.530002593994197</c:v>
                      </c:pt>
                      <c:pt idx="2">
                        <c:v>62.960000991821303</c:v>
                      </c:pt>
                      <c:pt idx="3">
                        <c:v>64.280000686645508</c:v>
                      </c:pt>
                      <c:pt idx="4">
                        <c:v>65.049999237060504</c:v>
                      </c:pt>
                      <c:pt idx="5">
                        <c:v>65.670001983642493</c:v>
                      </c:pt>
                      <c:pt idx="6">
                        <c:v>66.640001296997099</c:v>
                      </c:pt>
                      <c:pt idx="7">
                        <c:v>64.93000030517581</c:v>
                      </c:pt>
                      <c:pt idx="8">
                        <c:v>63.950000762939503</c:v>
                      </c:pt>
                      <c:pt idx="9">
                        <c:v>62.510000228881907</c:v>
                      </c:pt>
                      <c:pt idx="10">
                        <c:v>60.75</c:v>
                      </c:pt>
                      <c:pt idx="11">
                        <c:v>59.020000457763601</c:v>
                      </c:pt>
                      <c:pt idx="12">
                        <c:v>57.559999465942298</c:v>
                      </c:pt>
                      <c:pt idx="13">
                        <c:v>56.0900011062622</c:v>
                      </c:pt>
                      <c:pt idx="14">
                        <c:v>54.720001220703097</c:v>
                      </c:pt>
                      <c:pt idx="15">
                        <c:v>53.319999694824226</c:v>
                      </c:pt>
                      <c:pt idx="16">
                        <c:v>52.050001144409144</c:v>
                      </c:pt>
                      <c:pt idx="17">
                        <c:v>51.110000610351591</c:v>
                      </c:pt>
                      <c:pt idx="18">
                        <c:v>50.100000381469741</c:v>
                      </c:pt>
                      <c:pt idx="19">
                        <c:v>49.100001335144015</c:v>
                      </c:pt>
                    </c:numCache>
                  </c:numRef>
                </c:val>
                <c:smooth val="0"/>
                <c:extLst xmlns:c15="http://schemas.microsoft.com/office/drawing/2012/chart">
                  <c:ext xmlns:c16="http://schemas.microsoft.com/office/drawing/2014/chart" uri="{C3380CC4-5D6E-409C-BE32-E72D297353CC}">
                    <c16:uniqueId val="{00000043-783C-4805-A8A1-4448E34F5A3E}"/>
                  </c:ext>
                </c:extLst>
              </c15:ser>
            </c15:filteredLineSeries>
            <c15:filteredLineSeries>
              <c15:ser>
                <c:idx val="68"/>
                <c:order val="68"/>
                <c:tx>
                  <c:strRef>
                    <c:extLst xmlns:c15="http://schemas.microsoft.com/office/drawing/2012/chart">
                      <c:ext xmlns:c15="http://schemas.microsoft.com/office/drawing/2012/chart" uri="{02D57815-91ED-43cb-92C2-25804820EDAC}">
                        <c15:formulaRef>
                          <c15:sqref>'Data LM'!$A$67</c15:sqref>
                        </c15:formulaRef>
                      </c:ext>
                    </c:extLst>
                    <c:strCache>
                      <c:ptCount val="1"/>
                      <c:pt idx="0">
                        <c:v>Wage and salaried workers, total (% of total employment) (modeled ILO estimate)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LM'!$C$67:$V$67</c15:sqref>
                        </c15:formulaRef>
                      </c:ext>
                    </c:extLst>
                    <c:numCache>
                      <c:formatCode>0.0</c:formatCode>
                      <c:ptCount val="20"/>
                      <c:pt idx="0">
                        <c:v>33.709999084472699</c:v>
                      </c:pt>
                      <c:pt idx="1">
                        <c:v>33.2700004577637</c:v>
                      </c:pt>
                      <c:pt idx="2">
                        <c:v>32.779998779296903</c:v>
                      </c:pt>
                      <c:pt idx="3">
                        <c:v>32.240001678466797</c:v>
                      </c:pt>
                      <c:pt idx="4">
                        <c:v>32.110000610351598</c:v>
                      </c:pt>
                      <c:pt idx="5">
                        <c:v>32.009998321533203</c:v>
                      </c:pt>
                      <c:pt idx="6">
                        <c:v>31.4799995422363</c:v>
                      </c:pt>
                      <c:pt idx="7">
                        <c:v>33.5200004577637</c:v>
                      </c:pt>
                      <c:pt idx="8">
                        <c:v>34.790000915527301</c:v>
                      </c:pt>
                      <c:pt idx="9">
                        <c:v>36.439998626708999</c:v>
                      </c:pt>
                      <c:pt idx="10">
                        <c:v>38.389999389648402</c:v>
                      </c:pt>
                      <c:pt idx="11">
                        <c:v>40.279998779296903</c:v>
                      </c:pt>
                      <c:pt idx="12">
                        <c:v>41.880001068115199</c:v>
                      </c:pt>
                      <c:pt idx="13">
                        <c:v>43.450000762939503</c:v>
                      </c:pt>
                      <c:pt idx="14">
                        <c:v>44.919998168945298</c:v>
                      </c:pt>
                      <c:pt idx="15">
                        <c:v>46.380001068115199</c:v>
                      </c:pt>
                      <c:pt idx="16">
                        <c:v>47.709999084472699</c:v>
                      </c:pt>
                      <c:pt idx="17">
                        <c:v>48.680000305175803</c:v>
                      </c:pt>
                      <c:pt idx="18">
                        <c:v>49.709999084472699</c:v>
                      </c:pt>
                      <c:pt idx="19">
                        <c:v>50.7299995422363</c:v>
                      </c:pt>
                    </c:numCache>
                  </c:numRef>
                </c:val>
                <c:smooth val="0"/>
                <c:extLst xmlns:c15="http://schemas.microsoft.com/office/drawing/2012/chart">
                  <c:ext xmlns:c16="http://schemas.microsoft.com/office/drawing/2014/chart" uri="{C3380CC4-5D6E-409C-BE32-E72D297353CC}">
                    <c16:uniqueId val="{00000044-783C-4805-A8A1-4448E34F5A3E}"/>
                  </c:ext>
                </c:extLst>
              </c15:ser>
            </c15:filteredLineSeries>
          </c:ext>
        </c:extLst>
      </c:lineChart>
      <c:catAx>
        <c:axId val="183984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crossAx val="1839858480"/>
        <c:crosses val="autoZero"/>
        <c:auto val="1"/>
        <c:lblAlgn val="ctr"/>
        <c:lblOffset val="100"/>
        <c:noMultiLvlLbl val="0"/>
      </c:catAx>
      <c:valAx>
        <c:axId val="1839858480"/>
        <c:scaling>
          <c:orientation val="minMax"/>
          <c:max val="8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crossAx val="183984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K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800"/>
              <a:t>(b) Coverage of social assistance programmes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title>
    <c:autoTitleDeleted val="0"/>
    <c:plotArea>
      <c:layout/>
      <c:barChart>
        <c:barDir val="col"/>
        <c:grouping val="clustered"/>
        <c:varyColors val="0"/>
        <c:ser>
          <c:idx val="0"/>
          <c:order val="0"/>
          <c:tx>
            <c:strRef>
              <c:f>'Data SP'!$A$58</c:f>
              <c:strCache>
                <c:ptCount val="1"/>
                <c:pt idx="0">
                  <c:v>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SP'!$B$57:$C$57</c:f>
              <c:numCache>
                <c:formatCode>General</c:formatCode>
                <c:ptCount val="2"/>
                <c:pt idx="0">
                  <c:v>2005</c:v>
                </c:pt>
                <c:pt idx="1">
                  <c:v>2015</c:v>
                </c:pt>
              </c:numCache>
            </c:numRef>
          </c:cat>
          <c:val>
            <c:numRef>
              <c:f>'Data SP'!$B$58:$C$58</c:f>
              <c:numCache>
                <c:formatCode>0.0</c:formatCode>
                <c:ptCount val="2"/>
                <c:pt idx="0">
                  <c:v>34.392313608310303</c:v>
                </c:pt>
                <c:pt idx="1">
                  <c:v>34.506549696752003</c:v>
                </c:pt>
              </c:numCache>
            </c:numRef>
          </c:val>
          <c:extLst>
            <c:ext xmlns:c16="http://schemas.microsoft.com/office/drawing/2014/chart" uri="{C3380CC4-5D6E-409C-BE32-E72D297353CC}">
              <c16:uniqueId val="{00000000-1099-4DB0-9204-28EBEFD2E77B}"/>
            </c:ext>
          </c:extLst>
        </c:ser>
        <c:ser>
          <c:idx val="1"/>
          <c:order val="1"/>
          <c:tx>
            <c:strRef>
              <c:f>'Data SP'!$A$59</c:f>
              <c:strCache>
                <c:ptCount val="1"/>
                <c:pt idx="0">
                  <c:v>II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SP'!$B$57:$C$57</c:f>
              <c:numCache>
                <c:formatCode>General</c:formatCode>
                <c:ptCount val="2"/>
                <c:pt idx="0">
                  <c:v>2005</c:v>
                </c:pt>
                <c:pt idx="1">
                  <c:v>2015</c:v>
                </c:pt>
              </c:numCache>
            </c:numRef>
          </c:cat>
          <c:val>
            <c:numRef>
              <c:f>'Data SP'!$B$59:$C$59</c:f>
              <c:numCache>
                <c:formatCode>0.0</c:formatCode>
                <c:ptCount val="2"/>
                <c:pt idx="0">
                  <c:v>23.086162788003101</c:v>
                </c:pt>
                <c:pt idx="1">
                  <c:v>27.927797944398598</c:v>
                </c:pt>
              </c:numCache>
            </c:numRef>
          </c:val>
          <c:extLst>
            <c:ext xmlns:c16="http://schemas.microsoft.com/office/drawing/2014/chart" uri="{C3380CC4-5D6E-409C-BE32-E72D297353CC}">
              <c16:uniqueId val="{00000001-1099-4DB0-9204-28EBEFD2E77B}"/>
            </c:ext>
          </c:extLst>
        </c:ser>
        <c:ser>
          <c:idx val="2"/>
          <c:order val="2"/>
          <c:tx>
            <c:strRef>
              <c:f>'Data SP'!$A$60</c:f>
              <c:strCache>
                <c:ptCount val="1"/>
                <c:pt idx="0">
                  <c:v>III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SP'!$B$57:$C$57</c:f>
              <c:numCache>
                <c:formatCode>General</c:formatCode>
                <c:ptCount val="2"/>
                <c:pt idx="0">
                  <c:v>2005</c:v>
                </c:pt>
                <c:pt idx="1">
                  <c:v>2015</c:v>
                </c:pt>
              </c:numCache>
            </c:numRef>
          </c:cat>
          <c:val>
            <c:numRef>
              <c:f>'Data SP'!$B$60:$C$60</c:f>
              <c:numCache>
                <c:formatCode>0.0</c:formatCode>
                <c:ptCount val="2"/>
                <c:pt idx="0">
                  <c:v>18.471525070583301</c:v>
                </c:pt>
                <c:pt idx="1">
                  <c:v>25.836768714702899</c:v>
                </c:pt>
              </c:numCache>
            </c:numRef>
          </c:val>
          <c:extLst>
            <c:ext xmlns:c16="http://schemas.microsoft.com/office/drawing/2014/chart" uri="{C3380CC4-5D6E-409C-BE32-E72D297353CC}">
              <c16:uniqueId val="{00000002-1099-4DB0-9204-28EBEFD2E77B}"/>
            </c:ext>
          </c:extLst>
        </c:ser>
        <c:ser>
          <c:idx val="3"/>
          <c:order val="3"/>
          <c:tx>
            <c:strRef>
              <c:f>'Data SP'!$A$61</c:f>
              <c:strCache>
                <c:ptCount val="1"/>
                <c:pt idx="0">
                  <c:v>IV</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SP'!$B$57:$C$57</c:f>
              <c:numCache>
                <c:formatCode>General</c:formatCode>
                <c:ptCount val="2"/>
                <c:pt idx="0">
                  <c:v>2005</c:v>
                </c:pt>
                <c:pt idx="1">
                  <c:v>2015</c:v>
                </c:pt>
              </c:numCache>
            </c:numRef>
          </c:cat>
          <c:val>
            <c:numRef>
              <c:f>'Data SP'!$B$61:$C$61</c:f>
              <c:numCache>
                <c:formatCode>0.0</c:formatCode>
                <c:ptCount val="2"/>
                <c:pt idx="0">
                  <c:v>13.8740776785561</c:v>
                </c:pt>
                <c:pt idx="1">
                  <c:v>24.4862339899422</c:v>
                </c:pt>
              </c:numCache>
            </c:numRef>
          </c:val>
          <c:extLst>
            <c:ext xmlns:c16="http://schemas.microsoft.com/office/drawing/2014/chart" uri="{C3380CC4-5D6E-409C-BE32-E72D297353CC}">
              <c16:uniqueId val="{00000003-1099-4DB0-9204-28EBEFD2E77B}"/>
            </c:ext>
          </c:extLst>
        </c:ser>
        <c:ser>
          <c:idx val="4"/>
          <c:order val="4"/>
          <c:tx>
            <c:strRef>
              <c:f>'Data SP'!$A$62</c:f>
              <c:strCache>
                <c:ptCount val="1"/>
                <c:pt idx="0">
                  <c:v>V</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SP'!$B$57:$C$57</c:f>
              <c:numCache>
                <c:formatCode>General</c:formatCode>
                <c:ptCount val="2"/>
                <c:pt idx="0">
                  <c:v>2005</c:v>
                </c:pt>
                <c:pt idx="1">
                  <c:v>2015</c:v>
                </c:pt>
              </c:numCache>
            </c:numRef>
          </c:cat>
          <c:val>
            <c:numRef>
              <c:f>'Data SP'!$B$62:$C$62</c:f>
              <c:numCache>
                <c:formatCode>0.0</c:formatCode>
                <c:ptCount val="2"/>
                <c:pt idx="0">
                  <c:v>10.3029800778425</c:v>
                </c:pt>
                <c:pt idx="1">
                  <c:v>19.4565852487519</c:v>
                </c:pt>
              </c:numCache>
            </c:numRef>
          </c:val>
          <c:extLst>
            <c:ext xmlns:c16="http://schemas.microsoft.com/office/drawing/2014/chart" uri="{C3380CC4-5D6E-409C-BE32-E72D297353CC}">
              <c16:uniqueId val="{00000004-1099-4DB0-9204-28EBEFD2E77B}"/>
            </c:ext>
          </c:extLst>
        </c:ser>
        <c:dLbls>
          <c:showLegendKey val="0"/>
          <c:showVal val="0"/>
          <c:showCatName val="0"/>
          <c:showSerName val="0"/>
          <c:showPercent val="0"/>
          <c:showBubbleSize val="0"/>
        </c:dLbls>
        <c:gapWidth val="219"/>
        <c:overlap val="-27"/>
        <c:axId val="1020993263"/>
        <c:axId val="1020991183"/>
      </c:barChart>
      <c:catAx>
        <c:axId val="102099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020991183"/>
        <c:crosses val="autoZero"/>
        <c:auto val="1"/>
        <c:lblAlgn val="ctr"/>
        <c:lblOffset val="100"/>
        <c:noMultiLvlLbl val="0"/>
      </c:catAx>
      <c:valAx>
        <c:axId val="10209911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020993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K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800">
                <a:latin typeface="Times New Roman" panose="02020603050405020304" pitchFamily="18" charset="0"/>
                <a:cs typeface="Times New Roman" panose="02020603050405020304" pitchFamily="18" charset="0"/>
              </a:rPr>
              <a:t>(a</a:t>
            </a:r>
            <a:r>
              <a:rPr lang="nl-NL" sz="800" b="0" i="0" u="none" strike="noStrike" baseline="0">
                <a:effectLst/>
                <a:latin typeface="Times New Roman" panose="02020603050405020304" pitchFamily="18" charset="0"/>
                <a:cs typeface="Times New Roman" panose="02020603050405020304" pitchFamily="18" charset="0"/>
              </a:rPr>
              <a:t>) Coverage of social insurance programmes</a:t>
            </a:r>
            <a:endParaRPr lang="nl-NL" sz="8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title>
    <c:autoTitleDeleted val="0"/>
    <c:plotArea>
      <c:layout/>
      <c:barChart>
        <c:barDir val="col"/>
        <c:grouping val="clustered"/>
        <c:varyColors val="0"/>
        <c:ser>
          <c:idx val="0"/>
          <c:order val="0"/>
          <c:tx>
            <c:strRef>
              <c:f>'Data SP'!$A$50</c:f>
              <c:strCache>
                <c:ptCount val="1"/>
                <c:pt idx="0">
                  <c:v>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SP'!$B$49:$C$49</c:f>
              <c:numCache>
                <c:formatCode>General</c:formatCode>
                <c:ptCount val="2"/>
                <c:pt idx="0">
                  <c:v>2005</c:v>
                </c:pt>
                <c:pt idx="1">
                  <c:v>2015</c:v>
                </c:pt>
              </c:numCache>
            </c:numRef>
          </c:cat>
          <c:val>
            <c:numRef>
              <c:f>'Data SP'!$B$50:$C$50</c:f>
              <c:numCache>
                <c:formatCode>0.0</c:formatCode>
                <c:ptCount val="2"/>
                <c:pt idx="0">
                  <c:v>0.48787273738578302</c:v>
                </c:pt>
                <c:pt idx="1">
                  <c:v>0.22063551075292701</c:v>
                </c:pt>
              </c:numCache>
            </c:numRef>
          </c:val>
          <c:extLst>
            <c:ext xmlns:c16="http://schemas.microsoft.com/office/drawing/2014/chart" uri="{C3380CC4-5D6E-409C-BE32-E72D297353CC}">
              <c16:uniqueId val="{00000000-97F6-4040-8328-E1556CACB492}"/>
            </c:ext>
          </c:extLst>
        </c:ser>
        <c:ser>
          <c:idx val="1"/>
          <c:order val="1"/>
          <c:tx>
            <c:strRef>
              <c:f>'Data SP'!$A$51</c:f>
              <c:strCache>
                <c:ptCount val="1"/>
                <c:pt idx="0">
                  <c:v>II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SP'!$B$49:$C$49</c:f>
              <c:numCache>
                <c:formatCode>General</c:formatCode>
                <c:ptCount val="2"/>
                <c:pt idx="0">
                  <c:v>2005</c:v>
                </c:pt>
                <c:pt idx="1">
                  <c:v>2015</c:v>
                </c:pt>
              </c:numCache>
            </c:numRef>
          </c:cat>
          <c:val>
            <c:numRef>
              <c:f>'Data SP'!$B$51:$C$51</c:f>
              <c:numCache>
                <c:formatCode>0.0</c:formatCode>
                <c:ptCount val="2"/>
                <c:pt idx="0">
                  <c:v>0.68910533513085503</c:v>
                </c:pt>
                <c:pt idx="1">
                  <c:v>0.74660136510655195</c:v>
                </c:pt>
              </c:numCache>
            </c:numRef>
          </c:val>
          <c:extLst>
            <c:ext xmlns:c16="http://schemas.microsoft.com/office/drawing/2014/chart" uri="{C3380CC4-5D6E-409C-BE32-E72D297353CC}">
              <c16:uniqueId val="{00000001-97F6-4040-8328-E1556CACB492}"/>
            </c:ext>
          </c:extLst>
        </c:ser>
        <c:ser>
          <c:idx val="2"/>
          <c:order val="2"/>
          <c:tx>
            <c:strRef>
              <c:f>'Data SP'!$A$52</c:f>
              <c:strCache>
                <c:ptCount val="1"/>
                <c:pt idx="0">
                  <c:v>III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SP'!$B$49:$C$49</c:f>
              <c:numCache>
                <c:formatCode>General</c:formatCode>
                <c:ptCount val="2"/>
                <c:pt idx="0">
                  <c:v>2005</c:v>
                </c:pt>
                <c:pt idx="1">
                  <c:v>2015</c:v>
                </c:pt>
              </c:numCache>
            </c:numRef>
          </c:cat>
          <c:val>
            <c:numRef>
              <c:f>'Data SP'!$B$52:$C$52</c:f>
              <c:numCache>
                <c:formatCode>0.0</c:formatCode>
                <c:ptCount val="2"/>
                <c:pt idx="0">
                  <c:v>1.98975846899707</c:v>
                </c:pt>
                <c:pt idx="1">
                  <c:v>0.73984657682011201</c:v>
                </c:pt>
              </c:numCache>
            </c:numRef>
          </c:val>
          <c:extLst>
            <c:ext xmlns:c16="http://schemas.microsoft.com/office/drawing/2014/chart" uri="{C3380CC4-5D6E-409C-BE32-E72D297353CC}">
              <c16:uniqueId val="{00000002-97F6-4040-8328-E1556CACB492}"/>
            </c:ext>
          </c:extLst>
        </c:ser>
        <c:ser>
          <c:idx val="3"/>
          <c:order val="3"/>
          <c:tx>
            <c:strRef>
              <c:f>'Data SP'!$A$53</c:f>
              <c:strCache>
                <c:ptCount val="1"/>
                <c:pt idx="0">
                  <c:v>IV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SP'!$B$49:$C$49</c:f>
              <c:numCache>
                <c:formatCode>General</c:formatCode>
                <c:ptCount val="2"/>
                <c:pt idx="0">
                  <c:v>2005</c:v>
                </c:pt>
                <c:pt idx="1">
                  <c:v>2015</c:v>
                </c:pt>
              </c:numCache>
            </c:numRef>
          </c:cat>
          <c:val>
            <c:numRef>
              <c:f>'Data SP'!$B$53:$C$53</c:f>
              <c:numCache>
                <c:formatCode>0.0</c:formatCode>
                <c:ptCount val="2"/>
                <c:pt idx="0">
                  <c:v>2.5646142847443398</c:v>
                </c:pt>
                <c:pt idx="1">
                  <c:v>1.47593185799251</c:v>
                </c:pt>
              </c:numCache>
            </c:numRef>
          </c:val>
          <c:extLst>
            <c:ext xmlns:c16="http://schemas.microsoft.com/office/drawing/2014/chart" uri="{C3380CC4-5D6E-409C-BE32-E72D297353CC}">
              <c16:uniqueId val="{00000003-97F6-4040-8328-E1556CACB492}"/>
            </c:ext>
          </c:extLst>
        </c:ser>
        <c:ser>
          <c:idx val="4"/>
          <c:order val="4"/>
          <c:tx>
            <c:strRef>
              <c:f>'Data SP'!$A$54</c:f>
              <c:strCache>
                <c:ptCount val="1"/>
                <c:pt idx="0">
                  <c:v>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SP'!$B$49:$C$49</c:f>
              <c:numCache>
                <c:formatCode>General</c:formatCode>
                <c:ptCount val="2"/>
                <c:pt idx="0">
                  <c:v>2005</c:v>
                </c:pt>
                <c:pt idx="1">
                  <c:v>2015</c:v>
                </c:pt>
              </c:numCache>
            </c:numRef>
          </c:cat>
          <c:val>
            <c:numRef>
              <c:f>'Data SP'!$B$54:$C$54</c:f>
              <c:numCache>
                <c:formatCode>0.0</c:formatCode>
                <c:ptCount val="2"/>
                <c:pt idx="0">
                  <c:v>3.8020435401707098</c:v>
                </c:pt>
                <c:pt idx="1">
                  <c:v>2.75714506692493</c:v>
                </c:pt>
              </c:numCache>
            </c:numRef>
          </c:val>
          <c:extLst>
            <c:ext xmlns:c16="http://schemas.microsoft.com/office/drawing/2014/chart" uri="{C3380CC4-5D6E-409C-BE32-E72D297353CC}">
              <c16:uniqueId val="{00000004-97F6-4040-8328-E1556CACB492}"/>
            </c:ext>
          </c:extLst>
        </c:ser>
        <c:dLbls>
          <c:showLegendKey val="0"/>
          <c:showVal val="0"/>
          <c:showCatName val="0"/>
          <c:showSerName val="0"/>
          <c:showPercent val="0"/>
          <c:showBubbleSize val="0"/>
        </c:dLbls>
        <c:gapWidth val="219"/>
        <c:overlap val="-27"/>
        <c:axId val="1020993263"/>
        <c:axId val="1020991183"/>
      </c:barChart>
      <c:catAx>
        <c:axId val="102099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020991183"/>
        <c:crosses val="autoZero"/>
        <c:auto val="1"/>
        <c:lblAlgn val="ctr"/>
        <c:lblOffset val="100"/>
        <c:noMultiLvlLbl val="0"/>
      </c:catAx>
      <c:valAx>
        <c:axId val="10209911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020993263"/>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K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'Completion rates 2014'!$B$1</c:f>
              <c:strCache>
                <c:ptCount val="1"/>
                <c:pt idx="0">
                  <c:v>2014 [YR2014]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'Completion rates 2014'!$A$2:$A$18</c:f>
              <c:strCache>
                <c:ptCount val="17"/>
                <c:pt idx="0">
                  <c:v>Primary education, poorest quintile</c:v>
                </c:pt>
                <c:pt idx="1">
                  <c:v>Primary education, second quintile</c:v>
                </c:pt>
                <c:pt idx="2">
                  <c:v>Primary education, middle quintile</c:v>
                </c:pt>
                <c:pt idx="3">
                  <c:v>Primary education, fourth quintile</c:v>
                </c:pt>
                <c:pt idx="4">
                  <c:v>Primary education, richest quintile</c:v>
                </c:pt>
                <c:pt idx="6">
                  <c:v>Lower secondary education, poorest quintile</c:v>
                </c:pt>
                <c:pt idx="7">
                  <c:v>Lower secondary education, second quintile</c:v>
                </c:pt>
                <c:pt idx="8">
                  <c:v>Lower secondary education, middle quintile</c:v>
                </c:pt>
                <c:pt idx="9">
                  <c:v>Lower secondary education, fourth quintile</c:v>
                </c:pt>
                <c:pt idx="10">
                  <c:v>Lower secondary education, richest quintile</c:v>
                </c:pt>
                <c:pt idx="12">
                  <c:v>Upper secondary education, poorest quintile</c:v>
                </c:pt>
                <c:pt idx="13">
                  <c:v>Upper secondary education, second quintile</c:v>
                </c:pt>
                <c:pt idx="14">
                  <c:v>Upper secondary education, middle quintile</c:v>
                </c:pt>
                <c:pt idx="15">
                  <c:v>Upper secondary education, fourth quintile</c:v>
                </c:pt>
                <c:pt idx="16">
                  <c:v>Upper secondary education, richest quintile</c:v>
                </c:pt>
              </c:strCache>
            </c:strRef>
          </c:cat>
          <c:val>
            <c:numRef>
              <c:f>'Completion rates 2014'!$B$2:$B$18</c:f>
              <c:numCache>
                <c:formatCode>0</c:formatCode>
                <c:ptCount val="17"/>
                <c:pt idx="0">
                  <c:v>63.138890000000004</c:v>
                </c:pt>
                <c:pt idx="1">
                  <c:v>80.371769999999998</c:v>
                </c:pt>
                <c:pt idx="2">
                  <c:v>88.477909999999994</c:v>
                </c:pt>
                <c:pt idx="3">
                  <c:v>93.161609999999996</c:v>
                </c:pt>
                <c:pt idx="4">
                  <c:v>96.541529999999995</c:v>
                </c:pt>
                <c:pt idx="6">
                  <c:v>41.722279999999998</c:v>
                </c:pt>
                <c:pt idx="7">
                  <c:v>59.409529999999997</c:v>
                </c:pt>
                <c:pt idx="8">
                  <c:v>73.333100000000002</c:v>
                </c:pt>
                <c:pt idx="9">
                  <c:v>82.961939999999998</c:v>
                </c:pt>
                <c:pt idx="10">
                  <c:v>92.150580000000005</c:v>
                </c:pt>
                <c:pt idx="12">
                  <c:v>11.17365</c:v>
                </c:pt>
                <c:pt idx="13">
                  <c:v>21.573450000000001</c:v>
                </c:pt>
                <c:pt idx="14">
                  <c:v>33.196539999999999</c:v>
                </c:pt>
                <c:pt idx="15">
                  <c:v>49.606189999999998</c:v>
                </c:pt>
                <c:pt idx="16">
                  <c:v>70.699330000000003</c:v>
                </c:pt>
              </c:numCache>
            </c:numRef>
          </c:val>
          <c:extLst>
            <c:ext xmlns:c16="http://schemas.microsoft.com/office/drawing/2014/chart" uri="{C3380CC4-5D6E-409C-BE32-E72D297353CC}">
              <c16:uniqueId val="{00000000-59D9-40BC-B570-21ED23F5E20A}"/>
            </c:ext>
          </c:extLst>
        </c:ser>
        <c:dLbls>
          <c:showLegendKey val="0"/>
          <c:showVal val="0"/>
          <c:showCatName val="0"/>
          <c:showSerName val="0"/>
          <c:showPercent val="0"/>
          <c:showBubbleSize val="0"/>
        </c:dLbls>
        <c:gapWidth val="182"/>
        <c:axId val="2078146191"/>
        <c:axId val="2078164495"/>
      </c:barChart>
      <c:catAx>
        <c:axId val="2078146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KE"/>
          </a:p>
        </c:txPr>
        <c:crossAx val="2078164495"/>
        <c:crosses val="autoZero"/>
        <c:auto val="1"/>
        <c:lblAlgn val="ctr"/>
        <c:lblOffset val="100"/>
        <c:noMultiLvlLbl val="0"/>
      </c:catAx>
      <c:valAx>
        <c:axId val="2078164495"/>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KE"/>
          </a:p>
        </c:txPr>
        <c:crossAx val="2078146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K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00">
                <a:latin typeface="Times New Roman" panose="02020603050405020304" pitchFamily="18" charset="0"/>
                <a:cs typeface="Times New Roman" panose="02020603050405020304" pitchFamily="18" charset="0"/>
              </a:rPr>
              <a:t>(b) GDP growth (annual %)</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title>
    <c:autoTitleDeleted val="0"/>
    <c:plotArea>
      <c:layout/>
      <c:lineChart>
        <c:grouping val="standard"/>
        <c:varyColors val="0"/>
        <c:ser>
          <c:idx val="1"/>
          <c:order val="1"/>
          <c:tx>
            <c:strRef>
              <c:f>'Data Tab1'!$A$3</c:f>
              <c:strCache>
                <c:ptCount val="1"/>
                <c:pt idx="0">
                  <c:v>GDP growth (annual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'Data Tab1'!$B$1:$W$1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'Data Tab1'!$B$3:$W$3</c:f>
              <c:numCache>
                <c:formatCode>0.0</c:formatCode>
                <c:ptCount val="22"/>
                <c:pt idx="0">
                  <c:v>0.59969539080742607</c:v>
                </c:pt>
                <c:pt idx="1">
                  <c:v>3.7799064979534336</c:v>
                </c:pt>
                <c:pt idx="2">
                  <c:v>0.54685953017559541</c:v>
                </c:pt>
                <c:pt idx="3">
                  <c:v>2.932475545709039</c:v>
                </c:pt>
                <c:pt idx="4">
                  <c:v>5.1042997762973812</c:v>
                </c:pt>
                <c:pt idx="5">
                  <c:v>5.9066660798005728</c:v>
                </c:pt>
                <c:pt idx="6">
                  <c:v>6.4724943001548354</c:v>
                </c:pt>
                <c:pt idx="7">
                  <c:v>6.8507297699878364</c:v>
                </c:pt>
                <c:pt idx="8">
                  <c:v>0.23228274481297717</c:v>
                </c:pt>
                <c:pt idx="9">
                  <c:v>3.3069398163108872</c:v>
                </c:pt>
                <c:pt idx="10">
                  <c:v>8.0584736029090607</c:v>
                </c:pt>
                <c:pt idx="11">
                  <c:v>5.1211061197056011</c:v>
                </c:pt>
                <c:pt idx="12">
                  <c:v>4.5686796144498203</c:v>
                </c:pt>
                <c:pt idx="13">
                  <c:v>3.7978483925754034</c:v>
                </c:pt>
                <c:pt idx="14">
                  <c:v>5.020111002324839</c:v>
                </c:pt>
                <c:pt idx="15">
                  <c:v>4.9677211275976703</c:v>
                </c:pt>
                <c:pt idx="16">
                  <c:v>4.2135170681474392</c:v>
                </c:pt>
                <c:pt idx="17">
                  <c:v>3.837958173647209</c:v>
                </c:pt>
                <c:pt idx="18">
                  <c:v>5.6479464070921921</c:v>
                </c:pt>
                <c:pt idx="19">
                  <c:v>5.1141588576780066</c:v>
                </c:pt>
                <c:pt idx="20">
                  <c:v>-0.25015570496837825</c:v>
                </c:pt>
                <c:pt idx="21">
                  <c:v>7.5173553870388616</c:v>
                </c:pt>
              </c:numCache>
            </c:numRef>
          </c:val>
          <c:smooth val="0"/>
          <c:extLst>
            <c:ext xmlns:c16="http://schemas.microsoft.com/office/drawing/2014/chart" uri="{C3380CC4-5D6E-409C-BE32-E72D297353CC}">
              <c16:uniqueId val="{00000000-1BC9-4905-92CF-DB5DA7985275}"/>
            </c:ext>
          </c:extLst>
        </c:ser>
        <c:dLbls>
          <c:showLegendKey val="0"/>
          <c:showVal val="0"/>
          <c:showCatName val="0"/>
          <c:showSerName val="0"/>
          <c:showPercent val="0"/>
          <c:showBubbleSize val="0"/>
        </c:dLbls>
        <c:marker val="1"/>
        <c:smooth val="0"/>
        <c:axId val="1440981231"/>
        <c:axId val="1440974991"/>
        <c:extLst>
          <c:ext xmlns:c15="http://schemas.microsoft.com/office/drawing/2012/chart" uri="{02D57815-91ED-43cb-92C2-25804820EDAC}">
            <c15:filteredLineSeries>
              <c15:ser>
                <c:idx val="0"/>
                <c:order val="0"/>
                <c:tx>
                  <c:strRef>
                    <c:extLst>
                      <c:ext uri="{02D57815-91ED-43cb-92C2-25804820EDAC}">
                        <c15:formulaRef>
                          <c15:sqref>'Data Tab1'!$A$2</c15:sqref>
                        </c15:formulaRef>
                      </c:ext>
                    </c:extLst>
                    <c:strCache>
                      <c:ptCount val="1"/>
                      <c:pt idx="0">
                        <c:v>GDP (constant 2015 US$ Billions)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'Data Tab1'!$B$1:$W$1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c:ext uri="{02D57815-91ED-43cb-92C2-25804820EDAC}">
                        <c15:formulaRef>
                          <c15:sqref>'Data Tab1'!$B$2:$W$2</c15:sqref>
                        </c15:formulaRef>
                      </c:ext>
                    </c:extLst>
                    <c:numCache>
                      <c:formatCode>0.0</c:formatCode>
                      <c:ptCount val="22"/>
                      <c:pt idx="0">
                        <c:v>36.630890562882399</c:v>
                      </c:pt>
                      <c:pt idx="1">
                        <c:v>38.015503975527004</c:v>
                      </c:pt>
                      <c:pt idx="2">
                        <c:v>38.223395381961446</c:v>
                      </c:pt>
                      <c:pt idx="3">
                        <c:v>39.344287104277143</c:v>
                      </c:pt>
                      <c:pt idx="4">
                        <c:v>41.35253746292657</c:v>
                      </c:pt>
                      <c:pt idx="5">
                        <c:v>43.795093766386067</c:v>
                      </c:pt>
                      <c:pt idx="6">
                        <c:v>46.62972871416288</c:v>
                      </c:pt>
                      <c:pt idx="7">
                        <c:v>49.8242054208486</c:v>
                      </c:pt>
                      <c:pt idx="8">
                        <c:v>49.939938452781405</c:v>
                      </c:pt>
                      <c:pt idx="9">
                        <c:v>51.591422161717581</c:v>
                      </c:pt>
                      <c:pt idx="10">
                        <c:v>55.74890329798496</c:v>
                      </c:pt>
                      <c:pt idx="11">
                        <c:v>58.603863796446824</c:v>
                      </c:pt>
                      <c:pt idx="12">
                        <c:v>61.281286574995029</c:v>
                      </c:pt>
                      <c:pt idx="13">
                        <c:v>63.608656932132995</c:v>
                      </c:pt>
                      <c:pt idx="14">
                        <c:v>66.801882117214063</c:v>
                      </c:pt>
                      <c:pt idx="15">
                        <c:v>70.120413328783798</c:v>
                      </c:pt>
                      <c:pt idx="16">
                        <c:v>73.074948912647628</c:v>
                      </c:pt>
                      <c:pt idx="17">
                        <c:v>75.8795348873291</c:v>
                      </c:pt>
                      <c:pt idx="18">
                        <c:v>80.165170351716256</c:v>
                      </c:pt>
                      <c:pt idx="19">
                        <c:v>84.264944512031221</c:v>
                      </c:pt>
                      <c:pt idx="20">
                        <c:v>84.054150946045922</c:v>
                      </c:pt>
                      <c:pt idx="21">
                        <c:v>90.372800190218285</c:v>
                      </c:pt>
                    </c:numCache>
                  </c:numRef>
                </c:val>
                <c:smooth val="0"/>
                <c:extLst>
                  <c:ext xmlns:c16="http://schemas.microsoft.com/office/drawing/2014/chart" uri="{C3380CC4-5D6E-409C-BE32-E72D297353CC}">
                    <c16:uniqueId val="{00000001-1BC9-4905-92CF-DB5DA7985275}"/>
                  </c:ext>
                </c:extLst>
              </c15:ser>
            </c15:filteredLineSeries>
          </c:ext>
        </c:extLst>
      </c:lineChart>
      <c:catAx>
        <c:axId val="1440981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440974991"/>
        <c:crosses val="autoZero"/>
        <c:auto val="1"/>
        <c:lblAlgn val="ctr"/>
        <c:lblOffset val="100"/>
        <c:noMultiLvlLbl val="0"/>
      </c:catAx>
      <c:valAx>
        <c:axId val="14409749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4409812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'Table 1'!$C$1</c:f>
              <c:strCache>
                <c:ptCount val="1"/>
                <c:pt idx="0">
                  <c:v>Multidimensional poverty</c:v>
                </c:pt>
              </c:strCache>
            </c:strRef>
          </c:tx>
          <c:spPr>
            <a:solidFill>
              <a:srgbClr val="C00000"/>
            </a:solidFill>
            <a:ln>
              <a:noFill/>
            </a:ln>
            <a:effectLst/>
          </c:spPr>
          <c:invertIfNegative val="0"/>
          <c:cat>
            <c:strRef>
              <c:f>'Table 1'!$A$2:$A$49</c:f>
              <c:strCache>
                <c:ptCount val="48"/>
                <c:pt idx="0">
                  <c:v>Nairobi</c:v>
                </c:pt>
                <c:pt idx="1">
                  <c:v>Meru</c:v>
                </c:pt>
                <c:pt idx="2">
                  <c:v>Nyeri</c:v>
                </c:pt>
                <c:pt idx="3">
                  <c:v>Kirinyaga</c:v>
                </c:pt>
                <c:pt idx="4">
                  <c:v>Narok</c:v>
                </c:pt>
                <c:pt idx="5">
                  <c:v>Kiambu</c:v>
                </c:pt>
                <c:pt idx="6">
                  <c:v>Machakos</c:v>
                </c:pt>
                <c:pt idx="7">
                  <c:v>Tharaka Nithi</c:v>
                </c:pt>
                <c:pt idx="8">
                  <c:v>Muranga</c:v>
                </c:pt>
                <c:pt idx="9">
                  <c:v>Mombasa</c:v>
                </c:pt>
                <c:pt idx="10">
                  <c:v>Embu</c:v>
                </c:pt>
                <c:pt idx="11">
                  <c:v>Lamu</c:v>
                </c:pt>
                <c:pt idx="12">
                  <c:v>Nakuru</c:v>
                </c:pt>
                <c:pt idx="13">
                  <c:v>Kericho</c:v>
                </c:pt>
                <c:pt idx="14">
                  <c:v>Taita Taveta</c:v>
                </c:pt>
                <c:pt idx="15">
                  <c:v>Nyamira</c:v>
                </c:pt>
                <c:pt idx="16">
                  <c:v>Homa Bay</c:v>
                </c:pt>
                <c:pt idx="17">
                  <c:v>Siaya</c:v>
                </c:pt>
                <c:pt idx="18">
                  <c:v>Kisumu</c:v>
                </c:pt>
                <c:pt idx="19">
                  <c:v>Trans Nzoia</c:v>
                </c:pt>
                <c:pt idx="20">
                  <c:v>Nyandarua</c:v>
                </c:pt>
                <c:pt idx="21">
                  <c:v>Makueni</c:v>
                </c:pt>
                <c:pt idx="22">
                  <c:v>Kakamega</c:v>
                </c:pt>
                <c:pt idx="23">
                  <c:v>Bungoma</c:v>
                </c:pt>
                <c:pt idx="24">
                  <c:v>Nandi</c:v>
                </c:pt>
                <c:pt idx="25">
                  <c:v>Baringo</c:v>
                </c:pt>
                <c:pt idx="26">
                  <c:v>Uasin Gishu</c:v>
                </c:pt>
                <c:pt idx="27">
                  <c:v>Migori</c:v>
                </c:pt>
                <c:pt idx="28">
                  <c:v>Kisii</c:v>
                </c:pt>
                <c:pt idx="29">
                  <c:v>Kajiado</c:v>
                </c:pt>
                <c:pt idx="30">
                  <c:v>Vihiga</c:v>
                </c:pt>
                <c:pt idx="31">
                  <c:v>Elgeyo Marakwet</c:v>
                </c:pt>
                <c:pt idx="32">
                  <c:v>Laikipia</c:v>
                </c:pt>
                <c:pt idx="33">
                  <c:v>Kili</c:v>
                </c:pt>
                <c:pt idx="34">
                  <c:v>Kitui</c:v>
                </c:pt>
                <c:pt idx="35">
                  <c:v>Kwale</c:v>
                </c:pt>
                <c:pt idx="36">
                  <c:v>Bomet</c:v>
                </c:pt>
                <c:pt idx="37">
                  <c:v>Isiolo</c:v>
                </c:pt>
                <c:pt idx="38">
                  <c:v>Tana River</c:v>
                </c:pt>
                <c:pt idx="39">
                  <c:v>West Pokot</c:v>
                </c:pt>
                <c:pt idx="40">
                  <c:v>Wajir</c:v>
                </c:pt>
                <c:pt idx="41">
                  <c:v>Marsabit</c:v>
                </c:pt>
                <c:pt idx="42">
                  <c:v>Garissa</c:v>
                </c:pt>
                <c:pt idx="43">
                  <c:v>Busia</c:v>
                </c:pt>
                <c:pt idx="44">
                  <c:v>Samburu</c:v>
                </c:pt>
                <c:pt idx="45">
                  <c:v>Mandera</c:v>
                </c:pt>
                <c:pt idx="46">
                  <c:v>Turkana</c:v>
                </c:pt>
                <c:pt idx="47">
                  <c:v>Kenya (total)</c:v>
                </c:pt>
              </c:strCache>
            </c:strRef>
          </c:cat>
          <c:val>
            <c:numRef>
              <c:f>'Table 1'!$C$2:$C$49</c:f>
              <c:numCache>
                <c:formatCode>General</c:formatCode>
                <c:ptCount val="48"/>
                <c:pt idx="0">
                  <c:v>12.6</c:v>
                </c:pt>
                <c:pt idx="1">
                  <c:v>56.6</c:v>
                </c:pt>
                <c:pt idx="2">
                  <c:v>31.9</c:v>
                </c:pt>
                <c:pt idx="3">
                  <c:v>36.200000000000003</c:v>
                </c:pt>
                <c:pt idx="4">
                  <c:v>77.400000000000006</c:v>
                </c:pt>
                <c:pt idx="5">
                  <c:v>18.100000000000001</c:v>
                </c:pt>
                <c:pt idx="6">
                  <c:v>39.4</c:v>
                </c:pt>
                <c:pt idx="7">
                  <c:v>62.1</c:v>
                </c:pt>
                <c:pt idx="8">
                  <c:v>43.2</c:v>
                </c:pt>
                <c:pt idx="9">
                  <c:v>24.5</c:v>
                </c:pt>
                <c:pt idx="10">
                  <c:v>39.799999999999997</c:v>
                </c:pt>
                <c:pt idx="11">
                  <c:v>51</c:v>
                </c:pt>
                <c:pt idx="12">
                  <c:v>46.3</c:v>
                </c:pt>
                <c:pt idx="13">
                  <c:v>50.8</c:v>
                </c:pt>
                <c:pt idx="14">
                  <c:v>40.1</c:v>
                </c:pt>
                <c:pt idx="15">
                  <c:v>69.8</c:v>
                </c:pt>
                <c:pt idx="16">
                  <c:v>78.400000000000006</c:v>
                </c:pt>
                <c:pt idx="17">
                  <c:v>68.8</c:v>
                </c:pt>
                <c:pt idx="18">
                  <c:v>35.5</c:v>
                </c:pt>
                <c:pt idx="19">
                  <c:v>58.7</c:v>
                </c:pt>
                <c:pt idx="20">
                  <c:v>32</c:v>
                </c:pt>
                <c:pt idx="21">
                  <c:v>59.7</c:v>
                </c:pt>
                <c:pt idx="22">
                  <c:v>70.8</c:v>
                </c:pt>
                <c:pt idx="23">
                  <c:v>71.900000000000006</c:v>
                </c:pt>
                <c:pt idx="24">
                  <c:v>52.9</c:v>
                </c:pt>
                <c:pt idx="25">
                  <c:v>60.3</c:v>
                </c:pt>
                <c:pt idx="26">
                  <c:v>42.1</c:v>
                </c:pt>
                <c:pt idx="27">
                  <c:v>73.3</c:v>
                </c:pt>
                <c:pt idx="28">
                  <c:v>52.2</c:v>
                </c:pt>
                <c:pt idx="29">
                  <c:v>37.799999999999997</c:v>
                </c:pt>
                <c:pt idx="30">
                  <c:v>65</c:v>
                </c:pt>
                <c:pt idx="31">
                  <c:v>47.3</c:v>
                </c:pt>
                <c:pt idx="32">
                  <c:v>58.9</c:v>
                </c:pt>
                <c:pt idx="33">
                  <c:v>59.9</c:v>
                </c:pt>
                <c:pt idx="34">
                  <c:v>80.2</c:v>
                </c:pt>
                <c:pt idx="35">
                  <c:v>74.599999999999994</c:v>
                </c:pt>
                <c:pt idx="36">
                  <c:v>76.2</c:v>
                </c:pt>
                <c:pt idx="37">
                  <c:v>53.1</c:v>
                </c:pt>
                <c:pt idx="38">
                  <c:v>62</c:v>
                </c:pt>
                <c:pt idx="39">
                  <c:v>82.2</c:v>
                </c:pt>
                <c:pt idx="40">
                  <c:v>90</c:v>
                </c:pt>
                <c:pt idx="41">
                  <c:v>85.8</c:v>
                </c:pt>
                <c:pt idx="42">
                  <c:v>69</c:v>
                </c:pt>
                <c:pt idx="43">
                  <c:v>70</c:v>
                </c:pt>
                <c:pt idx="44">
                  <c:v>84.7</c:v>
                </c:pt>
                <c:pt idx="45">
                  <c:v>91.5</c:v>
                </c:pt>
                <c:pt idx="46">
                  <c:v>86.3</c:v>
                </c:pt>
                <c:pt idx="47">
                  <c:v>53</c:v>
                </c:pt>
              </c:numCache>
            </c:numRef>
          </c:val>
          <c:extLst>
            <c:ext xmlns:c16="http://schemas.microsoft.com/office/drawing/2014/chart" uri="{C3380CC4-5D6E-409C-BE32-E72D297353CC}">
              <c16:uniqueId val="{00000000-5838-4A88-8294-BF60A757CC14}"/>
            </c:ext>
          </c:extLst>
        </c:ser>
        <c:ser>
          <c:idx val="2"/>
          <c:order val="2"/>
          <c:tx>
            <c:strRef>
              <c:f>'Table 1'!$D$1</c:f>
              <c:strCache>
                <c:ptCount val="1"/>
                <c:pt idx="0">
                  <c:v>Monetary poverty</c:v>
                </c:pt>
              </c:strCache>
            </c:strRef>
          </c:tx>
          <c:spPr>
            <a:solidFill>
              <a:schemeClr val="tx1"/>
            </a:solidFill>
            <a:ln>
              <a:noFill/>
            </a:ln>
            <a:effectLst/>
          </c:spPr>
          <c:invertIfNegative val="0"/>
          <c:cat>
            <c:strRef>
              <c:f>'Table 1'!$A$2:$A$49</c:f>
              <c:strCache>
                <c:ptCount val="48"/>
                <c:pt idx="0">
                  <c:v>Nairobi</c:v>
                </c:pt>
                <c:pt idx="1">
                  <c:v>Meru</c:v>
                </c:pt>
                <c:pt idx="2">
                  <c:v>Nyeri</c:v>
                </c:pt>
                <c:pt idx="3">
                  <c:v>Kirinyaga</c:v>
                </c:pt>
                <c:pt idx="4">
                  <c:v>Narok</c:v>
                </c:pt>
                <c:pt idx="5">
                  <c:v>Kiambu</c:v>
                </c:pt>
                <c:pt idx="6">
                  <c:v>Machakos</c:v>
                </c:pt>
                <c:pt idx="7">
                  <c:v>Tharaka Nithi</c:v>
                </c:pt>
                <c:pt idx="8">
                  <c:v>Muranga</c:v>
                </c:pt>
                <c:pt idx="9">
                  <c:v>Mombasa</c:v>
                </c:pt>
                <c:pt idx="10">
                  <c:v>Embu</c:v>
                </c:pt>
                <c:pt idx="11">
                  <c:v>Lamu</c:v>
                </c:pt>
                <c:pt idx="12">
                  <c:v>Nakuru</c:v>
                </c:pt>
                <c:pt idx="13">
                  <c:v>Kericho</c:v>
                </c:pt>
                <c:pt idx="14">
                  <c:v>Taita Taveta</c:v>
                </c:pt>
                <c:pt idx="15">
                  <c:v>Nyamira</c:v>
                </c:pt>
                <c:pt idx="16">
                  <c:v>Homa Bay</c:v>
                </c:pt>
                <c:pt idx="17">
                  <c:v>Siaya</c:v>
                </c:pt>
                <c:pt idx="18">
                  <c:v>Kisumu</c:v>
                </c:pt>
                <c:pt idx="19">
                  <c:v>Trans Nzoia</c:v>
                </c:pt>
                <c:pt idx="20">
                  <c:v>Nyandarua</c:v>
                </c:pt>
                <c:pt idx="21">
                  <c:v>Makueni</c:v>
                </c:pt>
                <c:pt idx="22">
                  <c:v>Kakamega</c:v>
                </c:pt>
                <c:pt idx="23">
                  <c:v>Bungoma</c:v>
                </c:pt>
                <c:pt idx="24">
                  <c:v>Nandi</c:v>
                </c:pt>
                <c:pt idx="25">
                  <c:v>Baringo</c:v>
                </c:pt>
                <c:pt idx="26">
                  <c:v>Uasin Gishu</c:v>
                </c:pt>
                <c:pt idx="27">
                  <c:v>Migori</c:v>
                </c:pt>
                <c:pt idx="28">
                  <c:v>Kisii</c:v>
                </c:pt>
                <c:pt idx="29">
                  <c:v>Kajiado</c:v>
                </c:pt>
                <c:pt idx="30">
                  <c:v>Vihiga</c:v>
                </c:pt>
                <c:pt idx="31">
                  <c:v>Elgeyo Marakwet</c:v>
                </c:pt>
                <c:pt idx="32">
                  <c:v>Laikipia</c:v>
                </c:pt>
                <c:pt idx="33">
                  <c:v>Kili</c:v>
                </c:pt>
                <c:pt idx="34">
                  <c:v>Kitui</c:v>
                </c:pt>
                <c:pt idx="35">
                  <c:v>Kwale</c:v>
                </c:pt>
                <c:pt idx="36">
                  <c:v>Bomet</c:v>
                </c:pt>
                <c:pt idx="37">
                  <c:v>Isiolo</c:v>
                </c:pt>
                <c:pt idx="38">
                  <c:v>Tana River</c:v>
                </c:pt>
                <c:pt idx="39">
                  <c:v>West Pokot</c:v>
                </c:pt>
                <c:pt idx="40">
                  <c:v>Wajir</c:v>
                </c:pt>
                <c:pt idx="41">
                  <c:v>Marsabit</c:v>
                </c:pt>
                <c:pt idx="42">
                  <c:v>Garissa</c:v>
                </c:pt>
                <c:pt idx="43">
                  <c:v>Busia</c:v>
                </c:pt>
                <c:pt idx="44">
                  <c:v>Samburu</c:v>
                </c:pt>
                <c:pt idx="45">
                  <c:v>Mandera</c:v>
                </c:pt>
                <c:pt idx="46">
                  <c:v>Turkana</c:v>
                </c:pt>
                <c:pt idx="47">
                  <c:v>Kenya (total)</c:v>
                </c:pt>
              </c:strCache>
            </c:strRef>
          </c:cat>
          <c:val>
            <c:numRef>
              <c:f>'Table 1'!$D$2:$D$49</c:f>
              <c:numCache>
                <c:formatCode>General</c:formatCode>
                <c:ptCount val="48"/>
                <c:pt idx="0">
                  <c:v>16.600000000000001</c:v>
                </c:pt>
                <c:pt idx="1">
                  <c:v>18.899999999999999</c:v>
                </c:pt>
                <c:pt idx="2">
                  <c:v>19</c:v>
                </c:pt>
                <c:pt idx="3">
                  <c:v>19.399999999999999</c:v>
                </c:pt>
                <c:pt idx="4">
                  <c:v>22.4</c:v>
                </c:pt>
                <c:pt idx="5">
                  <c:v>23</c:v>
                </c:pt>
                <c:pt idx="6">
                  <c:v>23.1</c:v>
                </c:pt>
                <c:pt idx="7">
                  <c:v>23.6</c:v>
                </c:pt>
                <c:pt idx="8">
                  <c:v>24.6</c:v>
                </c:pt>
                <c:pt idx="9">
                  <c:v>27.1</c:v>
                </c:pt>
                <c:pt idx="10">
                  <c:v>27.5</c:v>
                </c:pt>
                <c:pt idx="11">
                  <c:v>27.7</c:v>
                </c:pt>
                <c:pt idx="12">
                  <c:v>28.3</c:v>
                </c:pt>
                <c:pt idx="13">
                  <c:v>29.9</c:v>
                </c:pt>
                <c:pt idx="14">
                  <c:v>32</c:v>
                </c:pt>
                <c:pt idx="15">
                  <c:v>32.299999999999997</c:v>
                </c:pt>
                <c:pt idx="16">
                  <c:v>33</c:v>
                </c:pt>
                <c:pt idx="17">
                  <c:v>33.1</c:v>
                </c:pt>
                <c:pt idx="18">
                  <c:v>34.1</c:v>
                </c:pt>
                <c:pt idx="19">
                  <c:v>34.1</c:v>
                </c:pt>
                <c:pt idx="20">
                  <c:v>34.200000000000003</c:v>
                </c:pt>
                <c:pt idx="21">
                  <c:v>34.5</c:v>
                </c:pt>
                <c:pt idx="22">
                  <c:v>35.1</c:v>
                </c:pt>
                <c:pt idx="23">
                  <c:v>35.5</c:v>
                </c:pt>
                <c:pt idx="24">
                  <c:v>35.9</c:v>
                </c:pt>
                <c:pt idx="25">
                  <c:v>39.5</c:v>
                </c:pt>
                <c:pt idx="26">
                  <c:v>40.4</c:v>
                </c:pt>
                <c:pt idx="27">
                  <c:v>40.700000000000003</c:v>
                </c:pt>
                <c:pt idx="28">
                  <c:v>41.3</c:v>
                </c:pt>
                <c:pt idx="29">
                  <c:v>41.5</c:v>
                </c:pt>
                <c:pt idx="30">
                  <c:v>41.7</c:v>
                </c:pt>
                <c:pt idx="31">
                  <c:v>43.1</c:v>
                </c:pt>
                <c:pt idx="32">
                  <c:v>44.9</c:v>
                </c:pt>
                <c:pt idx="33">
                  <c:v>46.1</c:v>
                </c:pt>
                <c:pt idx="34">
                  <c:v>46.3</c:v>
                </c:pt>
                <c:pt idx="35">
                  <c:v>47.2</c:v>
                </c:pt>
                <c:pt idx="36">
                  <c:v>47.7</c:v>
                </c:pt>
                <c:pt idx="37">
                  <c:v>50.7</c:v>
                </c:pt>
                <c:pt idx="38">
                  <c:v>57</c:v>
                </c:pt>
                <c:pt idx="39">
                  <c:v>57.3</c:v>
                </c:pt>
                <c:pt idx="40">
                  <c:v>61.7</c:v>
                </c:pt>
                <c:pt idx="41">
                  <c:v>63.2</c:v>
                </c:pt>
                <c:pt idx="42">
                  <c:v>64.2</c:v>
                </c:pt>
                <c:pt idx="43">
                  <c:v>68.2</c:v>
                </c:pt>
                <c:pt idx="44">
                  <c:v>74.599999999999994</c:v>
                </c:pt>
                <c:pt idx="45">
                  <c:v>76.7</c:v>
                </c:pt>
                <c:pt idx="46">
                  <c:v>78.5</c:v>
                </c:pt>
                <c:pt idx="47">
                  <c:v>35.700000000000003</c:v>
                </c:pt>
              </c:numCache>
            </c:numRef>
          </c:val>
          <c:extLst>
            <c:ext xmlns:c16="http://schemas.microsoft.com/office/drawing/2014/chart" uri="{C3380CC4-5D6E-409C-BE32-E72D297353CC}">
              <c16:uniqueId val="{00000001-5838-4A88-8294-BF60A757CC14}"/>
            </c:ext>
          </c:extLst>
        </c:ser>
        <c:dLbls>
          <c:showLegendKey val="0"/>
          <c:showVal val="0"/>
          <c:showCatName val="0"/>
          <c:showSerName val="0"/>
          <c:showPercent val="0"/>
          <c:showBubbleSize val="0"/>
        </c:dLbls>
        <c:gapWidth val="182"/>
        <c:axId val="2094573471"/>
        <c:axId val="2094565983"/>
        <c:extLst>
          <c:ext xmlns:c15="http://schemas.microsoft.com/office/drawing/2012/chart" uri="{02D57815-91ED-43cb-92C2-25804820EDAC}">
            <c15:filteredBarSeries>
              <c15:ser>
                <c:idx val="0"/>
                <c:order val="0"/>
                <c:tx>
                  <c:strRef>
                    <c:extLst>
                      <c:ext uri="{02D57815-91ED-43cb-92C2-25804820EDAC}">
                        <c15:formulaRef>
                          <c15:sqref>'Table 1'!$B$1</c15:sqref>
                        </c15:formulaRef>
                      </c:ext>
                    </c:extLst>
                    <c:strCache>
                      <c:ptCount val="1"/>
                      <c:pt idx="0">
                        <c:v>Overlap</c:v>
                      </c:pt>
                    </c:strCache>
                  </c:strRef>
                </c:tx>
                <c:spPr>
                  <a:solidFill>
                    <a:schemeClr val="accent1"/>
                  </a:solidFill>
                  <a:ln>
                    <a:noFill/>
                  </a:ln>
                  <a:effectLst/>
                </c:spPr>
                <c:invertIfNegative val="0"/>
                <c:cat>
                  <c:strRef>
                    <c:extLst>
                      <c:ext uri="{02D57815-91ED-43cb-92C2-25804820EDAC}">
                        <c15:formulaRef>
                          <c15:sqref>'Table 1'!$A$2:$A$49</c15:sqref>
                        </c15:formulaRef>
                      </c:ext>
                    </c:extLst>
                    <c:strCache>
                      <c:ptCount val="48"/>
                      <c:pt idx="0">
                        <c:v>Nairobi</c:v>
                      </c:pt>
                      <c:pt idx="1">
                        <c:v>Meru</c:v>
                      </c:pt>
                      <c:pt idx="2">
                        <c:v>Nyeri</c:v>
                      </c:pt>
                      <c:pt idx="3">
                        <c:v>Kirinyaga</c:v>
                      </c:pt>
                      <c:pt idx="4">
                        <c:v>Narok</c:v>
                      </c:pt>
                      <c:pt idx="5">
                        <c:v>Kiambu</c:v>
                      </c:pt>
                      <c:pt idx="6">
                        <c:v>Machakos</c:v>
                      </c:pt>
                      <c:pt idx="7">
                        <c:v>Tharaka Nithi</c:v>
                      </c:pt>
                      <c:pt idx="8">
                        <c:v>Muranga</c:v>
                      </c:pt>
                      <c:pt idx="9">
                        <c:v>Mombasa</c:v>
                      </c:pt>
                      <c:pt idx="10">
                        <c:v>Embu</c:v>
                      </c:pt>
                      <c:pt idx="11">
                        <c:v>Lamu</c:v>
                      </c:pt>
                      <c:pt idx="12">
                        <c:v>Nakuru</c:v>
                      </c:pt>
                      <c:pt idx="13">
                        <c:v>Kericho</c:v>
                      </c:pt>
                      <c:pt idx="14">
                        <c:v>Taita Taveta</c:v>
                      </c:pt>
                      <c:pt idx="15">
                        <c:v>Nyamira</c:v>
                      </c:pt>
                      <c:pt idx="16">
                        <c:v>Homa Bay</c:v>
                      </c:pt>
                      <c:pt idx="17">
                        <c:v>Siaya</c:v>
                      </c:pt>
                      <c:pt idx="18">
                        <c:v>Kisumu</c:v>
                      </c:pt>
                      <c:pt idx="19">
                        <c:v>Trans Nzoia</c:v>
                      </c:pt>
                      <c:pt idx="20">
                        <c:v>Nyandarua</c:v>
                      </c:pt>
                      <c:pt idx="21">
                        <c:v>Makueni</c:v>
                      </c:pt>
                      <c:pt idx="22">
                        <c:v>Kakamega</c:v>
                      </c:pt>
                      <c:pt idx="23">
                        <c:v>Bungoma</c:v>
                      </c:pt>
                      <c:pt idx="24">
                        <c:v>Nandi</c:v>
                      </c:pt>
                      <c:pt idx="25">
                        <c:v>Baringo</c:v>
                      </c:pt>
                      <c:pt idx="26">
                        <c:v>Uasin Gishu</c:v>
                      </c:pt>
                      <c:pt idx="27">
                        <c:v>Migori</c:v>
                      </c:pt>
                      <c:pt idx="28">
                        <c:v>Kisii</c:v>
                      </c:pt>
                      <c:pt idx="29">
                        <c:v>Kajiado</c:v>
                      </c:pt>
                      <c:pt idx="30">
                        <c:v>Vihiga</c:v>
                      </c:pt>
                      <c:pt idx="31">
                        <c:v>Elgeyo Marakwet</c:v>
                      </c:pt>
                      <c:pt idx="32">
                        <c:v>Laikipia</c:v>
                      </c:pt>
                      <c:pt idx="33">
                        <c:v>Kili</c:v>
                      </c:pt>
                      <c:pt idx="34">
                        <c:v>Kitui</c:v>
                      </c:pt>
                      <c:pt idx="35">
                        <c:v>Kwale</c:v>
                      </c:pt>
                      <c:pt idx="36">
                        <c:v>Bomet</c:v>
                      </c:pt>
                      <c:pt idx="37">
                        <c:v>Isiolo</c:v>
                      </c:pt>
                      <c:pt idx="38">
                        <c:v>Tana River</c:v>
                      </c:pt>
                      <c:pt idx="39">
                        <c:v>West Pokot</c:v>
                      </c:pt>
                      <c:pt idx="40">
                        <c:v>Wajir</c:v>
                      </c:pt>
                      <c:pt idx="41">
                        <c:v>Marsabit</c:v>
                      </c:pt>
                      <c:pt idx="42">
                        <c:v>Garissa</c:v>
                      </c:pt>
                      <c:pt idx="43">
                        <c:v>Busia</c:v>
                      </c:pt>
                      <c:pt idx="44">
                        <c:v>Samburu</c:v>
                      </c:pt>
                      <c:pt idx="45">
                        <c:v>Mandera</c:v>
                      </c:pt>
                      <c:pt idx="46">
                        <c:v>Turkana</c:v>
                      </c:pt>
                      <c:pt idx="47">
                        <c:v>Kenya (total)</c:v>
                      </c:pt>
                    </c:strCache>
                  </c:strRef>
                </c:cat>
                <c:val>
                  <c:numRef>
                    <c:extLst>
                      <c:ext uri="{02D57815-91ED-43cb-92C2-25804820EDAC}">
                        <c15:formulaRef>
                          <c15:sqref>'Table 1'!$B$2:$B$49</c15:sqref>
                        </c15:formulaRef>
                      </c:ext>
                    </c:extLst>
                    <c:numCache>
                      <c:formatCode>General</c:formatCode>
                      <c:ptCount val="48"/>
                      <c:pt idx="0">
                        <c:v>5.4</c:v>
                      </c:pt>
                      <c:pt idx="1">
                        <c:v>15</c:v>
                      </c:pt>
                      <c:pt idx="2">
                        <c:v>8</c:v>
                      </c:pt>
                      <c:pt idx="3">
                        <c:v>13</c:v>
                      </c:pt>
                      <c:pt idx="4">
                        <c:v>20.6</c:v>
                      </c:pt>
                      <c:pt idx="5">
                        <c:v>9</c:v>
                      </c:pt>
                      <c:pt idx="6">
                        <c:v>14.7</c:v>
                      </c:pt>
                      <c:pt idx="7">
                        <c:v>18.399999999999999</c:v>
                      </c:pt>
                      <c:pt idx="8">
                        <c:v>16.7</c:v>
                      </c:pt>
                      <c:pt idx="9">
                        <c:v>10.7</c:v>
                      </c:pt>
                      <c:pt idx="10">
                        <c:v>17.399999999999999</c:v>
                      </c:pt>
                      <c:pt idx="11">
                        <c:v>16.3</c:v>
                      </c:pt>
                      <c:pt idx="12">
                        <c:v>19.100000000000001</c:v>
                      </c:pt>
                      <c:pt idx="13">
                        <c:v>21.2</c:v>
                      </c:pt>
                      <c:pt idx="14">
                        <c:v>20.399999999999999</c:v>
                      </c:pt>
                      <c:pt idx="15">
                        <c:v>28.1</c:v>
                      </c:pt>
                      <c:pt idx="16">
                        <c:v>29.7</c:v>
                      </c:pt>
                      <c:pt idx="17">
                        <c:v>25.7</c:v>
                      </c:pt>
                      <c:pt idx="18">
                        <c:v>17.100000000000001</c:v>
                      </c:pt>
                      <c:pt idx="19">
                        <c:v>27.2</c:v>
                      </c:pt>
                      <c:pt idx="20">
                        <c:v>13.2</c:v>
                      </c:pt>
                      <c:pt idx="21">
                        <c:v>28.4</c:v>
                      </c:pt>
                      <c:pt idx="22">
                        <c:v>31.5</c:v>
                      </c:pt>
                      <c:pt idx="23">
                        <c:v>30</c:v>
                      </c:pt>
                      <c:pt idx="24">
                        <c:v>28.3</c:v>
                      </c:pt>
                      <c:pt idx="25">
                        <c:v>34.799999999999997</c:v>
                      </c:pt>
                      <c:pt idx="26">
                        <c:v>25.4</c:v>
                      </c:pt>
                      <c:pt idx="27">
                        <c:v>32.200000000000003</c:v>
                      </c:pt>
                      <c:pt idx="28">
                        <c:v>30</c:v>
                      </c:pt>
                      <c:pt idx="29">
                        <c:v>24.9</c:v>
                      </c:pt>
                      <c:pt idx="30">
                        <c:v>36.4</c:v>
                      </c:pt>
                      <c:pt idx="31">
                        <c:v>26.5</c:v>
                      </c:pt>
                      <c:pt idx="32">
                        <c:v>38</c:v>
                      </c:pt>
                      <c:pt idx="33">
                        <c:v>35</c:v>
                      </c:pt>
                      <c:pt idx="34">
                        <c:v>42.3</c:v>
                      </c:pt>
                      <c:pt idx="35">
                        <c:v>41</c:v>
                      </c:pt>
                      <c:pt idx="36">
                        <c:v>42.6</c:v>
                      </c:pt>
                      <c:pt idx="37">
                        <c:v>30.5</c:v>
                      </c:pt>
                      <c:pt idx="38">
                        <c:v>43</c:v>
                      </c:pt>
                      <c:pt idx="39">
                        <c:v>51.7</c:v>
                      </c:pt>
                      <c:pt idx="40">
                        <c:v>57</c:v>
                      </c:pt>
                      <c:pt idx="41">
                        <c:v>59.7</c:v>
                      </c:pt>
                      <c:pt idx="42">
                        <c:v>47.8</c:v>
                      </c:pt>
                      <c:pt idx="43">
                        <c:v>52.6</c:v>
                      </c:pt>
                      <c:pt idx="44">
                        <c:v>70.599999999999994</c:v>
                      </c:pt>
                      <c:pt idx="45">
                        <c:v>73.5</c:v>
                      </c:pt>
                      <c:pt idx="46">
                        <c:v>72</c:v>
                      </c:pt>
                      <c:pt idx="47">
                        <c:v>26.7</c:v>
                      </c:pt>
                    </c:numCache>
                  </c:numRef>
                </c:val>
                <c:extLst>
                  <c:ext xmlns:c16="http://schemas.microsoft.com/office/drawing/2014/chart" uri="{C3380CC4-5D6E-409C-BE32-E72D297353CC}">
                    <c16:uniqueId val="{00000002-5838-4A88-8294-BF60A757CC14}"/>
                  </c:ext>
                </c:extLst>
              </c15:ser>
            </c15:filteredBarSeries>
          </c:ext>
        </c:extLst>
      </c:barChart>
      <c:catAx>
        <c:axId val="2094573471"/>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KE"/>
          </a:p>
        </c:txPr>
        <c:crossAx val="2094565983"/>
        <c:crosses val="autoZero"/>
        <c:auto val="1"/>
        <c:lblAlgn val="ctr"/>
        <c:lblOffset val="100"/>
        <c:noMultiLvlLbl val="0"/>
      </c:catAx>
      <c:valAx>
        <c:axId val="20945659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KE"/>
          </a:p>
        </c:txPr>
        <c:crossAx val="209457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K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'Data KHBS 2020b'!$A$75</c:f>
              <c:strCache>
                <c:ptCount val="1"/>
                <c:pt idx="0">
                  <c:v>Quintile 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KHBS 2020b'!$B$74:$D$74</c:f>
              <c:numCache>
                <c:formatCode>General</c:formatCode>
                <c:ptCount val="3"/>
                <c:pt idx="0">
                  <c:v>1994</c:v>
                </c:pt>
                <c:pt idx="1">
                  <c:v>2005</c:v>
                </c:pt>
                <c:pt idx="2">
                  <c:v>2015</c:v>
                </c:pt>
              </c:numCache>
            </c:numRef>
          </c:cat>
          <c:val>
            <c:numRef>
              <c:f>'Data KHBS 2020b'!$B$75:$D$75</c:f>
              <c:numCache>
                <c:formatCode>0</c:formatCode>
                <c:ptCount val="3"/>
                <c:pt idx="0">
                  <c:v>4.5999999999999996</c:v>
                </c:pt>
                <c:pt idx="1">
                  <c:v>4.2</c:v>
                </c:pt>
                <c:pt idx="2">
                  <c:v>6.1999999999999993</c:v>
                </c:pt>
              </c:numCache>
            </c:numRef>
          </c:val>
          <c:extLst>
            <c:ext xmlns:c16="http://schemas.microsoft.com/office/drawing/2014/chart" uri="{C3380CC4-5D6E-409C-BE32-E72D297353CC}">
              <c16:uniqueId val="{00000000-7CD8-41AB-97C9-0FCB140B7F69}"/>
            </c:ext>
          </c:extLst>
        </c:ser>
        <c:ser>
          <c:idx val="2"/>
          <c:order val="1"/>
          <c:tx>
            <c:strRef>
              <c:f>'Data KHBS 2020b'!$A$76</c:f>
              <c:strCache>
                <c:ptCount val="1"/>
                <c:pt idx="0">
                  <c:v>Quintile II</c:v>
                </c:pt>
              </c:strCache>
            </c:strRef>
          </c:tx>
          <c:spPr>
            <a:solidFill>
              <a:srgbClr val="008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KHBS 2020b'!$B$74:$D$74</c:f>
              <c:numCache>
                <c:formatCode>General</c:formatCode>
                <c:ptCount val="3"/>
                <c:pt idx="0">
                  <c:v>1994</c:v>
                </c:pt>
                <c:pt idx="1">
                  <c:v>2005</c:v>
                </c:pt>
                <c:pt idx="2">
                  <c:v>2015</c:v>
                </c:pt>
              </c:numCache>
            </c:numRef>
          </c:cat>
          <c:val>
            <c:numRef>
              <c:f>'Data KHBS 2020b'!$B$76:$D$76</c:f>
              <c:numCache>
                <c:formatCode>0</c:formatCode>
                <c:ptCount val="3"/>
                <c:pt idx="0">
                  <c:v>10.1</c:v>
                </c:pt>
                <c:pt idx="1">
                  <c:v>7.9</c:v>
                </c:pt>
                <c:pt idx="2">
                  <c:v>10.4</c:v>
                </c:pt>
              </c:numCache>
            </c:numRef>
          </c:val>
          <c:extLst>
            <c:ext xmlns:c16="http://schemas.microsoft.com/office/drawing/2014/chart" uri="{C3380CC4-5D6E-409C-BE32-E72D297353CC}">
              <c16:uniqueId val="{00000001-7CD8-41AB-97C9-0FCB140B7F69}"/>
            </c:ext>
          </c:extLst>
        </c:ser>
        <c:ser>
          <c:idx val="3"/>
          <c:order val="2"/>
          <c:tx>
            <c:strRef>
              <c:f>'Data KHBS 2020b'!$A$77</c:f>
              <c:strCache>
                <c:ptCount val="1"/>
                <c:pt idx="0">
                  <c:v>Quintile III</c:v>
                </c:pt>
              </c:strCache>
            </c:strRef>
          </c:tx>
          <c:spPr>
            <a:solidFill>
              <a:srgbClr val="FF717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KHBS 2020b'!$B$74:$D$74</c:f>
              <c:numCache>
                <c:formatCode>General</c:formatCode>
                <c:ptCount val="3"/>
                <c:pt idx="0">
                  <c:v>1994</c:v>
                </c:pt>
                <c:pt idx="1">
                  <c:v>2005</c:v>
                </c:pt>
                <c:pt idx="2">
                  <c:v>2015</c:v>
                </c:pt>
              </c:numCache>
            </c:numRef>
          </c:cat>
          <c:val>
            <c:numRef>
              <c:f>'Data KHBS 2020b'!$B$77:$D$77</c:f>
              <c:numCache>
                <c:formatCode>0</c:formatCode>
                <c:ptCount val="3"/>
                <c:pt idx="0">
                  <c:v>15</c:v>
                </c:pt>
                <c:pt idx="1">
                  <c:v>12.100000000000001</c:v>
                </c:pt>
                <c:pt idx="2">
                  <c:v>15</c:v>
                </c:pt>
              </c:numCache>
            </c:numRef>
          </c:val>
          <c:extLst>
            <c:ext xmlns:c16="http://schemas.microsoft.com/office/drawing/2014/chart" uri="{C3380CC4-5D6E-409C-BE32-E72D297353CC}">
              <c16:uniqueId val="{00000002-7CD8-41AB-97C9-0FCB140B7F69}"/>
            </c:ext>
          </c:extLst>
        </c:ser>
        <c:ser>
          <c:idx val="4"/>
          <c:order val="3"/>
          <c:tx>
            <c:strRef>
              <c:f>'Data KHBS 2020b'!$A$78</c:f>
              <c:strCache>
                <c:ptCount val="1"/>
                <c:pt idx="0">
                  <c:v>Quintile IV</c:v>
                </c:pt>
              </c:strCache>
            </c:strRef>
          </c:tx>
          <c:spPr>
            <a:solidFill>
              <a:srgbClr val="FF47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KHBS 2020b'!$B$74:$D$74</c:f>
              <c:numCache>
                <c:formatCode>General</c:formatCode>
                <c:ptCount val="3"/>
                <c:pt idx="0">
                  <c:v>1994</c:v>
                </c:pt>
                <c:pt idx="1">
                  <c:v>2005</c:v>
                </c:pt>
                <c:pt idx="2">
                  <c:v>2015</c:v>
                </c:pt>
              </c:numCache>
            </c:numRef>
          </c:cat>
          <c:val>
            <c:numRef>
              <c:f>'Data KHBS 2020b'!$B$78:$D$78</c:f>
              <c:numCache>
                <c:formatCode>0</c:formatCode>
                <c:ptCount val="3"/>
                <c:pt idx="0">
                  <c:v>22.3</c:v>
                </c:pt>
                <c:pt idx="1">
                  <c:v>18.8</c:v>
                </c:pt>
                <c:pt idx="2">
                  <c:v>22.3</c:v>
                </c:pt>
              </c:numCache>
            </c:numRef>
          </c:val>
          <c:extLst>
            <c:ext xmlns:c16="http://schemas.microsoft.com/office/drawing/2014/chart" uri="{C3380CC4-5D6E-409C-BE32-E72D297353CC}">
              <c16:uniqueId val="{00000003-7CD8-41AB-97C9-0FCB140B7F69}"/>
            </c:ext>
          </c:extLst>
        </c:ser>
        <c:ser>
          <c:idx val="5"/>
          <c:order val="4"/>
          <c:tx>
            <c:strRef>
              <c:f>'Data KHBS 2020b'!$A$79</c:f>
              <c:strCache>
                <c:ptCount val="1"/>
                <c:pt idx="0">
                  <c:v>Second-highest 10%</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KHBS 2020b'!$B$74:$D$74</c:f>
              <c:numCache>
                <c:formatCode>General</c:formatCode>
                <c:ptCount val="3"/>
                <c:pt idx="0">
                  <c:v>1994</c:v>
                </c:pt>
                <c:pt idx="1">
                  <c:v>2005</c:v>
                </c:pt>
                <c:pt idx="2">
                  <c:v>2015</c:v>
                </c:pt>
              </c:numCache>
            </c:numRef>
          </c:cat>
          <c:val>
            <c:numRef>
              <c:f>'Data KHBS 2020b'!$B$79:$D$79</c:f>
              <c:numCache>
                <c:formatCode>0</c:formatCode>
                <c:ptCount val="3"/>
                <c:pt idx="0">
                  <c:v>16.3</c:v>
                </c:pt>
                <c:pt idx="1">
                  <c:v>15.1</c:v>
                </c:pt>
                <c:pt idx="2">
                  <c:v>16.7</c:v>
                </c:pt>
              </c:numCache>
            </c:numRef>
          </c:val>
          <c:extLst>
            <c:ext xmlns:c16="http://schemas.microsoft.com/office/drawing/2014/chart" uri="{C3380CC4-5D6E-409C-BE32-E72D297353CC}">
              <c16:uniqueId val="{00000004-7CD8-41AB-97C9-0FCB140B7F69}"/>
            </c:ext>
          </c:extLst>
        </c:ser>
        <c:ser>
          <c:idx val="6"/>
          <c:order val="5"/>
          <c:tx>
            <c:strRef>
              <c:f>'Data KHBS 2020b'!$A$80</c:f>
              <c:strCache>
                <c:ptCount val="1"/>
                <c:pt idx="0">
                  <c:v>Top 10%</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KHBS 2020b'!$B$74:$D$74</c:f>
              <c:numCache>
                <c:formatCode>General</c:formatCode>
                <c:ptCount val="3"/>
                <c:pt idx="0">
                  <c:v>1994</c:v>
                </c:pt>
                <c:pt idx="1">
                  <c:v>2005</c:v>
                </c:pt>
                <c:pt idx="2">
                  <c:v>2015</c:v>
                </c:pt>
              </c:numCache>
            </c:numRef>
          </c:cat>
          <c:val>
            <c:numRef>
              <c:f>'Data KHBS 2020b'!$B$80:$D$80</c:f>
              <c:numCache>
                <c:formatCode>0</c:formatCode>
                <c:ptCount val="3"/>
                <c:pt idx="0">
                  <c:v>31.2</c:v>
                </c:pt>
                <c:pt idx="1">
                  <c:v>41.6</c:v>
                </c:pt>
                <c:pt idx="2">
                  <c:v>29.8</c:v>
                </c:pt>
              </c:numCache>
            </c:numRef>
          </c:val>
          <c:extLst>
            <c:ext xmlns:c16="http://schemas.microsoft.com/office/drawing/2014/chart" uri="{C3380CC4-5D6E-409C-BE32-E72D297353CC}">
              <c16:uniqueId val="{00000005-7CD8-41AB-97C9-0FCB140B7F69}"/>
            </c:ext>
          </c:extLst>
        </c:ser>
        <c:dLbls>
          <c:showLegendKey val="0"/>
          <c:showVal val="0"/>
          <c:showCatName val="0"/>
          <c:showSerName val="0"/>
          <c:showPercent val="0"/>
          <c:showBubbleSize val="0"/>
        </c:dLbls>
        <c:gapWidth val="219"/>
        <c:overlap val="100"/>
        <c:axId val="2034565536"/>
        <c:axId val="2034567200"/>
      </c:barChart>
      <c:catAx>
        <c:axId val="203456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2034567200"/>
        <c:crosses val="autoZero"/>
        <c:auto val="1"/>
        <c:lblAlgn val="ctr"/>
        <c:lblOffset val="100"/>
        <c:noMultiLvlLbl val="0"/>
      </c:catAx>
      <c:valAx>
        <c:axId val="2034567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crossAx val="203456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(b) Male employment</a:t>
            </a:r>
          </a:p>
        </c:rich>
      </c:tx>
      <c:layout>
        <c:manualLayout>
          <c:xMode val="edge"/>
          <c:yMode val="edge"/>
          <c:x val="0.33844332891224416"/>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title>
    <c:autoTitleDeleted val="0"/>
    <c:plotArea>
      <c:layout>
        <c:manualLayout>
          <c:layoutTarget val="inner"/>
          <c:xMode val="edge"/>
          <c:yMode val="edge"/>
          <c:x val="3.6273903934230668E-2"/>
          <c:y val="7.7599651673618986E-2"/>
          <c:w val="0.9459508926360487"/>
          <c:h val="0.56592786385572769"/>
        </c:manualLayout>
      </c:layout>
      <c:barChart>
        <c:barDir val="col"/>
        <c:grouping val="stacked"/>
        <c:varyColors val="0"/>
        <c:ser>
          <c:idx val="2"/>
          <c:order val="2"/>
          <c:tx>
            <c:strRef>
              <c:f>'Data LM'!$A$4</c:f>
              <c:strCache>
                <c:ptCount val="1"/>
                <c:pt idx="0">
                  <c:v>Agriculture modeled ILO estimate)</c:v>
                </c:pt>
              </c:strCache>
              <c:extLst xmlns:c15="http://schemas.microsoft.com/office/drawing/2012/chart"/>
            </c:strRef>
          </c:tx>
          <c:spPr>
            <a:solidFill>
              <a:srgbClr val="008000"/>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LM'!$C$4:$V$4</c:f>
              <c:numCache>
                <c:formatCode>0.0</c:formatCode>
                <c:ptCount val="20"/>
                <c:pt idx="0">
                  <c:v>40.009998321533203</c:v>
                </c:pt>
                <c:pt idx="1">
                  <c:v>43.130001068115199</c:v>
                </c:pt>
                <c:pt idx="2">
                  <c:v>46.470001220703097</c:v>
                </c:pt>
                <c:pt idx="3">
                  <c:v>49.4799995422363</c:v>
                </c:pt>
                <c:pt idx="4">
                  <c:v>52.110000610351598</c:v>
                </c:pt>
                <c:pt idx="5">
                  <c:v>54.799999237060497</c:v>
                </c:pt>
                <c:pt idx="6">
                  <c:v>54.720001220703097</c:v>
                </c:pt>
                <c:pt idx="7">
                  <c:v>54.540000915527301</c:v>
                </c:pt>
                <c:pt idx="8">
                  <c:v>54.9799995422363</c:v>
                </c:pt>
                <c:pt idx="9">
                  <c:v>55.009998321533203</c:v>
                </c:pt>
                <c:pt idx="10">
                  <c:v>54.409999847412102</c:v>
                </c:pt>
                <c:pt idx="11">
                  <c:v>53.919998168945298</c:v>
                </c:pt>
                <c:pt idx="12">
                  <c:v>53.540000915527301</c:v>
                </c:pt>
                <c:pt idx="13">
                  <c:v>53.009998321533203</c:v>
                </c:pt>
                <c:pt idx="14">
                  <c:v>52.5</c:v>
                </c:pt>
                <c:pt idx="15">
                  <c:v>51.939998626708999</c:v>
                </c:pt>
                <c:pt idx="16">
                  <c:v>51.330001831054702</c:v>
                </c:pt>
                <c:pt idx="17">
                  <c:v>50.830001831054702</c:v>
                </c:pt>
                <c:pt idx="18">
                  <c:v>50.139999389648402</c:v>
                </c:pt>
                <c:pt idx="19">
                  <c:v>49.549999237060497</c:v>
                </c:pt>
              </c:numCache>
              <c:extLst/>
            </c:numRef>
          </c:val>
          <c:extLst>
            <c:ext xmlns:c16="http://schemas.microsoft.com/office/drawing/2014/chart" uri="{C3380CC4-5D6E-409C-BE32-E72D297353CC}">
              <c16:uniqueId val="{00000000-E7C1-458D-9C9A-EDECE53A91E0}"/>
            </c:ext>
          </c:extLst>
        </c:ser>
        <c:ser>
          <c:idx val="5"/>
          <c:order val="5"/>
          <c:tx>
            <c:strRef>
              <c:f>'Data LM'!$A$7</c:f>
              <c:strCache>
                <c:ptCount val="1"/>
                <c:pt idx="0">
                  <c:v>Industry (modeled ILO estimate)</c:v>
                </c:pt>
              </c:strCache>
              <c:extLst xmlns:c15="http://schemas.microsoft.com/office/drawing/2012/chart"/>
            </c:strRef>
          </c:tx>
          <c:spPr>
            <a:solidFill>
              <a:srgbClr val="CC3300"/>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LM'!$C$7:$V$7</c:f>
              <c:numCache>
                <c:formatCode>0.0</c:formatCode>
                <c:ptCount val="20"/>
                <c:pt idx="0">
                  <c:v>16.420000076293899</c:v>
                </c:pt>
                <c:pt idx="1">
                  <c:v>14.8900003433228</c:v>
                </c:pt>
                <c:pt idx="2">
                  <c:v>13.539999961853001</c:v>
                </c:pt>
                <c:pt idx="3">
                  <c:v>12.3800001144409</c:v>
                </c:pt>
                <c:pt idx="4">
                  <c:v>11.449999809265099</c:v>
                </c:pt>
                <c:pt idx="5">
                  <c:v>10.6199998855591</c:v>
                </c:pt>
                <c:pt idx="6">
                  <c:v>10.3699998855591</c:v>
                </c:pt>
                <c:pt idx="7">
                  <c:v>10.189999580383301</c:v>
                </c:pt>
                <c:pt idx="8">
                  <c:v>10.0100002288818</c:v>
                </c:pt>
                <c:pt idx="9">
                  <c:v>9.9099998474121094</c:v>
                </c:pt>
                <c:pt idx="10">
                  <c:v>9.9200000762939506</c:v>
                </c:pt>
                <c:pt idx="11">
                  <c:v>9.9700002670288104</c:v>
                </c:pt>
                <c:pt idx="12">
                  <c:v>10.0200004577637</c:v>
                </c:pt>
                <c:pt idx="13">
                  <c:v>10.1000003814697</c:v>
                </c:pt>
                <c:pt idx="14">
                  <c:v>10.180000305175801</c:v>
                </c:pt>
                <c:pt idx="15">
                  <c:v>10.2799997329712</c:v>
                </c:pt>
                <c:pt idx="16">
                  <c:v>10.3800001144409</c:v>
                </c:pt>
                <c:pt idx="17">
                  <c:v>10.4700002670288</c:v>
                </c:pt>
                <c:pt idx="18">
                  <c:v>10.579999923706101</c:v>
                </c:pt>
                <c:pt idx="19">
                  <c:v>10.6300001144409</c:v>
                </c:pt>
              </c:numCache>
              <c:extLst/>
            </c:numRef>
          </c:val>
          <c:extLst>
            <c:ext xmlns:c16="http://schemas.microsoft.com/office/drawing/2014/chart" uri="{C3380CC4-5D6E-409C-BE32-E72D297353CC}">
              <c16:uniqueId val="{00000001-E7C1-458D-9C9A-EDECE53A91E0}"/>
            </c:ext>
          </c:extLst>
        </c:ser>
        <c:ser>
          <c:idx val="8"/>
          <c:order val="8"/>
          <c:tx>
            <c:strRef>
              <c:f>'Data LM'!$A$10</c:f>
              <c:strCache>
                <c:ptCount val="1"/>
                <c:pt idx="0">
                  <c:v>Services (modeled ILO estimate)</c:v>
                </c:pt>
              </c:strCache>
              <c:extLst xmlns:c15="http://schemas.microsoft.com/office/drawing/2012/chart"/>
            </c:strRef>
          </c:tx>
          <c:spPr>
            <a:solidFill>
              <a:schemeClr val="tx1"/>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LM'!$C$10:$V$10</c:f>
              <c:numCache>
                <c:formatCode>0.0</c:formatCode>
                <c:ptCount val="20"/>
                <c:pt idx="0">
                  <c:v>43.569999694824197</c:v>
                </c:pt>
                <c:pt idx="1">
                  <c:v>41.9799995422363</c:v>
                </c:pt>
                <c:pt idx="2">
                  <c:v>39.990001678466797</c:v>
                </c:pt>
                <c:pt idx="3">
                  <c:v>38.139999389648402</c:v>
                </c:pt>
                <c:pt idx="4">
                  <c:v>36.439998626708999</c:v>
                </c:pt>
                <c:pt idx="5">
                  <c:v>34.590000152587898</c:v>
                </c:pt>
                <c:pt idx="6">
                  <c:v>34.909999847412102</c:v>
                </c:pt>
                <c:pt idx="7">
                  <c:v>35.2700004577637</c:v>
                </c:pt>
                <c:pt idx="8">
                  <c:v>35.0200004577637</c:v>
                </c:pt>
                <c:pt idx="9">
                  <c:v>35.080001831054702</c:v>
                </c:pt>
                <c:pt idx="10">
                  <c:v>35.680000305175803</c:v>
                </c:pt>
                <c:pt idx="11">
                  <c:v>36.110000610351598</c:v>
                </c:pt>
                <c:pt idx="12">
                  <c:v>36.439998626708999</c:v>
                </c:pt>
                <c:pt idx="13">
                  <c:v>36.889999389648402</c:v>
                </c:pt>
                <c:pt idx="14">
                  <c:v>37.319999694824197</c:v>
                </c:pt>
                <c:pt idx="15">
                  <c:v>37.779998779296903</c:v>
                </c:pt>
                <c:pt idx="16">
                  <c:v>38.290000915527301</c:v>
                </c:pt>
                <c:pt idx="17">
                  <c:v>38.700000762939503</c:v>
                </c:pt>
                <c:pt idx="18">
                  <c:v>39.290000915527301</c:v>
                </c:pt>
                <c:pt idx="19">
                  <c:v>39.819999694824197</c:v>
                </c:pt>
              </c:numCache>
              <c:extLst/>
            </c:numRef>
          </c:val>
          <c:extLst>
            <c:ext xmlns:c16="http://schemas.microsoft.com/office/drawing/2014/chart" uri="{C3380CC4-5D6E-409C-BE32-E72D297353CC}">
              <c16:uniqueId val="{00000002-E7C1-458D-9C9A-EDECE53A91E0}"/>
            </c:ext>
          </c:extLst>
        </c:ser>
        <c:ser>
          <c:idx val="11"/>
          <c:order val="11"/>
          <c:tx>
            <c:strRef>
              <c:f>'Data LM'!#REF!</c:f>
              <c:strCache>
                <c:ptCount val="1"/>
                <c:pt idx="0">
                  <c:v>#REF!</c:v>
                </c:pt>
              </c:strCache>
              <c:extLst xmlns:c15="http://schemas.microsoft.com/office/drawing/2012/chart"/>
            </c:strRef>
          </c:tx>
          <c:spPr>
            <a:solidFill>
              <a:schemeClr val="accent6">
                <a:lumMod val="60000"/>
              </a:schemeClr>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extLst xmlns:c15="http://schemas.microsoft.com/office/drawing/2012/chart">
            <c:ext xmlns:c16="http://schemas.microsoft.com/office/drawing/2014/chart" uri="{C3380CC4-5D6E-409C-BE32-E72D297353CC}">
              <c16:uniqueId val="{0000000B-E7C1-458D-9C9A-EDECE53A91E0}"/>
            </c:ext>
          </c:extLst>
        </c:ser>
        <c:ser>
          <c:idx val="12"/>
          <c:order val="12"/>
          <c:tx>
            <c:strRef>
              <c:f>'Data LM'!#REF!</c:f>
              <c:strCache>
                <c:ptCount val="1"/>
                <c:pt idx="0">
                  <c:v>#REF!</c:v>
                </c:pt>
              </c:strCache>
              <c:extLst xmlns:c15="http://schemas.microsoft.com/office/drawing/2012/chart"/>
            </c:strRef>
          </c:tx>
          <c:spPr>
            <a:solidFill>
              <a:schemeClr val="accent1">
                <a:lumMod val="80000"/>
                <a:lumOff val="20000"/>
              </a:schemeClr>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extLst xmlns:c15="http://schemas.microsoft.com/office/drawing/2012/chart">
            <c:ext xmlns:c16="http://schemas.microsoft.com/office/drawing/2014/chart" uri="{C3380CC4-5D6E-409C-BE32-E72D297353CC}">
              <c16:uniqueId val="{0000000C-E7C1-458D-9C9A-EDECE53A91E0}"/>
            </c:ext>
          </c:extLst>
        </c:ser>
        <c:ser>
          <c:idx val="13"/>
          <c:order val="13"/>
          <c:tx>
            <c:strRef>
              <c:f>'Data LM'!#REF!</c:f>
              <c:strCache>
                <c:ptCount val="1"/>
                <c:pt idx="0">
                  <c:v>#REF!</c:v>
                </c:pt>
              </c:strCache>
              <c:extLst xmlns:c15="http://schemas.microsoft.com/office/drawing/2012/chart"/>
            </c:strRef>
          </c:tx>
          <c:spPr>
            <a:solidFill>
              <a:schemeClr val="accent2">
                <a:lumMod val="80000"/>
                <a:lumOff val="20000"/>
              </a:schemeClr>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extLst xmlns:c15="http://schemas.microsoft.com/office/drawing/2012/chart">
            <c:ext xmlns:c16="http://schemas.microsoft.com/office/drawing/2014/chart" uri="{C3380CC4-5D6E-409C-BE32-E72D297353CC}">
              <c16:uniqueId val="{0000000D-E7C1-458D-9C9A-EDECE53A91E0}"/>
            </c:ext>
          </c:extLst>
        </c:ser>
        <c:dLbls>
          <c:showLegendKey val="0"/>
          <c:showVal val="0"/>
          <c:showCatName val="0"/>
          <c:showSerName val="0"/>
          <c:showPercent val="0"/>
          <c:showBubbleSize val="0"/>
        </c:dLbls>
        <c:gapWidth val="150"/>
        <c:overlap val="100"/>
        <c:axId val="1839849744"/>
        <c:axId val="1839858480"/>
        <c:extLst>
          <c:ext xmlns:c15="http://schemas.microsoft.com/office/drawing/2012/chart" uri="{02D57815-91ED-43cb-92C2-25804820EDAC}">
            <c15:filteredBarSeries>
              <c15:ser>
                <c:idx val="0"/>
                <c:order val="0"/>
                <c:tx>
                  <c:strRef>
                    <c:extLst>
                      <c:ext uri="{02D57815-91ED-43cb-92C2-25804820EDAC}">
                        <c15:formulaRef>
                          <c15:sqref>'Data LM'!$A$2</c15:sqref>
                        </c15:formulaRef>
                      </c:ext>
                    </c:extLst>
                    <c:strCache>
                      <c:ptCount val="1"/>
                      <c:pt idx="0">
                        <c:v>Employment in agriculture (% of total employment) (modeled ILO estimate)</c:v>
                      </c:pt>
                    </c:strCache>
                  </c:strRef>
                </c:tx>
                <c:spPr>
                  <a:solidFill>
                    <a:schemeClr val="accent1"/>
                  </a:solidFill>
                  <a:ln>
                    <a:noFill/>
                  </a:ln>
                  <a:effectLst/>
                </c:spPr>
                <c:invertIfNegative val="0"/>
                <c:cat>
                  <c:numRef>
                    <c:extLst>
                      <c:ex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'Data LM'!$C$2:$V$2</c15:sqref>
                        </c15:formulaRef>
                      </c:ext>
                    </c:extLst>
                    <c:numCache>
                      <c:formatCode>0.0</c:formatCode>
                      <c:ptCount val="20"/>
                      <c:pt idx="0">
                        <c:v>48.7299995422363</c:v>
                      </c:pt>
                      <c:pt idx="1">
                        <c:v>51.5</c:v>
                      </c:pt>
                      <c:pt idx="2">
                        <c:v>54.279998779296903</c:v>
                      </c:pt>
                      <c:pt idx="3">
                        <c:v>56.759998321533203</c:v>
                      </c:pt>
                      <c:pt idx="4">
                        <c:v>58.930000305175803</c:v>
                      </c:pt>
                      <c:pt idx="5">
                        <c:v>61.060001373291001</c:v>
                      </c:pt>
                      <c:pt idx="6">
                        <c:v>61.139999389648402</c:v>
                      </c:pt>
                      <c:pt idx="7">
                        <c:v>60.970001220703097</c:v>
                      </c:pt>
                      <c:pt idx="8">
                        <c:v>61.110000610351598</c:v>
                      </c:pt>
                      <c:pt idx="9">
                        <c:v>60.939998626708999</c:v>
                      </c:pt>
                      <c:pt idx="10">
                        <c:v>60.319999694824197</c:v>
                      </c:pt>
                      <c:pt idx="11">
                        <c:v>59.740001678466797</c:v>
                      </c:pt>
                      <c:pt idx="12">
                        <c:v>59.220001220703097</c:v>
                      </c:pt>
                      <c:pt idx="13">
                        <c:v>58.590000152587898</c:v>
                      </c:pt>
                      <c:pt idx="14">
                        <c:v>57.939998626708999</c:v>
                      </c:pt>
                      <c:pt idx="15">
                        <c:v>57.259998321533203</c:v>
                      </c:pt>
                      <c:pt idx="16">
                        <c:v>56.529998779296903</c:v>
                      </c:pt>
                      <c:pt idx="17">
                        <c:v>55.860000610351598</c:v>
                      </c:pt>
                      <c:pt idx="18">
                        <c:v>55.080001831054702</c:v>
                      </c:pt>
                      <c:pt idx="19">
                        <c:v>54.340000152587898</c:v>
                      </c:pt>
                    </c:numCache>
                  </c:numRef>
                </c:val>
                <c:extLst>
                  <c:ext xmlns:c16="http://schemas.microsoft.com/office/drawing/2014/chart" uri="{C3380CC4-5D6E-409C-BE32-E72D297353CC}">
                    <c16:uniqueId val="{00000003-E7C1-458D-9C9A-EDECE53A91E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'Data LM'!$A$3</c15:sqref>
                        </c15:formulaRef>
                      </c:ext>
                    </c:extLst>
                    <c:strCache>
                      <c:ptCount val="1"/>
                      <c:pt idx="0">
                        <c:v>Agriculture modeled ILO estimate)</c:v>
                      </c:pt>
                    </c:strCache>
                  </c:strRef>
                </c:tx>
                <c:spPr>
                  <a:solidFill>
                    <a:srgbClr val="008000"/>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LM'!$C$3:$V$3</c15:sqref>
                        </c15:formulaRef>
                      </c:ext>
                    </c:extLst>
                    <c:numCache>
                      <c:formatCode>0.0</c:formatCode>
                      <c:ptCount val="20"/>
                      <c:pt idx="0">
                        <c:v>57.740001678466797</c:v>
                      </c:pt>
                      <c:pt idx="1">
                        <c:v>60.290000915527301</c:v>
                      </c:pt>
                      <c:pt idx="2">
                        <c:v>62.599998474121101</c:v>
                      </c:pt>
                      <c:pt idx="3">
                        <c:v>64.660003662109403</c:v>
                      </c:pt>
                      <c:pt idx="4">
                        <c:v>66.459999084472699</c:v>
                      </c:pt>
                      <c:pt idx="5">
                        <c:v>68.110000610351605</c:v>
                      </c:pt>
                      <c:pt idx="6">
                        <c:v>68.330001831054702</c:v>
                      </c:pt>
                      <c:pt idx="7">
                        <c:v>68.129997253417997</c:v>
                      </c:pt>
                      <c:pt idx="8">
                        <c:v>67.879997253417997</c:v>
                      </c:pt>
                      <c:pt idx="9">
                        <c:v>67.449996948242202</c:v>
                      </c:pt>
                      <c:pt idx="10">
                        <c:v>66.790000915527301</c:v>
                      </c:pt>
                      <c:pt idx="11">
                        <c:v>66.069999694824205</c:v>
                      </c:pt>
                      <c:pt idx="12">
                        <c:v>65.360000610351605</c:v>
                      </c:pt>
                      <c:pt idx="13">
                        <c:v>64.589996337890597</c:v>
                      </c:pt>
                      <c:pt idx="14">
                        <c:v>63.779998779296903</c:v>
                      </c:pt>
                      <c:pt idx="15">
                        <c:v>62.919998168945298</c:v>
                      </c:pt>
                      <c:pt idx="16">
                        <c:v>62.049999237060497</c:v>
                      </c:pt>
                      <c:pt idx="17">
                        <c:v>61.150001525878899</c:v>
                      </c:pt>
                      <c:pt idx="18">
                        <c:v>60.240001678466797</c:v>
                      </c:pt>
                      <c:pt idx="19">
                        <c:v>59.340000152587898</c:v>
                      </c:pt>
                    </c:numCache>
                  </c:numRef>
                </c:val>
                <c:extLst xmlns:c15="http://schemas.microsoft.com/office/drawing/2012/chart">
                  <c:ext xmlns:c16="http://schemas.microsoft.com/office/drawing/2014/chart" uri="{C3380CC4-5D6E-409C-BE32-E72D297353CC}">
                    <c16:uniqueId val="{00000004-E7C1-458D-9C9A-EDECE53A91E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'Data LM'!$A$5</c15:sqref>
                        </c15:formulaRef>
                      </c:ext>
                    </c:extLst>
                    <c:strCache>
                      <c:ptCount val="1"/>
                      <c:pt idx="0">
                        <c:v>Employment in industry (% of total employment) (modeled ILO estimate)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LM'!$C$5:$V$5</c15:sqref>
                        </c15:formulaRef>
                      </c:ext>
                    </c:extLst>
                    <c:numCache>
                      <c:formatCode>0.0</c:formatCode>
                      <c:ptCount val="20"/>
                      <c:pt idx="0">
                        <c:v>11.569999694824199</c:v>
                      </c:pt>
                      <c:pt idx="1">
                        <c:v>10.189999580383301</c:v>
                      </c:pt>
                      <c:pt idx="2">
                        <c:v>9.0500001907348597</c:v>
                      </c:pt>
                      <c:pt idx="3">
                        <c:v>8.0900001525878906</c:v>
                      </c:pt>
                      <c:pt idx="4">
                        <c:v>7.3400001525878897</c:v>
                      </c:pt>
                      <c:pt idx="5">
                        <c:v>6.6999998092651403</c:v>
                      </c:pt>
                      <c:pt idx="6">
                        <c:v>6.46000003814697</c:v>
                      </c:pt>
                      <c:pt idx="7">
                        <c:v>6.28999996185303</c:v>
                      </c:pt>
                      <c:pt idx="8">
                        <c:v>6.1300001144409197</c:v>
                      </c:pt>
                      <c:pt idx="9">
                        <c:v>6.03999996185303</c:v>
                      </c:pt>
                      <c:pt idx="10">
                        <c:v>6.0100002288818404</c:v>
                      </c:pt>
                      <c:pt idx="11">
                        <c:v>6.0100002288818404</c:v>
                      </c:pt>
                      <c:pt idx="12">
                        <c:v>6.0100002288818404</c:v>
                      </c:pt>
                      <c:pt idx="13">
                        <c:v>6.0300002098083496</c:v>
                      </c:pt>
                      <c:pt idx="14">
                        <c:v>6.0599999427795401</c:v>
                      </c:pt>
                      <c:pt idx="15">
                        <c:v>6.0900001525878897</c:v>
                      </c:pt>
                      <c:pt idx="16">
                        <c:v>6.1300001144409197</c:v>
                      </c:pt>
                      <c:pt idx="17">
                        <c:v>6.1599998474121103</c:v>
                      </c:pt>
                      <c:pt idx="18">
                        <c:v>6.1900000572204599</c:v>
                      </c:pt>
                      <c:pt idx="19">
                        <c:v>6.2199997901916504</c:v>
                      </c:pt>
                    </c:numCache>
                  </c:numRef>
                </c:val>
                <c:extLst xmlns:c15="http://schemas.microsoft.com/office/drawing/2012/chart">
                  <c:ext xmlns:c16="http://schemas.microsoft.com/office/drawing/2014/chart" uri="{C3380CC4-5D6E-409C-BE32-E72D297353CC}">
                    <c16:uniqueId val="{00000005-E7C1-458D-9C9A-EDECE53A91E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'Data LM'!$A$6</c15:sqref>
                        </c15:formulaRef>
                      </c:ext>
                    </c:extLst>
                    <c:strCache>
                      <c:ptCount val="1"/>
                      <c:pt idx="0">
                        <c:v>Industry (modeled ILO estimate)</c:v>
                      </c:pt>
                    </c:strCache>
                  </c:strRef>
                </c:tx>
                <c:spPr>
                  <a:solidFill>
                    <a:srgbClr val="CC3300"/>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LM'!$C$6:$V$6</c15:sqref>
                        </c15:formulaRef>
                      </c:ext>
                    </c:extLst>
                    <c:numCache>
                      <c:formatCode>0.0</c:formatCode>
                      <c:ptCount val="20"/>
                      <c:pt idx="0">
                        <c:v>6.5599999427795401</c:v>
                      </c:pt>
                      <c:pt idx="1">
                        <c:v>5.25</c:v>
                      </c:pt>
                      <c:pt idx="2">
                        <c:v>4.2600002288818404</c:v>
                      </c:pt>
                      <c:pt idx="3">
                        <c:v>3.4400000572204599</c:v>
                      </c:pt>
                      <c:pt idx="4">
                        <c:v>2.7999999523162802</c:v>
                      </c:pt>
                      <c:pt idx="5">
                        <c:v>2.28999996185303</c:v>
                      </c:pt>
                      <c:pt idx="6">
                        <c:v>2.0899999141693102</c:v>
                      </c:pt>
                      <c:pt idx="7">
                        <c:v>1.9400000572204601</c:v>
                      </c:pt>
                      <c:pt idx="8">
                        <c:v>1.8500000238418599</c:v>
                      </c:pt>
                      <c:pt idx="9">
                        <c:v>1.7799999713897701</c:v>
                      </c:pt>
                      <c:pt idx="10">
                        <c:v>1.7200000286102299</c:v>
                      </c:pt>
                      <c:pt idx="11">
                        <c:v>1.6900000572204601</c:v>
                      </c:pt>
                      <c:pt idx="12">
                        <c:v>1.66999995708466</c:v>
                      </c:pt>
                      <c:pt idx="13">
                        <c:v>1.6499999761581401</c:v>
                      </c:pt>
                      <c:pt idx="14">
                        <c:v>1.6399999856948899</c:v>
                      </c:pt>
                      <c:pt idx="15">
                        <c:v>1.62999999523163</c:v>
                      </c:pt>
                      <c:pt idx="16">
                        <c:v>1.62999999523163</c:v>
                      </c:pt>
                      <c:pt idx="17">
                        <c:v>1.62000000476837</c:v>
                      </c:pt>
                      <c:pt idx="18">
                        <c:v>1.62000000476837</c:v>
                      </c:pt>
                      <c:pt idx="19">
                        <c:v>1.62000000476837</c:v>
                      </c:pt>
                    </c:numCache>
                  </c:numRef>
                </c:val>
                <c:extLst xmlns:c15="http://schemas.microsoft.com/office/drawing/2012/chart">
                  <c:ext xmlns:c16="http://schemas.microsoft.com/office/drawing/2014/chart" uri="{C3380CC4-5D6E-409C-BE32-E72D297353CC}">
                    <c16:uniqueId val="{00000006-E7C1-458D-9C9A-EDECE53A91E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'Data LM'!$A$8</c15:sqref>
                        </c15:formulaRef>
                      </c:ext>
                    </c:extLst>
                    <c:strCache>
                      <c:ptCount val="1"/>
                      <c:pt idx="0">
                        <c:v>Employment in services (% of total employment) (modeled ILO estimate)</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LM'!$C$8:$V$8</c15:sqref>
                        </c15:formulaRef>
                      </c:ext>
                    </c:extLst>
                    <c:numCache>
                      <c:formatCode>0.0</c:formatCode>
                      <c:ptCount val="20"/>
                      <c:pt idx="0">
                        <c:v>39.700000762939503</c:v>
                      </c:pt>
                      <c:pt idx="1">
                        <c:v>38.319999694824197</c:v>
                      </c:pt>
                      <c:pt idx="2">
                        <c:v>36.669998168945298</c:v>
                      </c:pt>
                      <c:pt idx="3">
                        <c:v>35.150001525878899</c:v>
                      </c:pt>
                      <c:pt idx="4">
                        <c:v>33.7299995422363</c:v>
                      </c:pt>
                      <c:pt idx="5">
                        <c:v>32.240001678466797</c:v>
                      </c:pt>
                      <c:pt idx="6">
                        <c:v>32.400001525878899</c:v>
                      </c:pt>
                      <c:pt idx="7">
                        <c:v>32.740001678466797</c:v>
                      </c:pt>
                      <c:pt idx="8">
                        <c:v>32.7700004577637</c:v>
                      </c:pt>
                      <c:pt idx="9">
                        <c:v>33.029998779296903</c:v>
                      </c:pt>
                      <c:pt idx="10">
                        <c:v>33.680000305175803</c:v>
                      </c:pt>
                      <c:pt idx="11">
                        <c:v>34.25</c:v>
                      </c:pt>
                      <c:pt idx="12">
                        <c:v>34.7700004577637</c:v>
                      </c:pt>
                      <c:pt idx="13">
                        <c:v>35.380001068115199</c:v>
                      </c:pt>
                      <c:pt idx="14">
                        <c:v>36</c:v>
                      </c:pt>
                      <c:pt idx="15">
                        <c:v>36.650001525878899</c:v>
                      </c:pt>
                      <c:pt idx="16">
                        <c:v>37.330001831054702</c:v>
                      </c:pt>
                      <c:pt idx="17">
                        <c:v>37.9799995422363</c:v>
                      </c:pt>
                      <c:pt idx="18">
                        <c:v>38.7299995422363</c:v>
                      </c:pt>
                      <c:pt idx="19">
                        <c:v>39.439998626708999</c:v>
                      </c:pt>
                    </c:numCache>
                  </c:numRef>
                </c:val>
                <c:extLst xmlns:c15="http://schemas.microsoft.com/office/drawing/2012/chart">
                  <c:ext xmlns:c16="http://schemas.microsoft.com/office/drawing/2014/chart" uri="{C3380CC4-5D6E-409C-BE32-E72D297353CC}">
                    <c16:uniqueId val="{00000007-E7C1-458D-9C9A-EDECE53A91E0}"/>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'Data LM'!$A$9</c15:sqref>
                        </c15:formulaRef>
                      </c:ext>
                    </c:extLst>
                    <c:strCache>
                      <c:ptCount val="1"/>
                      <c:pt idx="0">
                        <c:v>Services (modeled ILO estimate)</c:v>
                      </c:pt>
                    </c:strCache>
                  </c:strRef>
                </c:tx>
                <c:spPr>
                  <a:solidFill>
                    <a:schemeClr val="tx1"/>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LM'!$C$9:$V$9</c15:sqref>
                        </c15:formulaRef>
                      </c:ext>
                    </c:extLst>
                    <c:numCache>
                      <c:formatCode>0.0</c:formatCode>
                      <c:ptCount val="20"/>
                      <c:pt idx="0">
                        <c:v>35.700000762939503</c:v>
                      </c:pt>
                      <c:pt idx="1">
                        <c:v>34.470001220703097</c:v>
                      </c:pt>
                      <c:pt idx="2">
                        <c:v>33.130001068115199</c:v>
                      </c:pt>
                      <c:pt idx="3">
                        <c:v>31.899999618530298</c:v>
                      </c:pt>
                      <c:pt idx="4">
                        <c:v>30.7399997711182</c:v>
                      </c:pt>
                      <c:pt idx="5">
                        <c:v>29.590000152587901</c:v>
                      </c:pt>
                      <c:pt idx="6">
                        <c:v>29.590000152587901</c:v>
                      </c:pt>
                      <c:pt idx="7">
                        <c:v>29.930000305175799</c:v>
                      </c:pt>
                      <c:pt idx="8">
                        <c:v>30.280000686645501</c:v>
                      </c:pt>
                      <c:pt idx="9">
                        <c:v>30.7700004577637</c:v>
                      </c:pt>
                      <c:pt idx="10">
                        <c:v>31.4899997711182</c:v>
                      </c:pt>
                      <c:pt idx="11">
                        <c:v>32.2299995422363</c:v>
                      </c:pt>
                      <c:pt idx="12">
                        <c:v>32.970001220703097</c:v>
                      </c:pt>
                      <c:pt idx="13">
                        <c:v>33.759998321533203</c:v>
                      </c:pt>
                      <c:pt idx="14">
                        <c:v>34.580001831054702</c:v>
                      </c:pt>
                      <c:pt idx="15">
                        <c:v>35.450000762939503</c:v>
                      </c:pt>
                      <c:pt idx="16">
                        <c:v>36.319999694824197</c:v>
                      </c:pt>
                      <c:pt idx="17">
                        <c:v>37.2299995422363</c:v>
                      </c:pt>
                      <c:pt idx="18">
                        <c:v>38.139999389648402</c:v>
                      </c:pt>
                      <c:pt idx="19">
                        <c:v>39.040000915527301</c:v>
                      </c:pt>
                    </c:numCache>
                  </c:numRef>
                </c:val>
                <c:extLst xmlns:c15="http://schemas.microsoft.com/office/drawing/2012/chart">
                  <c:ext xmlns:c16="http://schemas.microsoft.com/office/drawing/2014/chart" uri="{C3380CC4-5D6E-409C-BE32-E72D297353CC}">
                    <c16:uniqueId val="{00000008-E7C1-458D-9C9A-EDECE53A91E0}"/>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'Data LM'!$A$11</c15:sqref>
                        </c15:formulaRef>
                      </c:ext>
                    </c:extLst>
                    <c:strCache>
                      <c:ptCount val="1"/>
                      <c:pt idx="0">
                        <c:v>Employment to population ratio, 15+, total (%) (modeled ILO estimate)</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LM'!$C$11:$V$11</c15:sqref>
                        </c15:formulaRef>
                      </c:ext>
                    </c:extLst>
                    <c:numCache>
                      <c:formatCode>0.0</c:formatCode>
                      <c:ptCount val="20"/>
                      <c:pt idx="0">
                        <c:v>70.320999145507798</c:v>
                      </c:pt>
                      <c:pt idx="1">
                        <c:v>70.461997985839801</c:v>
                      </c:pt>
                      <c:pt idx="2">
                        <c:v>70.573997497558594</c:v>
                      </c:pt>
                      <c:pt idx="3">
                        <c:v>70.710998535156307</c:v>
                      </c:pt>
                      <c:pt idx="4">
                        <c:v>70.846000671386705</c:v>
                      </c:pt>
                      <c:pt idx="5">
                        <c:v>70.975997924804702</c:v>
                      </c:pt>
                      <c:pt idx="6">
                        <c:v>71.103996276855497</c:v>
                      </c:pt>
                      <c:pt idx="7">
                        <c:v>71.232002258300795</c:v>
                      </c:pt>
                      <c:pt idx="8">
                        <c:v>71.329002380371094</c:v>
                      </c:pt>
                      <c:pt idx="9">
                        <c:v>71.468002319335895</c:v>
                      </c:pt>
                      <c:pt idx="10">
                        <c:v>71.615997314453097</c:v>
                      </c:pt>
                      <c:pt idx="11">
                        <c:v>71.731002807617202</c:v>
                      </c:pt>
                      <c:pt idx="12">
                        <c:v>71.849998474121094</c:v>
                      </c:pt>
                      <c:pt idx="13">
                        <c:v>71.981002807617202</c:v>
                      </c:pt>
                      <c:pt idx="14">
                        <c:v>72.103996276855497</c:v>
                      </c:pt>
                      <c:pt idx="15">
                        <c:v>72.231002807617202</c:v>
                      </c:pt>
                      <c:pt idx="16">
                        <c:v>72.356002807617202</c:v>
                      </c:pt>
                      <c:pt idx="17">
                        <c:v>71.670997619628906</c:v>
                      </c:pt>
                      <c:pt idx="18">
                        <c:v>70.995002746582003</c:v>
                      </c:pt>
                      <c:pt idx="19">
                        <c:v>70.297996520996094</c:v>
                      </c:pt>
                    </c:numCache>
                  </c:numRef>
                </c:val>
                <c:extLst xmlns:c15="http://schemas.microsoft.com/office/drawing/2012/chart">
                  <c:ext xmlns:c16="http://schemas.microsoft.com/office/drawing/2014/chart" uri="{C3380CC4-5D6E-409C-BE32-E72D297353CC}">
                    <c16:uniqueId val="{00000009-E7C1-458D-9C9A-EDECE53A91E0}"/>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'Data LM'!$A$12</c15:sqref>
                        </c15:formulaRef>
                      </c:ext>
                    </c:extLst>
                    <c:strCache>
                      <c:ptCount val="1"/>
                      <c:pt idx="0">
                        <c:v>Employment to population ratio, ages 15-24, total (%) (national estimate)</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LM'!$C$12:$V$12</c15:sqref>
                        </c15:formulaRef>
                      </c:ext>
                    </c:extLst>
                    <c:numCache>
                      <c:formatCode>0.0</c:formatCode>
                      <c:ptCount val="20"/>
                      <c:pt idx="0">
                        <c:v>0</c:v>
                      </c:pt>
                      <c:pt idx="1">
                        <c:v>0</c:v>
                      </c:pt>
                      <c:pt idx="2">
                        <c:v>0</c:v>
                      </c:pt>
                      <c:pt idx="3">
                        <c:v>0</c:v>
                      </c:pt>
                      <c:pt idx="4">
                        <c:v>0</c:v>
                      </c:pt>
                      <c:pt idx="5">
                        <c:v>0</c:v>
                      </c:pt>
                      <c:pt idx="6">
                        <c:v>31.659999847412099</c:v>
                      </c:pt>
                      <c:pt idx="7">
                        <c:v>0</c:v>
                      </c:pt>
                      <c:pt idx="8">
                        <c:v>0</c:v>
                      </c:pt>
                      <c:pt idx="9">
                        <c:v>0</c:v>
                      </c:pt>
                      <c:pt idx="10">
                        <c:v>0</c:v>
                      </c:pt>
                      <c:pt idx="11">
                        <c:v>0</c:v>
                      </c:pt>
                      <c:pt idx="12">
                        <c:v>0</c:v>
                      </c:pt>
                      <c:pt idx="13">
                        <c:v>0</c:v>
                      </c:pt>
                      <c:pt idx="14">
                        <c:v>0</c:v>
                      </c:pt>
                      <c:pt idx="15">
                        <c:v>0</c:v>
                      </c:pt>
                      <c:pt idx="16">
                        <c:v>41.7700004577637</c:v>
                      </c:pt>
                      <c:pt idx="17">
                        <c:v>0</c:v>
                      </c:pt>
                      <c:pt idx="18">
                        <c:v>0</c:v>
                      </c:pt>
                      <c:pt idx="19">
                        <c:v>32.810001373291001</c:v>
                      </c:pt>
                    </c:numCache>
                  </c:numRef>
                </c:val>
                <c:extLst xmlns:c15="http://schemas.microsoft.com/office/drawing/2012/chart">
                  <c:ext xmlns:c16="http://schemas.microsoft.com/office/drawing/2014/chart" uri="{C3380CC4-5D6E-409C-BE32-E72D297353CC}">
                    <c16:uniqueId val="{0000000A-E7C1-458D-9C9A-EDECE53A91E0}"/>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'Data LM'!$A$13</c15:sqref>
                        </c15:formulaRef>
                      </c:ext>
                    </c:extLst>
                    <c:strCache>
                      <c:ptCount val="1"/>
                      <c:pt idx="0">
                        <c:v>Labor force participation rate for ages 15-24, female (%) (modeled ILO estimate)</c:v>
                      </c:pt>
                    </c:strCache>
                  </c:strRef>
                </c:tx>
                <c:spPr>
                  <a:solidFill>
                    <a:schemeClr val="accent3">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LM'!$C$13:$V$13</c15:sqref>
                        </c15:formulaRef>
                      </c:ext>
                    </c:extLst>
                    <c:numCache>
                      <c:formatCode>0.0</c:formatCode>
                      <c:ptCount val="20"/>
                      <c:pt idx="0">
                        <c:v>51.655998229980497</c:v>
                      </c:pt>
                      <c:pt idx="1">
                        <c:v>51.219001770019503</c:v>
                      </c:pt>
                      <c:pt idx="2">
                        <c:v>50.780998229980497</c:v>
                      </c:pt>
                      <c:pt idx="3">
                        <c:v>50.333000183105497</c:v>
                      </c:pt>
                      <c:pt idx="4">
                        <c:v>49.867000579833999</c:v>
                      </c:pt>
                      <c:pt idx="5">
                        <c:v>49.377998352050803</c:v>
                      </c:pt>
                      <c:pt idx="6">
                        <c:v>48.840999603271499</c:v>
                      </c:pt>
                      <c:pt idx="7">
                        <c:v>48.287998199462898</c:v>
                      </c:pt>
                      <c:pt idx="8">
                        <c:v>47.728000640869098</c:v>
                      </c:pt>
                      <c:pt idx="9">
                        <c:v>47.173999786377003</c:v>
                      </c:pt>
                      <c:pt idx="10">
                        <c:v>46.632999420166001</c:v>
                      </c:pt>
                      <c:pt idx="11">
                        <c:v>46.090000152587898</c:v>
                      </c:pt>
                      <c:pt idx="12">
                        <c:v>45.557998657226598</c:v>
                      </c:pt>
                      <c:pt idx="13">
                        <c:v>45.041000366210902</c:v>
                      </c:pt>
                      <c:pt idx="14">
                        <c:v>44.541000366210902</c:v>
                      </c:pt>
                      <c:pt idx="15">
                        <c:v>44.061000823974602</c:v>
                      </c:pt>
                      <c:pt idx="16">
                        <c:v>43.590000152587898</c:v>
                      </c:pt>
                      <c:pt idx="17">
                        <c:v>43.111000061035199</c:v>
                      </c:pt>
                      <c:pt idx="18">
                        <c:v>42.6310005187988</c:v>
                      </c:pt>
                      <c:pt idx="19">
                        <c:v>42.126998901367202</c:v>
                      </c:pt>
                    </c:numCache>
                  </c:numRef>
                </c:val>
                <c:extLst xmlns:c15="http://schemas.microsoft.com/office/drawing/2012/chart">
                  <c:ext xmlns:c16="http://schemas.microsoft.com/office/drawing/2014/chart" uri="{C3380CC4-5D6E-409C-BE32-E72D297353CC}">
                    <c16:uniqueId val="{0000000E-E7C1-458D-9C9A-EDECE53A91E0}"/>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'Data LM'!$A$14</c15:sqref>
                        </c15:formulaRef>
                      </c:ext>
                    </c:extLst>
                    <c:strCache>
                      <c:ptCount val="1"/>
                      <c:pt idx="0">
                        <c:v>Labor force participation rate for ages 15-24, female (%) (national estimate)</c:v>
                      </c:pt>
                    </c:strCache>
                  </c:strRef>
                </c:tx>
                <c:spPr>
                  <a:solidFill>
                    <a:schemeClr val="accent4">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LM'!$C$14:$V$14</c15:sqref>
                        </c15:formulaRef>
                      </c:ext>
                    </c:extLst>
                    <c:numCache>
                      <c:formatCode>0.0</c:formatCode>
                      <c:ptCount val="20"/>
                      <c:pt idx="0">
                        <c:v>0</c:v>
                      </c:pt>
                      <c:pt idx="1">
                        <c:v>0</c:v>
                      </c:pt>
                      <c:pt idx="2">
                        <c:v>0</c:v>
                      </c:pt>
                      <c:pt idx="3">
                        <c:v>0</c:v>
                      </c:pt>
                      <c:pt idx="4">
                        <c:v>0</c:v>
                      </c:pt>
                      <c:pt idx="5">
                        <c:v>35.180000305175803</c:v>
                      </c:pt>
                      <c:pt idx="6">
                        <c:v>35.090000152587898</c:v>
                      </c:pt>
                      <c:pt idx="7">
                        <c:v>0</c:v>
                      </c:pt>
                      <c:pt idx="8">
                        <c:v>0</c:v>
                      </c:pt>
                      <c:pt idx="9">
                        <c:v>0</c:v>
                      </c:pt>
                      <c:pt idx="10">
                        <c:v>0</c:v>
                      </c:pt>
                      <c:pt idx="11">
                        <c:v>0</c:v>
                      </c:pt>
                      <c:pt idx="12">
                        <c:v>0</c:v>
                      </c:pt>
                      <c:pt idx="13">
                        <c:v>0</c:v>
                      </c:pt>
                      <c:pt idx="14">
                        <c:v>0</c:v>
                      </c:pt>
                      <c:pt idx="15">
                        <c:v>0</c:v>
                      </c:pt>
                      <c:pt idx="16">
                        <c:v>43.439998626708999</c:v>
                      </c:pt>
                      <c:pt idx="17">
                        <c:v>0</c:v>
                      </c:pt>
                      <c:pt idx="18">
                        <c:v>0</c:v>
                      </c:pt>
                      <c:pt idx="19">
                        <c:v>35.110000610351598</c:v>
                      </c:pt>
                    </c:numCache>
                  </c:numRef>
                </c:val>
                <c:extLst xmlns:c15="http://schemas.microsoft.com/office/drawing/2012/chart">
                  <c:ext xmlns:c16="http://schemas.microsoft.com/office/drawing/2014/chart" uri="{C3380CC4-5D6E-409C-BE32-E72D297353CC}">
                    <c16:uniqueId val="{0000000F-E7C1-458D-9C9A-EDECE53A91E0}"/>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'Data LM'!$A$15</c15:sqref>
                        </c15:formulaRef>
                      </c:ext>
                    </c:extLst>
                    <c:strCache>
                      <c:ptCount val="1"/>
                      <c:pt idx="0">
                        <c:v>Labor force participation rate for ages 15-24, male (%) (modeled ILO estimate)</c:v>
                      </c:pt>
                    </c:strCache>
                  </c:strRef>
                </c:tx>
                <c:spPr>
                  <a:solidFill>
                    <a:schemeClr val="accent5">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LM'!$C$15:$V$15</c15:sqref>
                        </c15:formulaRef>
                      </c:ext>
                    </c:extLst>
                    <c:numCache>
                      <c:formatCode>0.0</c:formatCode>
                      <c:ptCount val="20"/>
                      <c:pt idx="0">
                        <c:v>48.251998901367202</c:v>
                      </c:pt>
                      <c:pt idx="1">
                        <c:v>48.222000122070298</c:v>
                      </c:pt>
                      <c:pt idx="2">
                        <c:v>48.189998626708999</c:v>
                      </c:pt>
                      <c:pt idx="3">
                        <c:v>48.147998809814503</c:v>
                      </c:pt>
                      <c:pt idx="4">
                        <c:v>48.084999084472699</c:v>
                      </c:pt>
                      <c:pt idx="5">
                        <c:v>47.995998382568402</c:v>
                      </c:pt>
                      <c:pt idx="6">
                        <c:v>47.8489990234375</c:v>
                      </c:pt>
                      <c:pt idx="7">
                        <c:v>47.687999725341797</c:v>
                      </c:pt>
                      <c:pt idx="8">
                        <c:v>47.525001525878899</c:v>
                      </c:pt>
                      <c:pt idx="9">
                        <c:v>47.375999450683601</c:v>
                      </c:pt>
                      <c:pt idx="10">
                        <c:v>47.25</c:v>
                      </c:pt>
                      <c:pt idx="11">
                        <c:v>47.127998352050803</c:v>
                      </c:pt>
                      <c:pt idx="12">
                        <c:v>47.021999359130902</c:v>
                      </c:pt>
                      <c:pt idx="13">
                        <c:v>46.935001373291001</c:v>
                      </c:pt>
                      <c:pt idx="14">
                        <c:v>46.872001647949197</c:v>
                      </c:pt>
                      <c:pt idx="15">
                        <c:v>46.832000732421903</c:v>
                      </c:pt>
                      <c:pt idx="16">
                        <c:v>46.806999206542997</c:v>
                      </c:pt>
                      <c:pt idx="17">
                        <c:v>45.556999206542997</c:v>
                      </c:pt>
                      <c:pt idx="18">
                        <c:v>44.297000885009801</c:v>
                      </c:pt>
                      <c:pt idx="19">
                        <c:v>42.983001708984403</c:v>
                      </c:pt>
                    </c:numCache>
                  </c:numRef>
                </c:val>
                <c:extLst xmlns:c15="http://schemas.microsoft.com/office/drawing/2012/chart">
                  <c:ext xmlns:c16="http://schemas.microsoft.com/office/drawing/2014/chart" uri="{C3380CC4-5D6E-409C-BE32-E72D297353CC}">
                    <c16:uniqueId val="{00000010-E7C1-458D-9C9A-EDECE53A91E0}"/>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'Data LM'!$A$16</c15:sqref>
                        </c15:formulaRef>
                      </c:ext>
                    </c:extLst>
                    <c:strCache>
                      <c:ptCount val="1"/>
                      <c:pt idx="0">
                        <c:v>Labor force participation rate for ages 15-24, male (%) (national estimate)</c:v>
                      </c:pt>
                    </c:strCache>
                  </c:strRef>
                </c:tx>
                <c:spPr>
                  <a:solidFill>
                    <a:schemeClr val="accent6">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LM'!$C$16:$V$16</c15:sqref>
                        </c15:formulaRef>
                      </c:ext>
                    </c:extLst>
                    <c:numCache>
                      <c:formatCode>0.0</c:formatCode>
                      <c:ptCount val="20"/>
                      <c:pt idx="0">
                        <c:v>0</c:v>
                      </c:pt>
                      <c:pt idx="1">
                        <c:v>0</c:v>
                      </c:pt>
                      <c:pt idx="2">
                        <c:v>0</c:v>
                      </c:pt>
                      <c:pt idx="3">
                        <c:v>0</c:v>
                      </c:pt>
                      <c:pt idx="4">
                        <c:v>0</c:v>
                      </c:pt>
                      <c:pt idx="5">
                        <c:v>41.630001068115199</c:v>
                      </c:pt>
                      <c:pt idx="6">
                        <c:v>43.759998321533203</c:v>
                      </c:pt>
                      <c:pt idx="7">
                        <c:v>0</c:v>
                      </c:pt>
                      <c:pt idx="8">
                        <c:v>0</c:v>
                      </c:pt>
                      <c:pt idx="9">
                        <c:v>0</c:v>
                      </c:pt>
                      <c:pt idx="10">
                        <c:v>0</c:v>
                      </c:pt>
                      <c:pt idx="11">
                        <c:v>0</c:v>
                      </c:pt>
                      <c:pt idx="12">
                        <c:v>0</c:v>
                      </c:pt>
                      <c:pt idx="13">
                        <c:v>0</c:v>
                      </c:pt>
                      <c:pt idx="14">
                        <c:v>0</c:v>
                      </c:pt>
                      <c:pt idx="15">
                        <c:v>0</c:v>
                      </c:pt>
                      <c:pt idx="16">
                        <c:v>46.740001678466797</c:v>
                      </c:pt>
                      <c:pt idx="17">
                        <c:v>0</c:v>
                      </c:pt>
                      <c:pt idx="18">
                        <c:v>0</c:v>
                      </c:pt>
                      <c:pt idx="19">
                        <c:v>40.2299995422363</c:v>
                      </c:pt>
                    </c:numCache>
                  </c:numRef>
                </c:val>
                <c:extLst xmlns:c15="http://schemas.microsoft.com/office/drawing/2012/chart">
                  <c:ext xmlns:c16="http://schemas.microsoft.com/office/drawing/2014/chart" uri="{C3380CC4-5D6E-409C-BE32-E72D297353CC}">
                    <c16:uniqueId val="{00000011-E7C1-458D-9C9A-EDECE53A91E0}"/>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'Data LM'!$A$17</c15:sqref>
                        </c15:formulaRef>
                      </c:ext>
                    </c:extLst>
                    <c:strCache>
                      <c:ptCount val="1"/>
                      <c:pt idx="0">
                        <c:v>Labor force participation rate for ages 15-24, total (%) (modeled ILO estimate)</c:v>
                      </c:pt>
                    </c:strCache>
                  </c:strRef>
                </c:tx>
                <c:spPr>
                  <a:solidFill>
                    <a:schemeClr val="accent1">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LM'!$C$17:$V$17</c15:sqref>
                        </c15:formulaRef>
                      </c:ext>
                    </c:extLst>
                    <c:numCache>
                      <c:formatCode>0.0</c:formatCode>
                      <c:ptCount val="20"/>
                      <c:pt idx="0">
                        <c:v>49.955001831054702</c:v>
                      </c:pt>
                      <c:pt idx="1">
                        <c:v>49.722000122070298</c:v>
                      </c:pt>
                      <c:pt idx="2">
                        <c:v>49.4869995117188</c:v>
                      </c:pt>
                      <c:pt idx="3">
                        <c:v>49.243000030517599</c:v>
                      </c:pt>
                      <c:pt idx="4">
                        <c:v>48.978000640869098</c:v>
                      </c:pt>
                      <c:pt idx="5">
                        <c:v>48.688999176025398</c:v>
                      </c:pt>
                      <c:pt idx="6">
                        <c:v>48.347000122070298</c:v>
                      </c:pt>
                      <c:pt idx="7">
                        <c:v>47.988998413085902</c:v>
                      </c:pt>
                      <c:pt idx="8">
                        <c:v>47.626998901367202</c:v>
                      </c:pt>
                      <c:pt idx="9">
                        <c:v>47.275001525878899</c:v>
                      </c:pt>
                      <c:pt idx="10">
                        <c:v>46.941001892089801</c:v>
                      </c:pt>
                      <c:pt idx="11">
                        <c:v>46.606998443603501</c:v>
                      </c:pt>
                      <c:pt idx="12">
                        <c:v>46.287998199462898</c:v>
                      </c:pt>
                      <c:pt idx="13">
                        <c:v>45.986000061035199</c:v>
                      </c:pt>
                      <c:pt idx="14">
                        <c:v>45.705001831054702</c:v>
                      </c:pt>
                      <c:pt idx="15">
                        <c:v>45.444999694824197</c:v>
                      </c:pt>
                      <c:pt idx="16">
                        <c:v>45.199001312255902</c:v>
                      </c:pt>
                      <c:pt idx="17">
                        <c:v>44.334999084472699</c:v>
                      </c:pt>
                      <c:pt idx="18">
                        <c:v>43.465999603271499</c:v>
                      </c:pt>
                      <c:pt idx="19">
                        <c:v>42.555999755859403</c:v>
                      </c:pt>
                    </c:numCache>
                  </c:numRef>
                </c:val>
                <c:extLst xmlns:c15="http://schemas.microsoft.com/office/drawing/2012/chart">
                  <c:ext xmlns:c16="http://schemas.microsoft.com/office/drawing/2014/chart" uri="{C3380CC4-5D6E-409C-BE32-E72D297353CC}">
                    <c16:uniqueId val="{00000012-E7C1-458D-9C9A-EDECE53A91E0}"/>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'Data LM'!$A$18</c15:sqref>
                        </c15:formulaRef>
                      </c:ext>
                    </c:extLst>
                    <c:strCache>
                      <c:ptCount val="1"/>
                      <c:pt idx="0">
                        <c:v>Labor force participation rate for ages 15-24, total (%) (national estimate)</c:v>
                      </c:pt>
                    </c:strCache>
                  </c:strRef>
                </c:tx>
                <c:spPr>
                  <a:solidFill>
                    <a:schemeClr val="accent2">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LM'!$C$18:$V$18</c15:sqref>
                        </c15:formulaRef>
                      </c:ext>
                    </c:extLst>
                    <c:numCache>
                      <c:formatCode>0.0</c:formatCode>
                      <c:ptCount val="20"/>
                      <c:pt idx="0">
                        <c:v>0</c:v>
                      </c:pt>
                      <c:pt idx="1">
                        <c:v>0</c:v>
                      </c:pt>
                      <c:pt idx="2">
                        <c:v>0</c:v>
                      </c:pt>
                      <c:pt idx="3">
                        <c:v>0</c:v>
                      </c:pt>
                      <c:pt idx="4">
                        <c:v>0</c:v>
                      </c:pt>
                      <c:pt idx="5">
                        <c:v>38.349998474121101</c:v>
                      </c:pt>
                      <c:pt idx="6">
                        <c:v>39.409999847412102</c:v>
                      </c:pt>
                      <c:pt idx="7">
                        <c:v>0</c:v>
                      </c:pt>
                      <c:pt idx="8">
                        <c:v>0</c:v>
                      </c:pt>
                      <c:pt idx="9">
                        <c:v>0</c:v>
                      </c:pt>
                      <c:pt idx="10">
                        <c:v>0</c:v>
                      </c:pt>
                      <c:pt idx="11">
                        <c:v>0</c:v>
                      </c:pt>
                      <c:pt idx="12">
                        <c:v>0</c:v>
                      </c:pt>
                      <c:pt idx="13">
                        <c:v>0</c:v>
                      </c:pt>
                      <c:pt idx="14">
                        <c:v>0</c:v>
                      </c:pt>
                      <c:pt idx="15">
                        <c:v>0</c:v>
                      </c:pt>
                      <c:pt idx="16">
                        <c:v>45.080001831054702</c:v>
                      </c:pt>
                      <c:pt idx="17">
                        <c:v>0</c:v>
                      </c:pt>
                      <c:pt idx="18">
                        <c:v>0</c:v>
                      </c:pt>
                      <c:pt idx="19">
                        <c:v>37.650001525878899</c:v>
                      </c:pt>
                    </c:numCache>
                  </c:numRef>
                </c:val>
                <c:extLst xmlns:c15="http://schemas.microsoft.com/office/drawing/2012/chart">
                  <c:ext xmlns:c16="http://schemas.microsoft.com/office/drawing/2014/chart" uri="{C3380CC4-5D6E-409C-BE32-E72D297353CC}">
                    <c16:uniqueId val="{00000013-E7C1-458D-9C9A-EDECE53A91E0}"/>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'Data LM'!$A$19</c15:sqref>
                        </c15:formulaRef>
                      </c:ext>
                    </c:extLst>
                    <c:strCache>
                      <c:ptCount val="1"/>
                      <c:pt idx="0">
                        <c:v>Labor force participation rate, female (% of female population ages 15+) (modeled ILO estimate)</c:v>
                      </c:pt>
                    </c:strCache>
                  </c:strRef>
                </c:tx>
                <c:spPr>
                  <a:solidFill>
                    <a:schemeClr val="accent3">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LM'!$C$19:$V$19</c15:sqref>
                        </c15:formulaRef>
                      </c:ext>
                    </c:extLst>
                    <c:numCache>
                      <c:formatCode>0.0</c:formatCode>
                      <c:ptCount val="20"/>
                      <c:pt idx="0">
                        <c:v>70.485000610351605</c:v>
                      </c:pt>
                      <c:pt idx="1">
                        <c:v>70.543998718261705</c:v>
                      </c:pt>
                      <c:pt idx="2">
                        <c:v>70.603996276855497</c:v>
                      </c:pt>
                      <c:pt idx="3">
                        <c:v>70.664001464843807</c:v>
                      </c:pt>
                      <c:pt idx="4">
                        <c:v>70.722999572753906</c:v>
                      </c:pt>
                      <c:pt idx="5">
                        <c:v>70.782997131347699</c:v>
                      </c:pt>
                      <c:pt idx="6">
                        <c:v>70.843002319335895</c:v>
                      </c:pt>
                      <c:pt idx="7">
                        <c:v>70.902999877929702</c:v>
                      </c:pt>
                      <c:pt idx="8">
                        <c:v>70.962997436523395</c:v>
                      </c:pt>
                      <c:pt idx="9">
                        <c:v>71.023002624511705</c:v>
                      </c:pt>
                      <c:pt idx="10">
                        <c:v>71.083000183105497</c:v>
                      </c:pt>
                      <c:pt idx="11">
                        <c:v>71.141998291015597</c:v>
                      </c:pt>
                      <c:pt idx="12">
                        <c:v>71.202003479003906</c:v>
                      </c:pt>
                      <c:pt idx="13">
                        <c:v>71.261001586914105</c:v>
                      </c:pt>
                      <c:pt idx="14">
                        <c:v>71.320999145507798</c:v>
                      </c:pt>
                      <c:pt idx="15">
                        <c:v>71.379997253417997</c:v>
                      </c:pt>
                      <c:pt idx="16">
                        <c:v>71.440002441406307</c:v>
                      </c:pt>
                      <c:pt idx="17">
                        <c:v>71.643997192382798</c:v>
                      </c:pt>
                      <c:pt idx="18">
                        <c:v>71.859001159667997</c:v>
                      </c:pt>
                      <c:pt idx="19">
                        <c:v>72.085998535156307</c:v>
                      </c:pt>
                    </c:numCache>
                  </c:numRef>
                </c:val>
                <c:extLst xmlns:c15="http://schemas.microsoft.com/office/drawing/2012/chart">
                  <c:ext xmlns:c16="http://schemas.microsoft.com/office/drawing/2014/chart" uri="{C3380CC4-5D6E-409C-BE32-E72D297353CC}">
                    <c16:uniqueId val="{00000014-E7C1-458D-9C9A-EDECE53A91E0}"/>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'Data LM'!$A$20</c15:sqref>
                        </c15:formulaRef>
                      </c:ext>
                    </c:extLst>
                    <c:strCache>
                      <c:ptCount val="1"/>
                      <c:pt idx="0">
                        <c:v>Labor force participation rate, female (% of female population ages 15+) (national estimate)</c:v>
                      </c:pt>
                    </c:strCache>
                  </c:strRef>
                </c:tx>
                <c:spPr>
                  <a:solidFill>
                    <a:schemeClr val="accent4">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LM'!$C$20:$V$20</c15:sqref>
                        </c15:formulaRef>
                      </c:ext>
                    </c:extLst>
                    <c:numCache>
                      <c:formatCode>0.0</c:formatCode>
                      <c:ptCount val="20"/>
                      <c:pt idx="0">
                        <c:v>0</c:v>
                      </c:pt>
                      <c:pt idx="1">
                        <c:v>0</c:v>
                      </c:pt>
                      <c:pt idx="2">
                        <c:v>0</c:v>
                      </c:pt>
                      <c:pt idx="3">
                        <c:v>0</c:v>
                      </c:pt>
                      <c:pt idx="4">
                        <c:v>0</c:v>
                      </c:pt>
                      <c:pt idx="5">
                        <c:v>59.490001678466797</c:v>
                      </c:pt>
                      <c:pt idx="6">
                        <c:v>56.619998931884801</c:v>
                      </c:pt>
                      <c:pt idx="7">
                        <c:v>0</c:v>
                      </c:pt>
                      <c:pt idx="8">
                        <c:v>0</c:v>
                      </c:pt>
                      <c:pt idx="9">
                        <c:v>71.540000915527301</c:v>
                      </c:pt>
                      <c:pt idx="10">
                        <c:v>0</c:v>
                      </c:pt>
                      <c:pt idx="11">
                        <c:v>0</c:v>
                      </c:pt>
                      <c:pt idx="12">
                        <c:v>0</c:v>
                      </c:pt>
                      <c:pt idx="13">
                        <c:v>0</c:v>
                      </c:pt>
                      <c:pt idx="14">
                        <c:v>0</c:v>
                      </c:pt>
                      <c:pt idx="15">
                        <c:v>0</c:v>
                      </c:pt>
                      <c:pt idx="16">
                        <c:v>71.459999084472699</c:v>
                      </c:pt>
                      <c:pt idx="17">
                        <c:v>0</c:v>
                      </c:pt>
                      <c:pt idx="18">
                        <c:v>0</c:v>
                      </c:pt>
                      <c:pt idx="19">
                        <c:v>62.900001525878899</c:v>
                      </c:pt>
                    </c:numCache>
                  </c:numRef>
                </c:val>
                <c:extLst xmlns:c15="http://schemas.microsoft.com/office/drawing/2012/chart">
                  <c:ext xmlns:c16="http://schemas.microsoft.com/office/drawing/2014/chart" uri="{C3380CC4-5D6E-409C-BE32-E72D297353CC}">
                    <c16:uniqueId val="{00000015-E7C1-458D-9C9A-EDECE53A91E0}"/>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'Data LM'!$A$21</c15:sqref>
                        </c15:formulaRef>
                      </c:ext>
                    </c:extLst>
                    <c:strCache>
                      <c:ptCount val="1"/>
                      <c:pt idx="0">
                        <c:v>Labor force participation rate, female (% of female population ages 15-64) (modeled ILO estimate)</c:v>
                      </c:pt>
                    </c:strCache>
                  </c:strRef>
                </c:tx>
                <c:spPr>
                  <a:solidFill>
                    <a:schemeClr val="accent5">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LM'!$C$21:$V$21</c15:sqref>
                        </c15:formulaRef>
                      </c:ext>
                    </c:extLst>
                    <c:numCache>
                      <c:formatCode>0.0</c:formatCode>
                      <c:ptCount val="20"/>
                      <c:pt idx="0">
                        <c:v>69.569999999999993</c:v>
                      </c:pt>
                      <c:pt idx="1">
                        <c:v>67.91</c:v>
                      </c:pt>
                      <c:pt idx="2">
                        <c:v>66.16</c:v>
                      </c:pt>
                      <c:pt idx="3">
                        <c:v>64.349999999999994</c:v>
                      </c:pt>
                      <c:pt idx="4">
                        <c:v>62.51</c:v>
                      </c:pt>
                      <c:pt idx="5">
                        <c:v>60.65</c:v>
                      </c:pt>
                      <c:pt idx="6">
                        <c:v>61.91</c:v>
                      </c:pt>
                      <c:pt idx="7">
                        <c:v>63.19</c:v>
                      </c:pt>
                      <c:pt idx="8">
                        <c:v>64.44</c:v>
                      </c:pt>
                      <c:pt idx="9">
                        <c:v>65.63</c:v>
                      </c:pt>
                      <c:pt idx="10">
                        <c:v>66.739999999999995</c:v>
                      </c:pt>
                      <c:pt idx="11">
                        <c:v>67.78</c:v>
                      </c:pt>
                      <c:pt idx="12">
                        <c:v>68.73</c:v>
                      </c:pt>
                      <c:pt idx="13">
                        <c:v>69.62</c:v>
                      </c:pt>
                      <c:pt idx="14">
                        <c:v>70.47</c:v>
                      </c:pt>
                      <c:pt idx="15">
                        <c:v>71.290000000000006</c:v>
                      </c:pt>
                      <c:pt idx="16">
                        <c:v>72.099999999999994</c:v>
                      </c:pt>
                      <c:pt idx="17">
                        <c:v>72.2</c:v>
                      </c:pt>
                      <c:pt idx="18">
                        <c:v>72.3</c:v>
                      </c:pt>
                      <c:pt idx="19">
                        <c:v>72.41</c:v>
                      </c:pt>
                    </c:numCache>
                  </c:numRef>
                </c:val>
                <c:extLst xmlns:c15="http://schemas.microsoft.com/office/drawing/2012/chart">
                  <c:ext xmlns:c16="http://schemas.microsoft.com/office/drawing/2014/chart" uri="{C3380CC4-5D6E-409C-BE32-E72D297353CC}">
                    <c16:uniqueId val="{00000016-E7C1-458D-9C9A-EDECE53A91E0}"/>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'Data LM'!$A$22</c15:sqref>
                        </c15:formulaRef>
                      </c:ext>
                    </c:extLst>
                    <c:strCache>
                      <c:ptCount val="1"/>
                      <c:pt idx="0">
                        <c:v>Labor force participation rate, male (% of male population ages 15+) (modeled ILO estimate)</c:v>
                      </c:pt>
                    </c:strCache>
                  </c:strRef>
                </c:tx>
                <c:spPr>
                  <a:solidFill>
                    <a:schemeClr val="accent6">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LM'!$C$22:$V$22</c15:sqref>
                        </c15:formulaRef>
                      </c:ext>
                    </c:extLst>
                    <c:numCache>
                      <c:formatCode>0.0</c:formatCode>
                      <c:ptCount val="20"/>
                      <c:pt idx="0">
                        <c:v>74.610000610351605</c:v>
                      </c:pt>
                      <c:pt idx="1">
                        <c:v>74.795997619628906</c:v>
                      </c:pt>
                      <c:pt idx="2">
                        <c:v>74.981002807617202</c:v>
                      </c:pt>
                      <c:pt idx="3">
                        <c:v>75.165000915527301</c:v>
                      </c:pt>
                      <c:pt idx="4">
                        <c:v>75.347999572753906</c:v>
                      </c:pt>
                      <c:pt idx="5">
                        <c:v>75.529998779296903</c:v>
                      </c:pt>
                      <c:pt idx="6">
                        <c:v>75.711997985839801</c:v>
                      </c:pt>
                      <c:pt idx="7">
                        <c:v>75.891998291015597</c:v>
                      </c:pt>
                      <c:pt idx="8">
                        <c:v>76.071998596191406</c:v>
                      </c:pt>
                      <c:pt idx="9">
                        <c:v>76.250999450683594</c:v>
                      </c:pt>
                      <c:pt idx="10">
                        <c:v>76.429000854492202</c:v>
                      </c:pt>
                      <c:pt idx="11">
                        <c:v>76.607002258300795</c:v>
                      </c:pt>
                      <c:pt idx="12">
                        <c:v>76.782997131347699</c:v>
                      </c:pt>
                      <c:pt idx="13">
                        <c:v>76.958000183105497</c:v>
                      </c:pt>
                      <c:pt idx="14">
                        <c:v>77.132003784179702</c:v>
                      </c:pt>
                      <c:pt idx="15">
                        <c:v>77.305000305175795</c:v>
                      </c:pt>
                      <c:pt idx="16">
                        <c:v>77.477996826171903</c:v>
                      </c:pt>
                      <c:pt idx="17">
                        <c:v>77.000999450683594</c:v>
                      </c:pt>
                      <c:pt idx="18">
                        <c:v>76.505996704101605</c:v>
                      </c:pt>
                      <c:pt idx="19">
                        <c:v>75.986999511718807</c:v>
                      </c:pt>
                    </c:numCache>
                  </c:numRef>
                </c:val>
                <c:extLst xmlns:c15="http://schemas.microsoft.com/office/drawing/2012/chart">
                  <c:ext xmlns:c16="http://schemas.microsoft.com/office/drawing/2014/chart" uri="{C3380CC4-5D6E-409C-BE32-E72D297353CC}">
                    <c16:uniqueId val="{00000017-E7C1-458D-9C9A-EDECE53A91E0}"/>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'Data LM'!$A$23</c15:sqref>
                        </c15:formulaRef>
                      </c:ext>
                    </c:extLst>
                    <c:strCache>
                      <c:ptCount val="1"/>
                      <c:pt idx="0">
                        <c:v>Labor force participation rate, male (% of male population ages 15+) (national estimate)</c:v>
                      </c:pt>
                    </c:strCache>
                  </c:strRef>
                </c:tx>
                <c:spPr>
                  <a:solidFill>
                    <a:schemeClr val="accent1">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LM'!$C$23:$V$23</c15:sqref>
                        </c15:formulaRef>
                      </c:ext>
                    </c:extLst>
                    <c:numCache>
                      <c:formatCode>0.0</c:formatCode>
                      <c:ptCount val="20"/>
                      <c:pt idx="0">
                        <c:v>0</c:v>
                      </c:pt>
                      <c:pt idx="1">
                        <c:v>0</c:v>
                      </c:pt>
                      <c:pt idx="2">
                        <c:v>0</c:v>
                      </c:pt>
                      <c:pt idx="3">
                        <c:v>0</c:v>
                      </c:pt>
                      <c:pt idx="4">
                        <c:v>0</c:v>
                      </c:pt>
                      <c:pt idx="5">
                        <c:v>68.610000610351605</c:v>
                      </c:pt>
                      <c:pt idx="6">
                        <c:v>70.220001220703097</c:v>
                      </c:pt>
                      <c:pt idx="7">
                        <c:v>0</c:v>
                      </c:pt>
                      <c:pt idx="8">
                        <c:v>0</c:v>
                      </c:pt>
                      <c:pt idx="9">
                        <c:v>81.75</c:v>
                      </c:pt>
                      <c:pt idx="10">
                        <c:v>0</c:v>
                      </c:pt>
                      <c:pt idx="11">
                        <c:v>0</c:v>
                      </c:pt>
                      <c:pt idx="12">
                        <c:v>0</c:v>
                      </c:pt>
                      <c:pt idx="13">
                        <c:v>0</c:v>
                      </c:pt>
                      <c:pt idx="14">
                        <c:v>0</c:v>
                      </c:pt>
                      <c:pt idx="15">
                        <c:v>0</c:v>
                      </c:pt>
                      <c:pt idx="16">
                        <c:v>77.5</c:v>
                      </c:pt>
                      <c:pt idx="17">
                        <c:v>0</c:v>
                      </c:pt>
                      <c:pt idx="18">
                        <c:v>0</c:v>
                      </c:pt>
                      <c:pt idx="19">
                        <c:v>73</c:v>
                      </c:pt>
                    </c:numCache>
                  </c:numRef>
                </c:val>
                <c:extLst xmlns:c15="http://schemas.microsoft.com/office/drawing/2012/chart">
                  <c:ext xmlns:c16="http://schemas.microsoft.com/office/drawing/2014/chart" uri="{C3380CC4-5D6E-409C-BE32-E72D297353CC}">
                    <c16:uniqueId val="{00000018-E7C1-458D-9C9A-EDECE53A91E0}"/>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'Data LM'!$A$24</c15:sqref>
                        </c15:formulaRef>
                      </c:ext>
                    </c:extLst>
                    <c:strCache>
                      <c:ptCount val="1"/>
                      <c:pt idx="0">
                        <c:v>Labor force participation rate, male (% of male population ages 15-64) (modeled ILO estimate)</c:v>
                      </c:pt>
                    </c:strCache>
                  </c:strRef>
                </c:tx>
                <c:spPr>
                  <a:solidFill>
                    <a:schemeClr val="accent2">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LM'!$C$24:$V$24</c15:sqref>
                        </c15:formulaRef>
                      </c:ext>
                    </c:extLst>
                    <c:numCache>
                      <c:formatCode>0.0</c:formatCode>
                      <c:ptCount val="20"/>
                      <c:pt idx="0">
                        <c:v>74.099999999999994</c:v>
                      </c:pt>
                      <c:pt idx="1">
                        <c:v>73.430000000000007</c:v>
                      </c:pt>
                      <c:pt idx="2">
                        <c:v>72.7</c:v>
                      </c:pt>
                      <c:pt idx="3">
                        <c:v>71.94</c:v>
                      </c:pt>
                      <c:pt idx="4">
                        <c:v>71.16</c:v>
                      </c:pt>
                      <c:pt idx="5">
                        <c:v>70.36</c:v>
                      </c:pt>
                      <c:pt idx="6">
                        <c:v>71.44</c:v>
                      </c:pt>
                      <c:pt idx="7">
                        <c:v>72.52</c:v>
                      </c:pt>
                      <c:pt idx="8">
                        <c:v>73.540000000000006</c:v>
                      </c:pt>
                      <c:pt idx="9">
                        <c:v>74.459999999999994</c:v>
                      </c:pt>
                      <c:pt idx="10">
                        <c:v>75.260000000000005</c:v>
                      </c:pt>
                      <c:pt idx="11">
                        <c:v>75.98</c:v>
                      </c:pt>
                      <c:pt idx="12">
                        <c:v>76.59</c:v>
                      </c:pt>
                      <c:pt idx="13">
                        <c:v>77.13</c:v>
                      </c:pt>
                      <c:pt idx="14">
                        <c:v>77.63</c:v>
                      </c:pt>
                      <c:pt idx="15">
                        <c:v>78.11</c:v>
                      </c:pt>
                      <c:pt idx="16">
                        <c:v>78.569999999999993</c:v>
                      </c:pt>
                      <c:pt idx="17">
                        <c:v>77.98</c:v>
                      </c:pt>
                      <c:pt idx="18">
                        <c:v>77.37</c:v>
                      </c:pt>
                      <c:pt idx="19">
                        <c:v>76.760000000000005</c:v>
                      </c:pt>
                    </c:numCache>
                  </c:numRef>
                </c:val>
                <c:extLst xmlns:c15="http://schemas.microsoft.com/office/drawing/2012/chart">
                  <c:ext xmlns:c16="http://schemas.microsoft.com/office/drawing/2014/chart" uri="{C3380CC4-5D6E-409C-BE32-E72D297353CC}">
                    <c16:uniqueId val="{00000019-E7C1-458D-9C9A-EDECE53A91E0}"/>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'Data LM'!$A$25</c15:sqref>
                        </c15:formulaRef>
                      </c:ext>
                    </c:extLst>
                    <c:strCache>
                      <c:ptCount val="1"/>
                      <c:pt idx="0">
                        <c:v>Labor force participation rate, total (% of total population ages 15+) (modeled ILO estimate)</c:v>
                      </c:pt>
                    </c:strCache>
                  </c:strRef>
                </c:tx>
                <c:spPr>
                  <a:solidFill>
                    <a:schemeClr val="accent3">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LM'!$C$25:$V$25</c15:sqref>
                        </c15:formulaRef>
                      </c:ext>
                    </c:extLst>
                    <c:numCache>
                      <c:formatCode>0.0</c:formatCode>
                      <c:ptCount val="20"/>
                      <c:pt idx="0">
                        <c:v>72.512001037597699</c:v>
                      </c:pt>
                      <c:pt idx="1">
                        <c:v>72.633003234863295</c:v>
                      </c:pt>
                      <c:pt idx="2">
                        <c:v>72.753997802734403</c:v>
                      </c:pt>
                      <c:pt idx="3">
                        <c:v>72.874000549316406</c:v>
                      </c:pt>
                      <c:pt idx="4">
                        <c:v>72.994003295898395</c:v>
                      </c:pt>
                      <c:pt idx="5">
                        <c:v>73.113998413085895</c:v>
                      </c:pt>
                      <c:pt idx="6">
                        <c:v>73.234001159667997</c:v>
                      </c:pt>
                      <c:pt idx="7">
                        <c:v>73.352996826171903</c:v>
                      </c:pt>
                      <c:pt idx="8">
                        <c:v>73.472000122070298</c:v>
                      </c:pt>
                      <c:pt idx="9">
                        <c:v>73.589996337890597</c:v>
                      </c:pt>
                      <c:pt idx="10">
                        <c:v>73.708000183105497</c:v>
                      </c:pt>
                      <c:pt idx="11">
                        <c:v>73.825996398925795</c:v>
                      </c:pt>
                      <c:pt idx="12">
                        <c:v>73.944000244140597</c:v>
                      </c:pt>
                      <c:pt idx="13">
                        <c:v>74.060997009277301</c:v>
                      </c:pt>
                      <c:pt idx="14">
                        <c:v>74.177001953125</c:v>
                      </c:pt>
                      <c:pt idx="15">
                        <c:v>74.293998718261705</c:v>
                      </c:pt>
                      <c:pt idx="16">
                        <c:v>74.410003662109403</c:v>
                      </c:pt>
                      <c:pt idx="17">
                        <c:v>74.279998779296903</c:v>
                      </c:pt>
                      <c:pt idx="18">
                        <c:v>74.144996643066406</c:v>
                      </c:pt>
                      <c:pt idx="19">
                        <c:v>74.005996704101605</c:v>
                      </c:pt>
                    </c:numCache>
                  </c:numRef>
                </c:val>
                <c:extLst xmlns:c15="http://schemas.microsoft.com/office/drawing/2012/chart">
                  <c:ext xmlns:c16="http://schemas.microsoft.com/office/drawing/2014/chart" uri="{C3380CC4-5D6E-409C-BE32-E72D297353CC}">
                    <c16:uniqueId val="{0000001A-E7C1-458D-9C9A-EDECE53A91E0}"/>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'Data LM'!$A$26</c15:sqref>
                        </c15:formulaRef>
                      </c:ext>
                    </c:extLst>
                    <c:strCache>
                      <c:ptCount val="1"/>
                      <c:pt idx="0">
                        <c:v>Labor force participation rate, total (% of total population ages 15+) (national estimate)</c:v>
                      </c:pt>
                    </c:strCache>
                  </c:strRef>
                </c:tx>
                <c:spPr>
                  <a:solidFill>
                    <a:schemeClr val="accent4">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LM'!$C$26:$V$26</c15:sqref>
                        </c15:formulaRef>
                      </c:ext>
                    </c:extLst>
                    <c:numCache>
                      <c:formatCode>0.0</c:formatCode>
                      <c:ptCount val="20"/>
                      <c:pt idx="0">
                        <c:v>0</c:v>
                      </c:pt>
                      <c:pt idx="1">
                        <c:v>0</c:v>
                      </c:pt>
                      <c:pt idx="2">
                        <c:v>0</c:v>
                      </c:pt>
                      <c:pt idx="3">
                        <c:v>0</c:v>
                      </c:pt>
                      <c:pt idx="4">
                        <c:v>0</c:v>
                      </c:pt>
                      <c:pt idx="5">
                        <c:v>63.930000305175803</c:v>
                      </c:pt>
                      <c:pt idx="6">
                        <c:v>63.259998321533203</c:v>
                      </c:pt>
                      <c:pt idx="7">
                        <c:v>0</c:v>
                      </c:pt>
                      <c:pt idx="8">
                        <c:v>0</c:v>
                      </c:pt>
                      <c:pt idx="9">
                        <c:v>76.519996643066406</c:v>
                      </c:pt>
                      <c:pt idx="10">
                        <c:v>0</c:v>
                      </c:pt>
                      <c:pt idx="11">
                        <c:v>0</c:v>
                      </c:pt>
                      <c:pt idx="12">
                        <c:v>0</c:v>
                      </c:pt>
                      <c:pt idx="13">
                        <c:v>0</c:v>
                      </c:pt>
                      <c:pt idx="14">
                        <c:v>0</c:v>
                      </c:pt>
                      <c:pt idx="15">
                        <c:v>0</c:v>
                      </c:pt>
                      <c:pt idx="16">
                        <c:v>74.410003662109403</c:v>
                      </c:pt>
                      <c:pt idx="17">
                        <c:v>0</c:v>
                      </c:pt>
                      <c:pt idx="18">
                        <c:v>0</c:v>
                      </c:pt>
                      <c:pt idx="19">
                        <c:v>67.800003051757798</c:v>
                      </c:pt>
                    </c:numCache>
                  </c:numRef>
                </c:val>
                <c:extLst xmlns:c15="http://schemas.microsoft.com/office/drawing/2012/chart">
                  <c:ext xmlns:c16="http://schemas.microsoft.com/office/drawing/2014/chart" uri="{C3380CC4-5D6E-409C-BE32-E72D297353CC}">
                    <c16:uniqueId val="{0000001B-E7C1-458D-9C9A-EDECE53A91E0}"/>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'Data LM'!$A$27</c15:sqref>
                        </c15:formulaRef>
                      </c:ext>
                    </c:extLst>
                    <c:strCache>
                      <c:ptCount val="1"/>
                      <c:pt idx="0">
                        <c:v>Labor force participation rate, total (% of total population ages 15-64) (modeled ILO estimate)</c:v>
                      </c:pt>
                    </c:strCache>
                  </c:strRef>
                </c:tx>
                <c:spPr>
                  <a:solidFill>
                    <a:schemeClr val="accent5">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LM'!$C$27:$V$27</c15:sqref>
                        </c15:formulaRef>
                      </c:ext>
                    </c:extLst>
                    <c:numCache>
                      <c:formatCode>0.0</c:formatCode>
                      <c:ptCount val="20"/>
                      <c:pt idx="0">
                        <c:v>71.8</c:v>
                      </c:pt>
                      <c:pt idx="1">
                        <c:v>70.63</c:v>
                      </c:pt>
                      <c:pt idx="2">
                        <c:v>69.39</c:v>
                      </c:pt>
                      <c:pt idx="3">
                        <c:v>68.099999999999994</c:v>
                      </c:pt>
                      <c:pt idx="4">
                        <c:v>66.78</c:v>
                      </c:pt>
                      <c:pt idx="5">
                        <c:v>65.45</c:v>
                      </c:pt>
                      <c:pt idx="6">
                        <c:v>66.62</c:v>
                      </c:pt>
                      <c:pt idx="7">
                        <c:v>67.790000000000006</c:v>
                      </c:pt>
                      <c:pt idx="8">
                        <c:v>68.930000000000007</c:v>
                      </c:pt>
                      <c:pt idx="9">
                        <c:v>69.989999999999995</c:v>
                      </c:pt>
                      <c:pt idx="10">
                        <c:v>70.95</c:v>
                      </c:pt>
                      <c:pt idx="11">
                        <c:v>71.83</c:v>
                      </c:pt>
                      <c:pt idx="12">
                        <c:v>72.61</c:v>
                      </c:pt>
                      <c:pt idx="13">
                        <c:v>73.33</c:v>
                      </c:pt>
                      <c:pt idx="14">
                        <c:v>74.010000000000005</c:v>
                      </c:pt>
                      <c:pt idx="15">
                        <c:v>74.67</c:v>
                      </c:pt>
                      <c:pt idx="16">
                        <c:v>75.3</c:v>
                      </c:pt>
                      <c:pt idx="17">
                        <c:v>75.06</c:v>
                      </c:pt>
                      <c:pt idx="18">
                        <c:v>74.81</c:v>
                      </c:pt>
                      <c:pt idx="19">
                        <c:v>74.56</c:v>
                      </c:pt>
                    </c:numCache>
                  </c:numRef>
                </c:val>
                <c:extLst xmlns:c15="http://schemas.microsoft.com/office/drawing/2012/chart">
                  <c:ext xmlns:c16="http://schemas.microsoft.com/office/drawing/2014/chart" uri="{C3380CC4-5D6E-409C-BE32-E72D297353CC}">
                    <c16:uniqueId val="{0000001C-E7C1-458D-9C9A-EDECE53A91E0}"/>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'Data LM'!$A$28</c15:sqref>
                        </c15:formulaRef>
                      </c:ext>
                    </c:extLst>
                    <c:strCache>
                      <c:ptCount val="1"/>
                      <c:pt idx="0">
                        <c:v>Labor force with advanced education (% of total working-age population with advanced education)</c:v>
                      </c:pt>
                    </c:strCache>
                  </c:strRef>
                </c:tx>
                <c:spPr>
                  <a:solidFill>
                    <a:schemeClr val="accent6">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LM'!$C$28:$V$28</c15:sqref>
                        </c15:formulaRef>
                      </c:ext>
                    </c:extLst>
                    <c:numCache>
                      <c:formatCode>0.0</c:formatCode>
                      <c:ptCount val="20"/>
                      <c:pt idx="0">
                        <c:v>0</c:v>
                      </c:pt>
                      <c:pt idx="1">
                        <c:v>0</c:v>
                      </c:pt>
                      <c:pt idx="2">
                        <c:v>0</c:v>
                      </c:pt>
                      <c:pt idx="3">
                        <c:v>0</c:v>
                      </c:pt>
                      <c:pt idx="4">
                        <c:v>0</c:v>
                      </c:pt>
                      <c:pt idx="5">
                        <c:v>77.819999694824205</c:v>
                      </c:pt>
                      <c:pt idx="6">
                        <c:v>77.819999694824205</c:v>
                      </c:pt>
                      <c:pt idx="7">
                        <c:v>0</c:v>
                      </c:pt>
                      <c:pt idx="8">
                        <c:v>0</c:v>
                      </c:pt>
                      <c:pt idx="9">
                        <c:v>0</c:v>
                      </c:pt>
                      <c:pt idx="10">
                        <c:v>0</c:v>
                      </c:pt>
                      <c:pt idx="11">
                        <c:v>0</c:v>
                      </c:pt>
                      <c:pt idx="12">
                        <c:v>0</c:v>
                      </c:pt>
                      <c:pt idx="13">
                        <c:v>0</c:v>
                      </c:pt>
                      <c:pt idx="14">
                        <c:v>0</c:v>
                      </c:pt>
                      <c:pt idx="15">
                        <c:v>0</c:v>
                      </c:pt>
                      <c:pt idx="16">
                        <c:v>69.139999389648395</c:v>
                      </c:pt>
                      <c:pt idx="17">
                        <c:v>0</c:v>
                      </c:pt>
                      <c:pt idx="18">
                        <c:v>0</c:v>
                      </c:pt>
                      <c:pt idx="19">
                        <c:v>86.190002441406307</c:v>
                      </c:pt>
                    </c:numCache>
                  </c:numRef>
                </c:val>
                <c:extLst xmlns:c15="http://schemas.microsoft.com/office/drawing/2012/chart">
                  <c:ext xmlns:c16="http://schemas.microsoft.com/office/drawing/2014/chart" uri="{C3380CC4-5D6E-409C-BE32-E72D297353CC}">
                    <c16:uniqueId val="{0000001D-E7C1-458D-9C9A-EDECE53A91E0}"/>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'Data LM'!$A$29</c15:sqref>
                        </c15:formulaRef>
                      </c:ext>
                    </c:extLst>
                    <c:strCache>
                      <c:ptCount val="1"/>
                      <c:pt idx="0">
                        <c:v>Labor force with advanced education, female (% of female working-age population with advanced education)</c:v>
                      </c:pt>
                    </c:strCache>
                  </c:strRef>
                </c:tx>
                <c:spPr>
                  <a:solidFill>
                    <a:schemeClr val="accent1">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LM'!$C$29:$V$29</c15:sqref>
                        </c15:formulaRef>
                      </c:ext>
                    </c:extLst>
                    <c:numCache>
                      <c:formatCode>0.0</c:formatCode>
                      <c:ptCount val="20"/>
                      <c:pt idx="0">
                        <c:v>0</c:v>
                      </c:pt>
                      <c:pt idx="1">
                        <c:v>0</c:v>
                      </c:pt>
                      <c:pt idx="2">
                        <c:v>0</c:v>
                      </c:pt>
                      <c:pt idx="3">
                        <c:v>0</c:v>
                      </c:pt>
                      <c:pt idx="4">
                        <c:v>0</c:v>
                      </c:pt>
                      <c:pt idx="5">
                        <c:v>66.569999694824205</c:v>
                      </c:pt>
                      <c:pt idx="6">
                        <c:v>66.569999694824205</c:v>
                      </c:pt>
                      <c:pt idx="7">
                        <c:v>0</c:v>
                      </c:pt>
                      <c:pt idx="8">
                        <c:v>0</c:v>
                      </c:pt>
                      <c:pt idx="9">
                        <c:v>0</c:v>
                      </c:pt>
                      <c:pt idx="10">
                        <c:v>0</c:v>
                      </c:pt>
                      <c:pt idx="11">
                        <c:v>0</c:v>
                      </c:pt>
                      <c:pt idx="12">
                        <c:v>0</c:v>
                      </c:pt>
                      <c:pt idx="13">
                        <c:v>0</c:v>
                      </c:pt>
                      <c:pt idx="14">
                        <c:v>0</c:v>
                      </c:pt>
                      <c:pt idx="15">
                        <c:v>0</c:v>
                      </c:pt>
                      <c:pt idx="16">
                        <c:v>68.300003051757798</c:v>
                      </c:pt>
                      <c:pt idx="17">
                        <c:v>0</c:v>
                      </c:pt>
                      <c:pt idx="18">
                        <c:v>0</c:v>
                      </c:pt>
                      <c:pt idx="19">
                        <c:v>82.260002136230497</c:v>
                      </c:pt>
                    </c:numCache>
                  </c:numRef>
                </c:val>
                <c:extLst xmlns:c15="http://schemas.microsoft.com/office/drawing/2012/chart">
                  <c:ext xmlns:c16="http://schemas.microsoft.com/office/drawing/2014/chart" uri="{C3380CC4-5D6E-409C-BE32-E72D297353CC}">
                    <c16:uniqueId val="{0000001E-E7C1-458D-9C9A-EDECE53A91E0}"/>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'Data LM'!$A$30</c15:sqref>
                        </c15:formulaRef>
                      </c:ext>
                    </c:extLst>
                    <c:strCache>
                      <c:ptCount val="1"/>
                      <c:pt idx="0">
                        <c:v>Labor force with advanced education, male (% of male working-age population with advanced education)</c:v>
                      </c:pt>
                    </c:strCache>
                  </c:strRef>
                </c:tx>
                <c:spPr>
                  <a:solidFill>
                    <a:schemeClr val="accent2">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LM'!$C$30:$V$30</c15:sqref>
                        </c15:formulaRef>
                      </c:ext>
                    </c:extLst>
                    <c:numCache>
                      <c:formatCode>0.0</c:formatCode>
                      <c:ptCount val="20"/>
                      <c:pt idx="0">
                        <c:v>0</c:v>
                      </c:pt>
                      <c:pt idx="1">
                        <c:v>0</c:v>
                      </c:pt>
                      <c:pt idx="2">
                        <c:v>0</c:v>
                      </c:pt>
                      <c:pt idx="3">
                        <c:v>0</c:v>
                      </c:pt>
                      <c:pt idx="4">
                        <c:v>0</c:v>
                      </c:pt>
                      <c:pt idx="5">
                        <c:v>83.129997253417997</c:v>
                      </c:pt>
                      <c:pt idx="6">
                        <c:v>83.129997253417997</c:v>
                      </c:pt>
                      <c:pt idx="7">
                        <c:v>0</c:v>
                      </c:pt>
                      <c:pt idx="8">
                        <c:v>0</c:v>
                      </c:pt>
                      <c:pt idx="9">
                        <c:v>0</c:v>
                      </c:pt>
                      <c:pt idx="10">
                        <c:v>0</c:v>
                      </c:pt>
                      <c:pt idx="11">
                        <c:v>0</c:v>
                      </c:pt>
                      <c:pt idx="12">
                        <c:v>0</c:v>
                      </c:pt>
                      <c:pt idx="13">
                        <c:v>0</c:v>
                      </c:pt>
                      <c:pt idx="14">
                        <c:v>0</c:v>
                      </c:pt>
                      <c:pt idx="15">
                        <c:v>0</c:v>
                      </c:pt>
                      <c:pt idx="16">
                        <c:v>69.699996948242202</c:v>
                      </c:pt>
                      <c:pt idx="17">
                        <c:v>0</c:v>
                      </c:pt>
                      <c:pt idx="18">
                        <c:v>0</c:v>
                      </c:pt>
                      <c:pt idx="19">
                        <c:v>88.879997253417997</c:v>
                      </c:pt>
                    </c:numCache>
                  </c:numRef>
                </c:val>
                <c:extLst xmlns:c15="http://schemas.microsoft.com/office/drawing/2012/chart">
                  <c:ext xmlns:c16="http://schemas.microsoft.com/office/drawing/2014/chart" uri="{C3380CC4-5D6E-409C-BE32-E72D297353CC}">
                    <c16:uniqueId val="{0000001F-E7C1-458D-9C9A-EDECE53A91E0}"/>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'Data LM'!$A$31</c15:sqref>
                        </c15:formulaRef>
                      </c:ext>
                    </c:extLst>
                    <c:strCache>
                      <c:ptCount val="1"/>
                      <c:pt idx="0">
                        <c:v>Labor force with basic education (% of total working-age population with basic education)</c:v>
                      </c:pt>
                    </c:strCache>
                  </c:strRef>
                </c:tx>
                <c:spPr>
                  <a:solidFill>
                    <a:schemeClr val="accent3">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LM'!$C$31:$V$31</c15:sqref>
                        </c15:formulaRef>
                      </c:ext>
                    </c:extLst>
                    <c:numCache>
                      <c:formatCode>0.0</c:formatCode>
                      <c:ptCount val="20"/>
                      <c:pt idx="0">
                        <c:v>0</c:v>
                      </c:pt>
                      <c:pt idx="1">
                        <c:v>0</c:v>
                      </c:pt>
                      <c:pt idx="2">
                        <c:v>0</c:v>
                      </c:pt>
                      <c:pt idx="3">
                        <c:v>0</c:v>
                      </c:pt>
                      <c:pt idx="4">
                        <c:v>0</c:v>
                      </c:pt>
                      <c:pt idx="5">
                        <c:v>58.950000762939503</c:v>
                      </c:pt>
                      <c:pt idx="6">
                        <c:v>58.950000762939503</c:v>
                      </c:pt>
                      <c:pt idx="7">
                        <c:v>0</c:v>
                      </c:pt>
                      <c:pt idx="8">
                        <c:v>0</c:v>
                      </c:pt>
                      <c:pt idx="9">
                        <c:v>0</c:v>
                      </c:pt>
                      <c:pt idx="10">
                        <c:v>0</c:v>
                      </c:pt>
                      <c:pt idx="11">
                        <c:v>0</c:v>
                      </c:pt>
                      <c:pt idx="12">
                        <c:v>0</c:v>
                      </c:pt>
                      <c:pt idx="13">
                        <c:v>0</c:v>
                      </c:pt>
                      <c:pt idx="14">
                        <c:v>0</c:v>
                      </c:pt>
                      <c:pt idx="15">
                        <c:v>0</c:v>
                      </c:pt>
                      <c:pt idx="16">
                        <c:v>79.059997558593807</c:v>
                      </c:pt>
                      <c:pt idx="17">
                        <c:v>0</c:v>
                      </c:pt>
                      <c:pt idx="18">
                        <c:v>0</c:v>
                      </c:pt>
                      <c:pt idx="19">
                        <c:v>65.779998779296903</c:v>
                      </c:pt>
                    </c:numCache>
                  </c:numRef>
                </c:val>
                <c:extLst xmlns:c15="http://schemas.microsoft.com/office/drawing/2012/chart">
                  <c:ext xmlns:c16="http://schemas.microsoft.com/office/drawing/2014/chart" uri="{C3380CC4-5D6E-409C-BE32-E72D297353CC}">
                    <c16:uniqueId val="{00000020-E7C1-458D-9C9A-EDECE53A91E0}"/>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'Data LM'!$A$32</c15:sqref>
                        </c15:formulaRef>
                      </c:ext>
                    </c:extLst>
                    <c:strCache>
                      <c:ptCount val="1"/>
                      <c:pt idx="0">
                        <c:v>Labor force with basic education, female (% of female working-age population with basic education)</c:v>
                      </c:pt>
                    </c:strCache>
                  </c:strRef>
                </c:tx>
                <c:spPr>
                  <a:solidFill>
                    <a:schemeClr val="accent4">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LM'!$C$32:$V$32</c15:sqref>
                        </c15:formulaRef>
                      </c:ext>
                    </c:extLst>
                    <c:numCache>
                      <c:formatCode>0.0</c:formatCode>
                      <c:ptCount val="20"/>
                      <c:pt idx="0">
                        <c:v>0</c:v>
                      </c:pt>
                      <c:pt idx="1">
                        <c:v>0</c:v>
                      </c:pt>
                      <c:pt idx="2">
                        <c:v>0</c:v>
                      </c:pt>
                      <c:pt idx="3">
                        <c:v>0</c:v>
                      </c:pt>
                      <c:pt idx="4">
                        <c:v>0</c:v>
                      </c:pt>
                      <c:pt idx="5">
                        <c:v>52.869998931884801</c:v>
                      </c:pt>
                      <c:pt idx="6">
                        <c:v>52.869998931884801</c:v>
                      </c:pt>
                      <c:pt idx="7">
                        <c:v>0</c:v>
                      </c:pt>
                      <c:pt idx="8">
                        <c:v>0</c:v>
                      </c:pt>
                      <c:pt idx="9">
                        <c:v>0</c:v>
                      </c:pt>
                      <c:pt idx="10">
                        <c:v>0</c:v>
                      </c:pt>
                      <c:pt idx="11">
                        <c:v>0</c:v>
                      </c:pt>
                      <c:pt idx="12">
                        <c:v>0</c:v>
                      </c:pt>
                      <c:pt idx="13">
                        <c:v>0</c:v>
                      </c:pt>
                      <c:pt idx="14">
                        <c:v>0</c:v>
                      </c:pt>
                      <c:pt idx="15">
                        <c:v>0</c:v>
                      </c:pt>
                      <c:pt idx="16">
                        <c:v>77.589996337890597</c:v>
                      </c:pt>
                      <c:pt idx="17">
                        <c:v>0</c:v>
                      </c:pt>
                      <c:pt idx="18">
                        <c:v>0</c:v>
                      </c:pt>
                      <c:pt idx="19">
                        <c:v>63</c:v>
                      </c:pt>
                    </c:numCache>
                  </c:numRef>
                </c:val>
                <c:extLst xmlns:c15="http://schemas.microsoft.com/office/drawing/2012/chart">
                  <c:ext xmlns:c16="http://schemas.microsoft.com/office/drawing/2014/chart" uri="{C3380CC4-5D6E-409C-BE32-E72D297353CC}">
                    <c16:uniqueId val="{00000021-E7C1-458D-9C9A-EDECE53A91E0}"/>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'Data LM'!$A$33</c15:sqref>
                        </c15:formulaRef>
                      </c:ext>
                    </c:extLst>
                    <c:strCache>
                      <c:ptCount val="1"/>
                      <c:pt idx="0">
                        <c:v>Labor force with basic education, male (% of male working-age population with basic education)</c:v>
                      </c:pt>
                    </c:strCache>
                  </c:strRef>
                </c:tx>
                <c:spPr>
                  <a:solidFill>
                    <a:schemeClr val="accent5">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LM'!$C$33:$V$33</c15:sqref>
                        </c15:formulaRef>
                      </c:ext>
                    </c:extLst>
                    <c:numCache>
                      <c:formatCode>0.0</c:formatCode>
                      <c:ptCount val="20"/>
                      <c:pt idx="0">
                        <c:v>0</c:v>
                      </c:pt>
                      <c:pt idx="1">
                        <c:v>0</c:v>
                      </c:pt>
                      <c:pt idx="2">
                        <c:v>0</c:v>
                      </c:pt>
                      <c:pt idx="3">
                        <c:v>0</c:v>
                      </c:pt>
                      <c:pt idx="4">
                        <c:v>0</c:v>
                      </c:pt>
                      <c:pt idx="5">
                        <c:v>64.980003356933594</c:v>
                      </c:pt>
                      <c:pt idx="6">
                        <c:v>64.980003356933594</c:v>
                      </c:pt>
                      <c:pt idx="7">
                        <c:v>0</c:v>
                      </c:pt>
                      <c:pt idx="8">
                        <c:v>0</c:v>
                      </c:pt>
                      <c:pt idx="9">
                        <c:v>0</c:v>
                      </c:pt>
                      <c:pt idx="10">
                        <c:v>0</c:v>
                      </c:pt>
                      <c:pt idx="11">
                        <c:v>0</c:v>
                      </c:pt>
                      <c:pt idx="12">
                        <c:v>0</c:v>
                      </c:pt>
                      <c:pt idx="13">
                        <c:v>0</c:v>
                      </c:pt>
                      <c:pt idx="14">
                        <c:v>0</c:v>
                      </c:pt>
                      <c:pt idx="15">
                        <c:v>0</c:v>
                      </c:pt>
                      <c:pt idx="16">
                        <c:v>80.580001831054702</c:v>
                      </c:pt>
                      <c:pt idx="17">
                        <c:v>0</c:v>
                      </c:pt>
                      <c:pt idx="18">
                        <c:v>0</c:v>
                      </c:pt>
                      <c:pt idx="19">
                        <c:v>68.830001831054702</c:v>
                      </c:pt>
                    </c:numCache>
                  </c:numRef>
                </c:val>
                <c:extLst xmlns:c15="http://schemas.microsoft.com/office/drawing/2012/chart">
                  <c:ext xmlns:c16="http://schemas.microsoft.com/office/drawing/2014/chart" uri="{C3380CC4-5D6E-409C-BE32-E72D297353CC}">
                    <c16:uniqueId val="{00000022-E7C1-458D-9C9A-EDECE53A91E0}"/>
                  </c:ext>
                </c:extLst>
              </c15:ser>
            </c15:filteredBarSeries>
            <c15:filteredBarSeries>
              <c15:ser>
                <c:idx val="35"/>
                <c:order val="35"/>
                <c:tx>
                  <c:strRef>
                    <c:extLst xmlns:c15="http://schemas.microsoft.com/office/drawing/2012/chart">
                      <c:ext xmlns:c15="http://schemas.microsoft.com/office/drawing/2012/chart" uri="{02D57815-91ED-43cb-92C2-25804820EDAC}">
                        <c15:formulaRef>
                          <c15:sqref>'Data LM'!$A$34</c15:sqref>
                        </c15:formulaRef>
                      </c:ext>
                    </c:extLst>
                    <c:strCache>
                      <c:ptCount val="1"/>
                      <c:pt idx="0">
                        <c:v>Labor force with intermediate education (% of total working-age population with intermediate education)</c:v>
                      </c:pt>
                    </c:strCache>
                  </c:strRef>
                </c:tx>
                <c:spPr>
                  <a:solidFill>
                    <a:schemeClr val="accent6">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LM'!$C$34:$V$34</c15:sqref>
                        </c15:formulaRef>
                      </c:ext>
                    </c:extLst>
                    <c:numCache>
                      <c:formatCode>0.0</c:formatCode>
                      <c:ptCount val="20"/>
                      <c:pt idx="0">
                        <c:v>0</c:v>
                      </c:pt>
                      <c:pt idx="1">
                        <c:v>0</c:v>
                      </c:pt>
                      <c:pt idx="2">
                        <c:v>0</c:v>
                      </c:pt>
                      <c:pt idx="3">
                        <c:v>0</c:v>
                      </c:pt>
                      <c:pt idx="4">
                        <c:v>0</c:v>
                      </c:pt>
                      <c:pt idx="5">
                        <c:v>78.089996337890597</c:v>
                      </c:pt>
                      <c:pt idx="6">
                        <c:v>78.089996337890597</c:v>
                      </c:pt>
                      <c:pt idx="7">
                        <c:v>0</c:v>
                      </c:pt>
                      <c:pt idx="8">
                        <c:v>0</c:v>
                      </c:pt>
                      <c:pt idx="9">
                        <c:v>0</c:v>
                      </c:pt>
                      <c:pt idx="10">
                        <c:v>0</c:v>
                      </c:pt>
                      <c:pt idx="11">
                        <c:v>0</c:v>
                      </c:pt>
                      <c:pt idx="12">
                        <c:v>0</c:v>
                      </c:pt>
                      <c:pt idx="13">
                        <c:v>0</c:v>
                      </c:pt>
                      <c:pt idx="14">
                        <c:v>0</c:v>
                      </c:pt>
                      <c:pt idx="15">
                        <c:v>0</c:v>
                      </c:pt>
                      <c:pt idx="16">
                        <c:v>70.879997253417997</c:v>
                      </c:pt>
                      <c:pt idx="17">
                        <c:v>0</c:v>
                      </c:pt>
                      <c:pt idx="18">
                        <c:v>0</c:v>
                      </c:pt>
                      <c:pt idx="19">
                        <c:v>73.410003662109403</c:v>
                      </c:pt>
                    </c:numCache>
                  </c:numRef>
                </c:val>
                <c:extLst xmlns:c15="http://schemas.microsoft.com/office/drawing/2012/chart">
                  <c:ext xmlns:c16="http://schemas.microsoft.com/office/drawing/2014/chart" uri="{C3380CC4-5D6E-409C-BE32-E72D297353CC}">
                    <c16:uniqueId val="{00000023-E7C1-458D-9C9A-EDECE53A91E0}"/>
                  </c:ext>
                </c:extLst>
              </c15:ser>
            </c15:filteredBarSeries>
            <c15:filteredBarSeries>
              <c15:ser>
                <c:idx val="36"/>
                <c:order val="36"/>
                <c:tx>
                  <c:strRef>
                    <c:extLst xmlns:c15="http://schemas.microsoft.com/office/drawing/2012/chart">
                      <c:ext xmlns:c15="http://schemas.microsoft.com/office/drawing/2012/chart" uri="{02D57815-91ED-43cb-92C2-25804820EDAC}">
                        <c15:formulaRef>
                          <c15:sqref>'Data LM'!$A$35</c15:sqref>
                        </c15:formulaRef>
                      </c:ext>
                    </c:extLst>
                    <c:strCache>
                      <c:ptCount val="1"/>
                      <c:pt idx="0">
                        <c:v>Labor force with intermediate education, female (% of female working-age population with intermediate education)</c:v>
                      </c:pt>
                    </c:strCache>
                  </c:strRef>
                </c:tx>
                <c:spPr>
                  <a:solidFill>
                    <a:schemeClr val="accent1">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LM'!$C$35:$V$35</c15:sqref>
                        </c15:formulaRef>
                      </c:ext>
                    </c:extLst>
                    <c:numCache>
                      <c:formatCode>0.0</c:formatCode>
                      <c:ptCount val="20"/>
                      <c:pt idx="0">
                        <c:v>0</c:v>
                      </c:pt>
                      <c:pt idx="1">
                        <c:v>0</c:v>
                      </c:pt>
                      <c:pt idx="2">
                        <c:v>0</c:v>
                      </c:pt>
                      <c:pt idx="3">
                        <c:v>0</c:v>
                      </c:pt>
                      <c:pt idx="4">
                        <c:v>0</c:v>
                      </c:pt>
                      <c:pt idx="5">
                        <c:v>70.930000305175795</c:v>
                      </c:pt>
                      <c:pt idx="6">
                        <c:v>70.930000305175795</c:v>
                      </c:pt>
                      <c:pt idx="7">
                        <c:v>0</c:v>
                      </c:pt>
                      <c:pt idx="8">
                        <c:v>0</c:v>
                      </c:pt>
                      <c:pt idx="9">
                        <c:v>0</c:v>
                      </c:pt>
                      <c:pt idx="10">
                        <c:v>0</c:v>
                      </c:pt>
                      <c:pt idx="11">
                        <c:v>0</c:v>
                      </c:pt>
                      <c:pt idx="12">
                        <c:v>0</c:v>
                      </c:pt>
                      <c:pt idx="13">
                        <c:v>0</c:v>
                      </c:pt>
                      <c:pt idx="14">
                        <c:v>0</c:v>
                      </c:pt>
                      <c:pt idx="15">
                        <c:v>0</c:v>
                      </c:pt>
                      <c:pt idx="16">
                        <c:v>66.470001220703097</c:v>
                      </c:pt>
                      <c:pt idx="17">
                        <c:v>0</c:v>
                      </c:pt>
                      <c:pt idx="18">
                        <c:v>0</c:v>
                      </c:pt>
                      <c:pt idx="19">
                        <c:v>64.809997558593807</c:v>
                      </c:pt>
                    </c:numCache>
                  </c:numRef>
                </c:val>
                <c:extLst xmlns:c15="http://schemas.microsoft.com/office/drawing/2012/chart">
                  <c:ext xmlns:c16="http://schemas.microsoft.com/office/drawing/2014/chart" uri="{C3380CC4-5D6E-409C-BE32-E72D297353CC}">
                    <c16:uniqueId val="{00000024-E7C1-458D-9C9A-EDECE53A91E0}"/>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'Data LM'!$A$36</c15:sqref>
                        </c15:formulaRef>
                      </c:ext>
                    </c:extLst>
                    <c:strCache>
                      <c:ptCount val="1"/>
                      <c:pt idx="0">
                        <c:v>Labor force with intermediate education, male (% of male working-age population with intermediate education)</c:v>
                      </c:pt>
                    </c:strCache>
                  </c:strRef>
                </c:tx>
                <c:spPr>
                  <a:solidFill>
                    <a:schemeClr val="accent2">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LM'!$C$36:$V$36</c15:sqref>
                        </c15:formulaRef>
                      </c:ext>
                    </c:extLst>
                    <c:numCache>
                      <c:formatCode>0.0</c:formatCode>
                      <c:ptCount val="20"/>
                      <c:pt idx="0">
                        <c:v>0</c:v>
                      </c:pt>
                      <c:pt idx="1">
                        <c:v>0</c:v>
                      </c:pt>
                      <c:pt idx="2">
                        <c:v>0</c:v>
                      </c:pt>
                      <c:pt idx="3">
                        <c:v>0</c:v>
                      </c:pt>
                      <c:pt idx="4">
                        <c:v>0</c:v>
                      </c:pt>
                      <c:pt idx="5">
                        <c:v>83.569999694824205</c:v>
                      </c:pt>
                      <c:pt idx="6">
                        <c:v>83.569999694824205</c:v>
                      </c:pt>
                      <c:pt idx="7">
                        <c:v>0</c:v>
                      </c:pt>
                      <c:pt idx="8">
                        <c:v>0</c:v>
                      </c:pt>
                      <c:pt idx="9">
                        <c:v>0</c:v>
                      </c:pt>
                      <c:pt idx="10">
                        <c:v>0</c:v>
                      </c:pt>
                      <c:pt idx="11">
                        <c:v>0</c:v>
                      </c:pt>
                      <c:pt idx="12">
                        <c:v>0</c:v>
                      </c:pt>
                      <c:pt idx="13">
                        <c:v>0</c:v>
                      </c:pt>
                      <c:pt idx="14">
                        <c:v>0</c:v>
                      </c:pt>
                      <c:pt idx="15">
                        <c:v>0</c:v>
                      </c:pt>
                      <c:pt idx="16">
                        <c:v>74.989997863769503</c:v>
                      </c:pt>
                      <c:pt idx="17">
                        <c:v>0</c:v>
                      </c:pt>
                      <c:pt idx="18">
                        <c:v>0</c:v>
                      </c:pt>
                      <c:pt idx="19">
                        <c:v>79.940002441406307</c:v>
                      </c:pt>
                    </c:numCache>
                  </c:numRef>
                </c:val>
                <c:extLst xmlns:c15="http://schemas.microsoft.com/office/drawing/2012/chart">
                  <c:ext xmlns:c16="http://schemas.microsoft.com/office/drawing/2014/chart" uri="{C3380CC4-5D6E-409C-BE32-E72D297353CC}">
                    <c16:uniqueId val="{00000025-E7C1-458D-9C9A-EDECE53A91E0}"/>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'Data LM'!$A$37</c15:sqref>
                        </c15:formulaRef>
                      </c:ext>
                    </c:extLst>
                    <c:strCache>
                      <c:ptCount val="1"/>
                      <c:pt idx="0">
                        <c:v>Labor force, female (% of total labor force)</c:v>
                      </c:pt>
                    </c:strCache>
                  </c:strRef>
                </c:tx>
                <c:spPr>
                  <a:solidFill>
                    <a:schemeClr val="accent3">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LM'!$C$37:$V$37</c15:sqref>
                        </c15:formulaRef>
                      </c:ext>
                    </c:extLst>
                    <c:numCache>
                      <c:formatCode>0.0</c:formatCode>
                      <c:ptCount val="20"/>
                      <c:pt idx="0">
                        <c:v>49.44905113837391</c:v>
                      </c:pt>
                      <c:pt idx="1">
                        <c:v>49.419118473876118</c:v>
                      </c:pt>
                      <c:pt idx="2">
                        <c:v>49.385341912071013</c:v>
                      </c:pt>
                      <c:pt idx="3">
                        <c:v>49.348688481543284</c:v>
                      </c:pt>
                      <c:pt idx="4">
                        <c:v>49.309857659369641</c:v>
                      </c:pt>
                      <c:pt idx="5">
                        <c:v>49.271817649043101</c:v>
                      </c:pt>
                      <c:pt idx="6">
                        <c:v>49.235928643255825</c:v>
                      </c:pt>
                      <c:pt idx="7">
                        <c:v>49.200012757638021</c:v>
                      </c:pt>
                      <c:pt idx="8">
                        <c:v>49.162796540594336</c:v>
                      </c:pt>
                      <c:pt idx="9">
                        <c:v>49.123351250448636</c:v>
                      </c:pt>
                      <c:pt idx="10">
                        <c:v>49.080251544128657</c:v>
                      </c:pt>
                      <c:pt idx="11">
                        <c:v>49.036485294882731</c:v>
                      </c:pt>
                      <c:pt idx="12">
                        <c:v>48.98793845742086</c:v>
                      </c:pt>
                      <c:pt idx="13">
                        <c:v>48.935622203539381</c:v>
                      </c:pt>
                      <c:pt idx="14">
                        <c:v>48.88403570059662</c:v>
                      </c:pt>
                      <c:pt idx="15">
                        <c:v>48.832268867347736</c:v>
                      </c:pt>
                      <c:pt idx="16">
                        <c:v>48.783468523586691</c:v>
                      </c:pt>
                      <c:pt idx="17">
                        <c:v>48.998449127471297</c:v>
                      </c:pt>
                      <c:pt idx="18">
                        <c:v>49.226604338347698</c:v>
                      </c:pt>
                      <c:pt idx="19">
                        <c:v>49.464802908239527</c:v>
                      </c:pt>
                    </c:numCache>
                  </c:numRef>
                </c:val>
                <c:extLst xmlns:c15="http://schemas.microsoft.com/office/drawing/2012/chart">
                  <c:ext xmlns:c16="http://schemas.microsoft.com/office/drawing/2014/chart" uri="{C3380CC4-5D6E-409C-BE32-E72D297353CC}">
                    <c16:uniqueId val="{00000026-E7C1-458D-9C9A-EDECE53A91E0}"/>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'Data LM'!$A$38</c15:sqref>
                        </c15:formulaRef>
                      </c:ext>
                    </c:extLst>
                    <c:strCache>
                      <c:ptCount val="1"/>
                      <c:pt idx="0">
                        <c:v>Self-employed, female (% of female employment) (modeled ILO estimate)</c:v>
                      </c:pt>
                    </c:strCache>
                  </c:strRef>
                </c:tx>
                <c:spPr>
                  <a:solidFill>
                    <a:schemeClr val="accent4">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LM'!$C$38:$V$38</c15:sqref>
                        </c15:formulaRef>
                      </c:ext>
                    </c:extLst>
                    <c:numCache>
                      <c:formatCode>0.0</c:formatCode>
                      <c:ptCount val="20"/>
                      <c:pt idx="0">
                        <c:v>79.559997558593807</c:v>
                      </c:pt>
                      <c:pt idx="1">
                        <c:v>79.319999694824205</c:v>
                      </c:pt>
                      <c:pt idx="2">
                        <c:v>79.010002136230497</c:v>
                      </c:pt>
                      <c:pt idx="3">
                        <c:v>78.900001525878906</c:v>
                      </c:pt>
                      <c:pt idx="4">
                        <c:v>78.610000610351605</c:v>
                      </c:pt>
                      <c:pt idx="5">
                        <c:v>78.410003662109403</c:v>
                      </c:pt>
                      <c:pt idx="6">
                        <c:v>78.449996948242202</c:v>
                      </c:pt>
                      <c:pt idx="7">
                        <c:v>76.540000915527301</c:v>
                      </c:pt>
                      <c:pt idx="8">
                        <c:v>74.910003662109403</c:v>
                      </c:pt>
                      <c:pt idx="9">
                        <c:v>73.080001831054702</c:v>
                      </c:pt>
                      <c:pt idx="10">
                        <c:v>71.180000305175795</c:v>
                      </c:pt>
                      <c:pt idx="11">
                        <c:v>69.190002441406307</c:v>
                      </c:pt>
                      <c:pt idx="12">
                        <c:v>67.360000610351605</c:v>
                      </c:pt>
                      <c:pt idx="13">
                        <c:v>65.589996337890597</c:v>
                      </c:pt>
                      <c:pt idx="14">
                        <c:v>63.900001525878899</c:v>
                      </c:pt>
                      <c:pt idx="15">
                        <c:v>62.209999084472699</c:v>
                      </c:pt>
                      <c:pt idx="16">
                        <c:v>60.610000610351598</c:v>
                      </c:pt>
                      <c:pt idx="17">
                        <c:v>59.459999084472699</c:v>
                      </c:pt>
                      <c:pt idx="18">
                        <c:v>58.340000152587898</c:v>
                      </c:pt>
                      <c:pt idx="19">
                        <c:v>57.2299995422363</c:v>
                      </c:pt>
                    </c:numCache>
                  </c:numRef>
                </c:val>
                <c:extLst xmlns:c15="http://schemas.microsoft.com/office/drawing/2012/chart">
                  <c:ext xmlns:c16="http://schemas.microsoft.com/office/drawing/2014/chart" uri="{C3380CC4-5D6E-409C-BE32-E72D297353CC}">
                    <c16:uniqueId val="{00000027-E7C1-458D-9C9A-EDECE53A91E0}"/>
                  </c:ext>
                </c:extLst>
              </c15:ser>
            </c15:filteredBarSeries>
            <c15:filteredBarSeries>
              <c15:ser>
                <c:idx val="40"/>
                <c:order val="40"/>
                <c:tx>
                  <c:strRef>
                    <c:extLst xmlns:c15="http://schemas.microsoft.com/office/drawing/2012/chart">
                      <c:ext xmlns:c15="http://schemas.microsoft.com/office/drawing/2012/chart" uri="{02D57815-91ED-43cb-92C2-25804820EDAC}">
                        <c15:formulaRef>
                          <c15:sqref>'Data LM'!$A$39</c15:sqref>
                        </c15:formulaRef>
                      </c:ext>
                    </c:extLst>
                    <c:strCache>
                      <c:ptCount val="1"/>
                      <c:pt idx="0">
                        <c:v>Self-employed, male (% of male employment) (modeled ILO estimate)</c:v>
                      </c:pt>
                    </c:strCache>
                  </c:strRef>
                </c:tx>
                <c:spPr>
                  <a:solidFill>
                    <a:schemeClr val="accent5">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LM'!$C$39:$V$39</c15:sqref>
                        </c15:formulaRef>
                      </c:ext>
                    </c:extLst>
                    <c:numCache>
                      <c:formatCode>0.0</c:formatCode>
                      <c:ptCount val="20"/>
                      <c:pt idx="0">
                        <c:v>53.470001220703097</c:v>
                      </c:pt>
                      <c:pt idx="1">
                        <c:v>54.75</c:v>
                      </c:pt>
                      <c:pt idx="2">
                        <c:v>56.159999847412102</c:v>
                      </c:pt>
                      <c:pt idx="3">
                        <c:v>57.490001678466797</c:v>
                      </c:pt>
                      <c:pt idx="4">
                        <c:v>58.189998626708999</c:v>
                      </c:pt>
                      <c:pt idx="5">
                        <c:v>58.740001678466797</c:v>
                      </c:pt>
                      <c:pt idx="6">
                        <c:v>59.650001525878899</c:v>
                      </c:pt>
                      <c:pt idx="7">
                        <c:v>57.450000762939503</c:v>
                      </c:pt>
                      <c:pt idx="8">
                        <c:v>56.430000305175803</c:v>
                      </c:pt>
                      <c:pt idx="9">
                        <c:v>54.900001525878899</c:v>
                      </c:pt>
                      <c:pt idx="10">
                        <c:v>52.869998931884801</c:v>
                      </c:pt>
                      <c:pt idx="11">
                        <c:v>51.0200004577637</c:v>
                      </c:pt>
                      <c:pt idx="12">
                        <c:v>49.580001831054702</c:v>
                      </c:pt>
                      <c:pt idx="13">
                        <c:v>48.150001525878899</c:v>
                      </c:pt>
                      <c:pt idx="14">
                        <c:v>46.849998474121101</c:v>
                      </c:pt>
                      <c:pt idx="15">
                        <c:v>45.580001831054702</c:v>
                      </c:pt>
                      <c:pt idx="16">
                        <c:v>44.459999084472699</c:v>
                      </c:pt>
                      <c:pt idx="17">
                        <c:v>43.590000152587898</c:v>
                      </c:pt>
                      <c:pt idx="18">
                        <c:v>42.580001831054702</c:v>
                      </c:pt>
                      <c:pt idx="19">
                        <c:v>41.630001068115199</c:v>
                      </c:pt>
                    </c:numCache>
                  </c:numRef>
                </c:val>
                <c:extLst xmlns:c15="http://schemas.microsoft.com/office/drawing/2012/chart">
                  <c:ext xmlns:c16="http://schemas.microsoft.com/office/drawing/2014/chart" uri="{C3380CC4-5D6E-409C-BE32-E72D297353CC}">
                    <c16:uniqueId val="{00000028-E7C1-458D-9C9A-EDECE53A91E0}"/>
                  </c:ext>
                </c:extLst>
              </c15:ser>
            </c15:filteredBarSeries>
            <c15:filteredBarSeries>
              <c15:ser>
                <c:idx val="41"/>
                <c:order val="41"/>
                <c:tx>
                  <c:strRef>
                    <c:extLst xmlns:c15="http://schemas.microsoft.com/office/drawing/2012/chart">
                      <c:ext xmlns:c15="http://schemas.microsoft.com/office/drawing/2012/chart" uri="{02D57815-91ED-43cb-92C2-25804820EDAC}">
                        <c15:formulaRef>
                          <c15:sqref>'Data LM'!$A$40</c15:sqref>
                        </c15:formulaRef>
                      </c:ext>
                    </c:extLst>
                    <c:strCache>
                      <c:ptCount val="1"/>
                      <c:pt idx="0">
                        <c:v>Self-employed, total (% of total employment) (modeled ILO estimate)</c:v>
                      </c:pt>
                    </c:strCache>
                  </c:strRef>
                </c:tx>
                <c:spPr>
                  <a:solidFill>
                    <a:schemeClr val="accent6">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LM'!$C$40:$V$40</c15:sqref>
                        </c15:formulaRef>
                      </c:ext>
                    </c:extLst>
                    <c:numCache>
                      <c:formatCode>0.0</c:formatCode>
                      <c:ptCount val="20"/>
                      <c:pt idx="0">
                        <c:v>66.300003051757798</c:v>
                      </c:pt>
                      <c:pt idx="1">
                        <c:v>66.730003356933594</c:v>
                      </c:pt>
                      <c:pt idx="2">
                        <c:v>67.220001220703097</c:v>
                      </c:pt>
                      <c:pt idx="3">
                        <c:v>67.760002136230497</c:v>
                      </c:pt>
                      <c:pt idx="4">
                        <c:v>67.889999389648395</c:v>
                      </c:pt>
                      <c:pt idx="5">
                        <c:v>67.989997863769503</c:v>
                      </c:pt>
                      <c:pt idx="6">
                        <c:v>68.519996643066406</c:v>
                      </c:pt>
                      <c:pt idx="7">
                        <c:v>66.480003356933594</c:v>
                      </c:pt>
                      <c:pt idx="8">
                        <c:v>65.209999084472699</c:v>
                      </c:pt>
                      <c:pt idx="9">
                        <c:v>63.560001373291001</c:v>
                      </c:pt>
                      <c:pt idx="10">
                        <c:v>61.610000610351598</c:v>
                      </c:pt>
                      <c:pt idx="11">
                        <c:v>59.720001220703097</c:v>
                      </c:pt>
                      <c:pt idx="12">
                        <c:v>58.119998931884801</c:v>
                      </c:pt>
                      <c:pt idx="13">
                        <c:v>56.549999237060497</c:v>
                      </c:pt>
                      <c:pt idx="14">
                        <c:v>55.080001831054702</c:v>
                      </c:pt>
                      <c:pt idx="15">
                        <c:v>53.630001068115199</c:v>
                      </c:pt>
                      <c:pt idx="16">
                        <c:v>52.290000915527301</c:v>
                      </c:pt>
                      <c:pt idx="17">
                        <c:v>51.330001831054702</c:v>
                      </c:pt>
                      <c:pt idx="18">
                        <c:v>50.290000915527301</c:v>
                      </c:pt>
                      <c:pt idx="19">
                        <c:v>49.2700004577637</c:v>
                      </c:pt>
                    </c:numCache>
                  </c:numRef>
                </c:val>
                <c:extLst xmlns:c15="http://schemas.microsoft.com/office/drawing/2012/chart">
                  <c:ext xmlns:c16="http://schemas.microsoft.com/office/drawing/2014/chart" uri="{C3380CC4-5D6E-409C-BE32-E72D297353CC}">
                    <c16:uniqueId val="{00000029-E7C1-458D-9C9A-EDECE53A91E0}"/>
                  </c:ext>
                </c:extLst>
              </c15:ser>
            </c15:filteredBarSeries>
            <c15:filteredBarSeries>
              <c15:ser>
                <c:idx val="42"/>
                <c:order val="42"/>
                <c:tx>
                  <c:strRef>
                    <c:extLst xmlns:c15="http://schemas.microsoft.com/office/drawing/2012/chart">
                      <c:ext xmlns:c15="http://schemas.microsoft.com/office/drawing/2012/chart" uri="{02D57815-91ED-43cb-92C2-25804820EDAC}">
                        <c15:formulaRef>
                          <c15:sqref>'Data LM'!$A$41</c15:sqref>
                        </c15:formulaRef>
                      </c:ext>
                    </c:extLst>
                    <c:strCache>
                      <c:ptCount val="1"/>
                      <c:pt idx="0">
                        <c:v>Unemployment with advanced education (% of total labor force with advanced education)</c:v>
                      </c:pt>
                    </c:strCache>
                  </c:strRef>
                </c:tx>
                <c:spPr>
                  <a:solidFill>
                    <a:schemeClr val="accent1">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LM'!$C$41:$V$41</c15:sqref>
                        </c15:formulaRef>
                      </c:ext>
                    </c:extLst>
                    <c:numCache>
                      <c:formatCode>0.0</c:formatCode>
                      <c:ptCount val="20"/>
                      <c:pt idx="0">
                        <c:v>0</c:v>
                      </c:pt>
                      <c:pt idx="1">
                        <c:v>0</c:v>
                      </c:pt>
                      <c:pt idx="2">
                        <c:v>0</c:v>
                      </c:pt>
                      <c:pt idx="3">
                        <c:v>0</c:v>
                      </c:pt>
                      <c:pt idx="4">
                        <c:v>0</c:v>
                      </c:pt>
                      <c:pt idx="5">
                        <c:v>9.0900001525878906</c:v>
                      </c:pt>
                      <c:pt idx="6">
                        <c:v>9.0900001525878906</c:v>
                      </c:pt>
                      <c:pt idx="7">
                        <c:v>0</c:v>
                      </c:pt>
                      <c:pt idx="8">
                        <c:v>0</c:v>
                      </c:pt>
                      <c:pt idx="9">
                        <c:v>0</c:v>
                      </c:pt>
                      <c:pt idx="10">
                        <c:v>0</c:v>
                      </c:pt>
                      <c:pt idx="11">
                        <c:v>0</c:v>
                      </c:pt>
                      <c:pt idx="12">
                        <c:v>0</c:v>
                      </c:pt>
                      <c:pt idx="13">
                        <c:v>0</c:v>
                      </c:pt>
                      <c:pt idx="14">
                        <c:v>0</c:v>
                      </c:pt>
                      <c:pt idx="15">
                        <c:v>0</c:v>
                      </c:pt>
                      <c:pt idx="16">
                        <c:v>7.8200001716613796</c:v>
                      </c:pt>
                      <c:pt idx="17">
                        <c:v>0</c:v>
                      </c:pt>
                      <c:pt idx="18">
                        <c:v>0</c:v>
                      </c:pt>
                      <c:pt idx="19">
                        <c:v>12.329999923706101</c:v>
                      </c:pt>
                    </c:numCache>
                  </c:numRef>
                </c:val>
                <c:extLst xmlns:c15="http://schemas.microsoft.com/office/drawing/2012/chart">
                  <c:ext xmlns:c16="http://schemas.microsoft.com/office/drawing/2014/chart" uri="{C3380CC4-5D6E-409C-BE32-E72D297353CC}">
                    <c16:uniqueId val="{0000002A-E7C1-458D-9C9A-EDECE53A91E0}"/>
                  </c:ext>
                </c:extLst>
              </c15:ser>
            </c15:filteredBarSeries>
            <c15:filteredBarSeries>
              <c15:ser>
                <c:idx val="43"/>
                <c:order val="43"/>
                <c:tx>
                  <c:strRef>
                    <c:extLst xmlns:c15="http://schemas.microsoft.com/office/drawing/2012/chart">
                      <c:ext xmlns:c15="http://schemas.microsoft.com/office/drawing/2012/chart" uri="{02D57815-91ED-43cb-92C2-25804820EDAC}">
                        <c15:formulaRef>
                          <c15:sqref>'Data LM'!$A$42</c15:sqref>
                        </c15:formulaRef>
                      </c:ext>
                    </c:extLst>
                    <c:strCache>
                      <c:ptCount val="1"/>
                      <c:pt idx="0">
                        <c:v>Unemployment with advanced education, female (% of female labor force with advanced education)</c:v>
                      </c:pt>
                    </c:strCache>
                  </c:strRef>
                </c:tx>
                <c:spPr>
                  <a:solidFill>
                    <a:schemeClr val="accent2">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LM'!$C$42:$V$42</c15:sqref>
                        </c15:formulaRef>
                      </c:ext>
                    </c:extLst>
                    <c:numCache>
                      <c:formatCode>0.0</c:formatCode>
                      <c:ptCount val="20"/>
                      <c:pt idx="0">
                        <c:v>0</c:v>
                      </c:pt>
                      <c:pt idx="1">
                        <c:v>0</c:v>
                      </c:pt>
                      <c:pt idx="2">
                        <c:v>0</c:v>
                      </c:pt>
                      <c:pt idx="3">
                        <c:v>0</c:v>
                      </c:pt>
                      <c:pt idx="4">
                        <c:v>0</c:v>
                      </c:pt>
                      <c:pt idx="5">
                        <c:v>13.810000419616699</c:v>
                      </c:pt>
                      <c:pt idx="6">
                        <c:v>13.810000419616699</c:v>
                      </c:pt>
                      <c:pt idx="7">
                        <c:v>0</c:v>
                      </c:pt>
                      <c:pt idx="8">
                        <c:v>0</c:v>
                      </c:pt>
                      <c:pt idx="9">
                        <c:v>0</c:v>
                      </c:pt>
                      <c:pt idx="10">
                        <c:v>0</c:v>
                      </c:pt>
                      <c:pt idx="11">
                        <c:v>0</c:v>
                      </c:pt>
                      <c:pt idx="12">
                        <c:v>0</c:v>
                      </c:pt>
                      <c:pt idx="13">
                        <c:v>0</c:v>
                      </c:pt>
                      <c:pt idx="14">
                        <c:v>0</c:v>
                      </c:pt>
                      <c:pt idx="15">
                        <c:v>0</c:v>
                      </c:pt>
                      <c:pt idx="16">
                        <c:v>10.0299997329712</c:v>
                      </c:pt>
                      <c:pt idx="17">
                        <c:v>0</c:v>
                      </c:pt>
                      <c:pt idx="18">
                        <c:v>0</c:v>
                      </c:pt>
                      <c:pt idx="19">
                        <c:v>14.2799997329712</c:v>
                      </c:pt>
                    </c:numCache>
                  </c:numRef>
                </c:val>
                <c:extLst xmlns:c15="http://schemas.microsoft.com/office/drawing/2012/chart">
                  <c:ext xmlns:c16="http://schemas.microsoft.com/office/drawing/2014/chart" uri="{C3380CC4-5D6E-409C-BE32-E72D297353CC}">
                    <c16:uniqueId val="{0000002B-E7C1-458D-9C9A-EDECE53A91E0}"/>
                  </c:ext>
                </c:extLst>
              </c15:ser>
            </c15:filteredBarSeries>
            <c15:filteredBarSeries>
              <c15:ser>
                <c:idx val="44"/>
                <c:order val="44"/>
                <c:tx>
                  <c:strRef>
                    <c:extLst xmlns:c15="http://schemas.microsoft.com/office/drawing/2012/chart">
                      <c:ext xmlns:c15="http://schemas.microsoft.com/office/drawing/2012/chart" uri="{02D57815-91ED-43cb-92C2-25804820EDAC}">
                        <c15:formulaRef>
                          <c15:sqref>'Data LM'!$A$43</c15:sqref>
                        </c15:formulaRef>
                      </c:ext>
                    </c:extLst>
                    <c:strCache>
                      <c:ptCount val="1"/>
                      <c:pt idx="0">
                        <c:v>Unemployment with advanced education, male (% of male labor force with advanced education)</c:v>
                      </c:pt>
                    </c:strCache>
                  </c:strRef>
                </c:tx>
                <c:spPr>
                  <a:solidFill>
                    <a:schemeClr val="accent3">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LM'!$C$43:$V$43</c15:sqref>
                        </c15:formulaRef>
                      </c:ext>
                    </c:extLst>
                    <c:numCache>
                      <c:formatCode>0.0</c:formatCode>
                      <c:ptCount val="20"/>
                      <c:pt idx="0">
                        <c:v>0</c:v>
                      </c:pt>
                      <c:pt idx="1">
                        <c:v>0</c:v>
                      </c:pt>
                      <c:pt idx="2">
                        <c:v>0</c:v>
                      </c:pt>
                      <c:pt idx="3">
                        <c:v>0</c:v>
                      </c:pt>
                      <c:pt idx="4">
                        <c:v>0</c:v>
                      </c:pt>
                      <c:pt idx="5">
                        <c:v>7.3099999427795401</c:v>
                      </c:pt>
                      <c:pt idx="6">
                        <c:v>7.3099999427795401</c:v>
                      </c:pt>
                      <c:pt idx="7">
                        <c:v>0</c:v>
                      </c:pt>
                      <c:pt idx="8">
                        <c:v>0</c:v>
                      </c:pt>
                      <c:pt idx="9">
                        <c:v>0</c:v>
                      </c:pt>
                      <c:pt idx="10">
                        <c:v>0</c:v>
                      </c:pt>
                      <c:pt idx="11">
                        <c:v>0</c:v>
                      </c:pt>
                      <c:pt idx="12">
                        <c:v>0</c:v>
                      </c:pt>
                      <c:pt idx="13">
                        <c:v>0</c:v>
                      </c:pt>
                      <c:pt idx="14">
                        <c:v>0</c:v>
                      </c:pt>
                      <c:pt idx="15">
                        <c:v>0</c:v>
                      </c:pt>
                      <c:pt idx="16">
                        <c:v>6.3499999046325701</c:v>
                      </c:pt>
                      <c:pt idx="17">
                        <c:v>0</c:v>
                      </c:pt>
                      <c:pt idx="18">
                        <c:v>0</c:v>
                      </c:pt>
                      <c:pt idx="19">
                        <c:v>11.0900001525879</c:v>
                      </c:pt>
                    </c:numCache>
                  </c:numRef>
                </c:val>
                <c:extLst xmlns:c15="http://schemas.microsoft.com/office/drawing/2012/chart">
                  <c:ext xmlns:c16="http://schemas.microsoft.com/office/drawing/2014/chart" uri="{C3380CC4-5D6E-409C-BE32-E72D297353CC}">
                    <c16:uniqueId val="{0000002C-E7C1-458D-9C9A-EDECE53A91E0}"/>
                  </c:ext>
                </c:extLst>
              </c15:ser>
            </c15:filteredBarSeries>
            <c15:filteredBarSeries>
              <c15:ser>
                <c:idx val="45"/>
                <c:order val="45"/>
                <c:tx>
                  <c:strRef>
                    <c:extLst xmlns:c15="http://schemas.microsoft.com/office/drawing/2012/chart">
                      <c:ext xmlns:c15="http://schemas.microsoft.com/office/drawing/2012/chart" uri="{02D57815-91ED-43cb-92C2-25804820EDAC}">
                        <c15:formulaRef>
                          <c15:sqref>'Data LM'!$A$44</c15:sqref>
                        </c15:formulaRef>
                      </c:ext>
                    </c:extLst>
                    <c:strCache>
                      <c:ptCount val="1"/>
                      <c:pt idx="0">
                        <c:v>Unemployment with basic education (% of total labor force with basic education)</c:v>
                      </c:pt>
                    </c:strCache>
                  </c:strRef>
                </c:tx>
                <c:spPr>
                  <a:solidFill>
                    <a:schemeClr val="accent4">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LM'!$C$44:$V$44</c15:sqref>
                        </c15:formulaRef>
                      </c:ext>
                    </c:extLst>
                    <c:numCache>
                      <c:formatCode>0.0</c:formatCode>
                      <c:ptCount val="20"/>
                      <c:pt idx="0">
                        <c:v>0</c:v>
                      </c:pt>
                      <c:pt idx="1">
                        <c:v>0</c:v>
                      </c:pt>
                      <c:pt idx="2">
                        <c:v>0</c:v>
                      </c:pt>
                      <c:pt idx="3">
                        <c:v>0</c:v>
                      </c:pt>
                      <c:pt idx="4">
                        <c:v>0</c:v>
                      </c:pt>
                      <c:pt idx="5">
                        <c:v>9.3100004196166992</c:v>
                      </c:pt>
                      <c:pt idx="6">
                        <c:v>9.3100004196166992</c:v>
                      </c:pt>
                      <c:pt idx="7">
                        <c:v>0</c:v>
                      </c:pt>
                      <c:pt idx="8">
                        <c:v>0</c:v>
                      </c:pt>
                      <c:pt idx="9">
                        <c:v>0</c:v>
                      </c:pt>
                      <c:pt idx="10">
                        <c:v>0</c:v>
                      </c:pt>
                      <c:pt idx="11">
                        <c:v>0</c:v>
                      </c:pt>
                      <c:pt idx="12">
                        <c:v>0</c:v>
                      </c:pt>
                      <c:pt idx="13">
                        <c:v>0</c:v>
                      </c:pt>
                      <c:pt idx="14">
                        <c:v>0</c:v>
                      </c:pt>
                      <c:pt idx="15">
                        <c:v>0</c:v>
                      </c:pt>
                      <c:pt idx="16">
                        <c:v>1.5900000333786</c:v>
                      </c:pt>
                      <c:pt idx="17">
                        <c:v>0</c:v>
                      </c:pt>
                      <c:pt idx="18">
                        <c:v>0</c:v>
                      </c:pt>
                      <c:pt idx="19">
                        <c:v>4.1399998664856001</c:v>
                      </c:pt>
                    </c:numCache>
                  </c:numRef>
                </c:val>
                <c:extLst xmlns:c15="http://schemas.microsoft.com/office/drawing/2012/chart">
                  <c:ext xmlns:c16="http://schemas.microsoft.com/office/drawing/2014/chart" uri="{C3380CC4-5D6E-409C-BE32-E72D297353CC}">
                    <c16:uniqueId val="{0000002D-E7C1-458D-9C9A-EDECE53A91E0}"/>
                  </c:ext>
                </c:extLst>
              </c15:ser>
            </c15:filteredBarSeries>
            <c15:filteredBarSeries>
              <c15:ser>
                <c:idx val="46"/>
                <c:order val="46"/>
                <c:tx>
                  <c:strRef>
                    <c:extLst xmlns:c15="http://schemas.microsoft.com/office/drawing/2012/chart">
                      <c:ext xmlns:c15="http://schemas.microsoft.com/office/drawing/2012/chart" uri="{02D57815-91ED-43cb-92C2-25804820EDAC}">
                        <c15:formulaRef>
                          <c15:sqref>'Data LM'!$A$45</c15:sqref>
                        </c15:formulaRef>
                      </c:ext>
                    </c:extLst>
                    <c:strCache>
                      <c:ptCount val="1"/>
                      <c:pt idx="0">
                        <c:v>Unemployment with basic education, female (% of female labor force with basic education)</c:v>
                      </c:pt>
                    </c:strCache>
                  </c:strRef>
                </c:tx>
                <c:spPr>
                  <a:solidFill>
                    <a:schemeClr val="accent5">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LM'!$C$45:$V$45</c15:sqref>
                        </c15:formulaRef>
                      </c:ext>
                    </c:extLst>
                    <c:numCache>
                      <c:formatCode>0.0</c:formatCode>
                      <c:ptCount val="20"/>
                      <c:pt idx="0">
                        <c:v>0</c:v>
                      </c:pt>
                      <c:pt idx="1">
                        <c:v>0</c:v>
                      </c:pt>
                      <c:pt idx="2">
                        <c:v>0</c:v>
                      </c:pt>
                      <c:pt idx="3">
                        <c:v>0</c:v>
                      </c:pt>
                      <c:pt idx="4">
                        <c:v>0</c:v>
                      </c:pt>
                      <c:pt idx="5">
                        <c:v>9.0799999237060494</c:v>
                      </c:pt>
                      <c:pt idx="6">
                        <c:v>9.0799999237060494</c:v>
                      </c:pt>
                      <c:pt idx="7">
                        <c:v>0</c:v>
                      </c:pt>
                      <c:pt idx="8">
                        <c:v>0</c:v>
                      </c:pt>
                      <c:pt idx="9">
                        <c:v>0</c:v>
                      </c:pt>
                      <c:pt idx="10">
                        <c:v>0</c:v>
                      </c:pt>
                      <c:pt idx="11">
                        <c:v>0</c:v>
                      </c:pt>
                      <c:pt idx="12">
                        <c:v>0</c:v>
                      </c:pt>
                      <c:pt idx="13">
                        <c:v>0</c:v>
                      </c:pt>
                      <c:pt idx="14">
                        <c:v>0</c:v>
                      </c:pt>
                      <c:pt idx="15">
                        <c:v>0</c:v>
                      </c:pt>
                      <c:pt idx="16">
                        <c:v>1.7799999713897701</c:v>
                      </c:pt>
                      <c:pt idx="17">
                        <c:v>0</c:v>
                      </c:pt>
                      <c:pt idx="18">
                        <c:v>0</c:v>
                      </c:pt>
                      <c:pt idx="19">
                        <c:v>4.2300000190734899</c:v>
                      </c:pt>
                    </c:numCache>
                  </c:numRef>
                </c:val>
                <c:extLst xmlns:c15="http://schemas.microsoft.com/office/drawing/2012/chart">
                  <c:ext xmlns:c16="http://schemas.microsoft.com/office/drawing/2014/chart" uri="{C3380CC4-5D6E-409C-BE32-E72D297353CC}">
                    <c16:uniqueId val="{0000002E-E7C1-458D-9C9A-EDECE53A91E0}"/>
                  </c:ext>
                </c:extLst>
              </c15:ser>
            </c15:filteredBarSeries>
            <c15:filteredBarSeries>
              <c15:ser>
                <c:idx val="47"/>
                <c:order val="47"/>
                <c:tx>
                  <c:strRef>
                    <c:extLst xmlns:c15="http://schemas.microsoft.com/office/drawing/2012/chart">
                      <c:ext xmlns:c15="http://schemas.microsoft.com/office/drawing/2012/chart" uri="{02D57815-91ED-43cb-92C2-25804820EDAC}">
                        <c15:formulaRef>
                          <c15:sqref>'Data LM'!$A$46</c15:sqref>
                        </c15:formulaRef>
                      </c:ext>
                    </c:extLst>
                    <c:strCache>
                      <c:ptCount val="1"/>
                      <c:pt idx="0">
                        <c:v>Unemployment with basic education, male (% of male labor force with basic education)</c:v>
                      </c:pt>
                    </c:strCache>
                  </c:strRef>
                </c:tx>
                <c:spPr>
                  <a:solidFill>
                    <a:schemeClr val="accent6">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LM'!$C$46:$V$46</c15:sqref>
                        </c15:formulaRef>
                      </c:ext>
                    </c:extLst>
                    <c:numCache>
                      <c:formatCode>0.0</c:formatCode>
                      <c:ptCount val="20"/>
                      <c:pt idx="0">
                        <c:v>0</c:v>
                      </c:pt>
                      <c:pt idx="1">
                        <c:v>0</c:v>
                      </c:pt>
                      <c:pt idx="2">
                        <c:v>0</c:v>
                      </c:pt>
                      <c:pt idx="3">
                        <c:v>0</c:v>
                      </c:pt>
                      <c:pt idx="4">
                        <c:v>0</c:v>
                      </c:pt>
                      <c:pt idx="5">
                        <c:v>9.5</c:v>
                      </c:pt>
                      <c:pt idx="6">
                        <c:v>9.5</c:v>
                      </c:pt>
                      <c:pt idx="7">
                        <c:v>0</c:v>
                      </c:pt>
                      <c:pt idx="8">
                        <c:v>0</c:v>
                      </c:pt>
                      <c:pt idx="9">
                        <c:v>0</c:v>
                      </c:pt>
                      <c:pt idx="10">
                        <c:v>0</c:v>
                      </c:pt>
                      <c:pt idx="11">
                        <c:v>0</c:v>
                      </c:pt>
                      <c:pt idx="12">
                        <c:v>0</c:v>
                      </c:pt>
                      <c:pt idx="13">
                        <c:v>0</c:v>
                      </c:pt>
                      <c:pt idx="14">
                        <c:v>0</c:v>
                      </c:pt>
                      <c:pt idx="15">
                        <c:v>0</c:v>
                      </c:pt>
                      <c:pt idx="16">
                        <c:v>1.3999999761581401</c:v>
                      </c:pt>
                      <c:pt idx="17">
                        <c:v>0</c:v>
                      </c:pt>
                      <c:pt idx="18">
                        <c:v>0</c:v>
                      </c:pt>
                      <c:pt idx="19">
                        <c:v>4.0599999427795401</c:v>
                      </c:pt>
                    </c:numCache>
                  </c:numRef>
                </c:val>
                <c:extLst xmlns:c15="http://schemas.microsoft.com/office/drawing/2012/chart">
                  <c:ext xmlns:c16="http://schemas.microsoft.com/office/drawing/2014/chart" uri="{C3380CC4-5D6E-409C-BE32-E72D297353CC}">
                    <c16:uniqueId val="{0000002F-E7C1-458D-9C9A-EDECE53A91E0}"/>
                  </c:ext>
                </c:extLst>
              </c15:ser>
            </c15:filteredBarSeries>
            <c15:filteredBarSeries>
              <c15:ser>
                <c:idx val="48"/>
                <c:order val="48"/>
                <c:tx>
                  <c:strRef>
                    <c:extLst xmlns:c15="http://schemas.microsoft.com/office/drawing/2012/chart">
                      <c:ext xmlns:c15="http://schemas.microsoft.com/office/drawing/2012/chart" uri="{02D57815-91ED-43cb-92C2-25804820EDAC}">
                        <c15:formulaRef>
                          <c15:sqref>'Data LM'!$A$47</c15:sqref>
                        </c15:formulaRef>
                      </c:ext>
                    </c:extLst>
                    <c:strCache>
                      <c:ptCount val="1"/>
                      <c:pt idx="0">
                        <c:v>Unemployment with intermediate education (% of total labor force with intermediate education)</c:v>
                      </c:pt>
                    </c:strCache>
                  </c:strRef>
                </c:tx>
                <c:spPr>
                  <a:solidFill>
                    <a:schemeClr val="accent1">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LM'!$C$47:$V$47</c15:sqref>
                        </c15:formulaRef>
                      </c:ext>
                    </c:extLst>
                    <c:numCache>
                      <c:formatCode>0.0</c:formatCode>
                      <c:ptCount val="20"/>
                      <c:pt idx="0">
                        <c:v>0</c:v>
                      </c:pt>
                      <c:pt idx="1">
                        <c:v>0</c:v>
                      </c:pt>
                      <c:pt idx="2">
                        <c:v>0</c:v>
                      </c:pt>
                      <c:pt idx="3">
                        <c:v>0</c:v>
                      </c:pt>
                      <c:pt idx="4">
                        <c:v>0</c:v>
                      </c:pt>
                      <c:pt idx="5">
                        <c:v>12.3400001525879</c:v>
                      </c:pt>
                      <c:pt idx="6">
                        <c:v>12.3400001525879</c:v>
                      </c:pt>
                      <c:pt idx="7">
                        <c:v>0</c:v>
                      </c:pt>
                      <c:pt idx="8">
                        <c:v>0</c:v>
                      </c:pt>
                      <c:pt idx="9">
                        <c:v>0</c:v>
                      </c:pt>
                      <c:pt idx="10">
                        <c:v>0</c:v>
                      </c:pt>
                      <c:pt idx="11">
                        <c:v>0</c:v>
                      </c:pt>
                      <c:pt idx="12">
                        <c:v>0</c:v>
                      </c:pt>
                      <c:pt idx="13">
                        <c:v>0</c:v>
                      </c:pt>
                      <c:pt idx="14">
                        <c:v>0</c:v>
                      </c:pt>
                      <c:pt idx="15">
                        <c:v>0</c:v>
                      </c:pt>
                      <c:pt idx="16">
                        <c:v>4.1700000762939498</c:v>
                      </c:pt>
                      <c:pt idx="17">
                        <c:v>0</c:v>
                      </c:pt>
                      <c:pt idx="18">
                        <c:v>0</c:v>
                      </c:pt>
                      <c:pt idx="19">
                        <c:v>8.1400003433227504</c:v>
                      </c:pt>
                    </c:numCache>
                  </c:numRef>
                </c:val>
                <c:extLst xmlns:c15="http://schemas.microsoft.com/office/drawing/2012/chart">
                  <c:ext xmlns:c16="http://schemas.microsoft.com/office/drawing/2014/chart" uri="{C3380CC4-5D6E-409C-BE32-E72D297353CC}">
                    <c16:uniqueId val="{00000030-E7C1-458D-9C9A-EDECE53A91E0}"/>
                  </c:ext>
                </c:extLst>
              </c15:ser>
            </c15:filteredBarSeries>
            <c15:filteredBarSeries>
              <c15:ser>
                <c:idx val="49"/>
                <c:order val="49"/>
                <c:tx>
                  <c:strRef>
                    <c:extLst xmlns:c15="http://schemas.microsoft.com/office/drawing/2012/chart">
                      <c:ext xmlns:c15="http://schemas.microsoft.com/office/drawing/2012/chart" uri="{02D57815-91ED-43cb-92C2-25804820EDAC}">
                        <c15:formulaRef>
                          <c15:sqref>'Data LM'!$A$48</c15:sqref>
                        </c15:formulaRef>
                      </c:ext>
                    </c:extLst>
                    <c:strCache>
                      <c:ptCount val="1"/>
                      <c:pt idx="0">
                        <c:v>Unemployment with intermediate education, female (% of female labor force with intermediate education)</c:v>
                      </c:pt>
                    </c:strCache>
                  </c:strRef>
                </c:tx>
                <c:spPr>
                  <a:solidFill>
                    <a:schemeClr val="accent2">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LM'!$C$48:$V$48</c15:sqref>
                        </c15:formulaRef>
                      </c:ext>
                    </c:extLst>
                    <c:numCache>
                      <c:formatCode>0.0</c:formatCode>
                      <c:ptCount val="20"/>
                      <c:pt idx="0">
                        <c:v>0</c:v>
                      </c:pt>
                      <c:pt idx="1">
                        <c:v>0</c:v>
                      </c:pt>
                      <c:pt idx="2">
                        <c:v>0</c:v>
                      </c:pt>
                      <c:pt idx="3">
                        <c:v>0</c:v>
                      </c:pt>
                      <c:pt idx="4">
                        <c:v>0</c:v>
                      </c:pt>
                      <c:pt idx="5">
                        <c:v>16.340000152587901</c:v>
                      </c:pt>
                      <c:pt idx="6">
                        <c:v>16.340000152587901</c:v>
                      </c:pt>
                      <c:pt idx="7">
                        <c:v>0</c:v>
                      </c:pt>
                      <c:pt idx="8">
                        <c:v>0</c:v>
                      </c:pt>
                      <c:pt idx="9">
                        <c:v>0</c:v>
                      </c:pt>
                      <c:pt idx="10">
                        <c:v>0</c:v>
                      </c:pt>
                      <c:pt idx="11">
                        <c:v>0</c:v>
                      </c:pt>
                      <c:pt idx="12">
                        <c:v>0</c:v>
                      </c:pt>
                      <c:pt idx="13">
                        <c:v>0</c:v>
                      </c:pt>
                      <c:pt idx="14">
                        <c:v>0</c:v>
                      </c:pt>
                      <c:pt idx="15">
                        <c:v>0</c:v>
                      </c:pt>
                      <c:pt idx="16">
                        <c:v>4.8099999427795401</c:v>
                      </c:pt>
                      <c:pt idx="17">
                        <c:v>0</c:v>
                      </c:pt>
                      <c:pt idx="18">
                        <c:v>0</c:v>
                      </c:pt>
                      <c:pt idx="19">
                        <c:v>10.680000305175801</c:v>
                      </c:pt>
                    </c:numCache>
                  </c:numRef>
                </c:val>
                <c:extLst xmlns:c15="http://schemas.microsoft.com/office/drawing/2012/chart">
                  <c:ext xmlns:c16="http://schemas.microsoft.com/office/drawing/2014/chart" uri="{C3380CC4-5D6E-409C-BE32-E72D297353CC}">
                    <c16:uniqueId val="{00000031-E7C1-458D-9C9A-EDECE53A91E0}"/>
                  </c:ext>
                </c:extLst>
              </c15:ser>
            </c15:filteredBarSeries>
            <c15:filteredBarSeries>
              <c15:ser>
                <c:idx val="50"/>
                <c:order val="50"/>
                <c:tx>
                  <c:strRef>
                    <c:extLst xmlns:c15="http://schemas.microsoft.com/office/drawing/2012/chart">
                      <c:ext xmlns:c15="http://schemas.microsoft.com/office/drawing/2012/chart" uri="{02D57815-91ED-43cb-92C2-25804820EDAC}">
                        <c15:formulaRef>
                          <c15:sqref>'Data LM'!$A$49</c15:sqref>
                        </c15:formulaRef>
                      </c:ext>
                    </c:extLst>
                    <c:strCache>
                      <c:ptCount val="1"/>
                      <c:pt idx="0">
                        <c:v>Unemployment with intermediate education, male (% of male labor force with intermediate education)</c:v>
                      </c:pt>
                    </c:strCache>
                  </c:strRef>
                </c:tx>
                <c:spPr>
                  <a:solidFill>
                    <a:schemeClr val="accent3">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LM'!$C$49:$V$49</c15:sqref>
                        </c15:formulaRef>
                      </c:ext>
                    </c:extLst>
                    <c:numCache>
                      <c:formatCode>0.0</c:formatCode>
                      <c:ptCount val="20"/>
                      <c:pt idx="0">
                        <c:v>0</c:v>
                      </c:pt>
                      <c:pt idx="1">
                        <c:v>0</c:v>
                      </c:pt>
                      <c:pt idx="2">
                        <c:v>0</c:v>
                      </c:pt>
                      <c:pt idx="3">
                        <c:v>0</c:v>
                      </c:pt>
                      <c:pt idx="4">
                        <c:v>0</c:v>
                      </c:pt>
                      <c:pt idx="5">
                        <c:v>9.7399997711181605</c:v>
                      </c:pt>
                      <c:pt idx="6">
                        <c:v>9.7399997711181605</c:v>
                      </c:pt>
                      <c:pt idx="7">
                        <c:v>0</c:v>
                      </c:pt>
                      <c:pt idx="8">
                        <c:v>0</c:v>
                      </c:pt>
                      <c:pt idx="9">
                        <c:v>0</c:v>
                      </c:pt>
                      <c:pt idx="10">
                        <c:v>0</c:v>
                      </c:pt>
                      <c:pt idx="11">
                        <c:v>0</c:v>
                      </c:pt>
                      <c:pt idx="12">
                        <c:v>0</c:v>
                      </c:pt>
                      <c:pt idx="13">
                        <c:v>0</c:v>
                      </c:pt>
                      <c:pt idx="14">
                        <c:v>0</c:v>
                      </c:pt>
                      <c:pt idx="15">
                        <c:v>0</c:v>
                      </c:pt>
                      <c:pt idx="16">
                        <c:v>3.6500000953674299</c:v>
                      </c:pt>
                      <c:pt idx="17">
                        <c:v>0</c:v>
                      </c:pt>
                      <c:pt idx="18">
                        <c:v>0</c:v>
                      </c:pt>
                      <c:pt idx="19">
                        <c:v>6.5700001716613796</c:v>
                      </c:pt>
                    </c:numCache>
                  </c:numRef>
                </c:val>
                <c:extLst xmlns:c15="http://schemas.microsoft.com/office/drawing/2012/chart">
                  <c:ext xmlns:c16="http://schemas.microsoft.com/office/drawing/2014/chart" uri="{C3380CC4-5D6E-409C-BE32-E72D297353CC}">
                    <c16:uniqueId val="{00000032-E7C1-458D-9C9A-EDECE53A91E0}"/>
                  </c:ext>
                </c:extLst>
              </c15:ser>
            </c15:filteredBarSeries>
            <c15:filteredBarSeries>
              <c15:ser>
                <c:idx val="51"/>
                <c:order val="51"/>
                <c:tx>
                  <c:strRef>
                    <c:extLst xmlns:c15="http://schemas.microsoft.com/office/drawing/2012/chart">
                      <c:ext xmlns:c15="http://schemas.microsoft.com/office/drawing/2012/chart" uri="{02D57815-91ED-43cb-92C2-25804820EDAC}">
                        <c15:formulaRef>
                          <c15:sqref>'Data LM'!$A$50</c15:sqref>
                        </c15:formulaRef>
                      </c:ext>
                    </c:extLst>
                    <c:strCache>
                      <c:ptCount val="1"/>
                      <c:pt idx="0">
                        <c:v>Unemployment, female (% of female labor force) (modeled ILO estimate)</c:v>
                      </c:pt>
                    </c:strCache>
                  </c:strRef>
                </c:tx>
                <c:spPr>
                  <a:solidFill>
                    <a:schemeClr val="accent4">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LM'!$C$50:$V$50</c15:sqref>
                        </c15:formulaRef>
                      </c:ext>
                    </c:extLst>
                    <c:numCache>
                      <c:formatCode>0.0</c:formatCode>
                      <c:ptCount val="20"/>
                      <c:pt idx="0">
                        <c:v>3.2809998989105198</c:v>
                      </c:pt>
                      <c:pt idx="1">
                        <c:v>3.2439999580383301</c:v>
                      </c:pt>
                      <c:pt idx="2">
                        <c:v>3.2469999790191699</c:v>
                      </c:pt>
                      <c:pt idx="3">
                        <c:v>3.2149999141693102</c:v>
                      </c:pt>
                      <c:pt idx="4">
                        <c:v>3.1849999427795401</c:v>
                      </c:pt>
                      <c:pt idx="5">
                        <c:v>3.1619999408721902</c:v>
                      </c:pt>
                      <c:pt idx="6">
                        <c:v>3.1400001049041699</c:v>
                      </c:pt>
                      <c:pt idx="7">
                        <c:v>3.1199998855590798</c:v>
                      </c:pt>
                      <c:pt idx="8">
                        <c:v>3.1400001049041699</c:v>
                      </c:pt>
                      <c:pt idx="9">
                        <c:v>3.1029999256134002</c:v>
                      </c:pt>
                      <c:pt idx="10">
                        <c:v>3.05299997329712</c:v>
                      </c:pt>
                      <c:pt idx="11">
                        <c:v>3.0469999313354501</c:v>
                      </c:pt>
                      <c:pt idx="12">
                        <c:v>3.03600001335144</c:v>
                      </c:pt>
                      <c:pt idx="13">
                        <c:v>3.0079998970031698</c:v>
                      </c:pt>
                      <c:pt idx="14">
                        <c:v>2.9900000095367401</c:v>
                      </c:pt>
                      <c:pt idx="15">
                        <c:v>2.9670000076293901</c:v>
                      </c:pt>
                      <c:pt idx="16">
                        <c:v>2.9449999332428001</c:v>
                      </c:pt>
                      <c:pt idx="17">
                        <c:v>3.7170000076293901</c:v>
                      </c:pt>
                      <c:pt idx="18">
                        <c:v>4.47300004959106</c:v>
                      </c:pt>
                      <c:pt idx="19">
                        <c:v>5.2519998550415004</c:v>
                      </c:pt>
                    </c:numCache>
                  </c:numRef>
                </c:val>
                <c:extLst xmlns:c15="http://schemas.microsoft.com/office/drawing/2012/chart">
                  <c:ext xmlns:c16="http://schemas.microsoft.com/office/drawing/2014/chart" uri="{C3380CC4-5D6E-409C-BE32-E72D297353CC}">
                    <c16:uniqueId val="{00000033-E7C1-458D-9C9A-EDECE53A91E0}"/>
                  </c:ext>
                </c:extLst>
              </c15:ser>
            </c15:filteredBarSeries>
            <c15:filteredBarSeries>
              <c15:ser>
                <c:idx val="52"/>
                <c:order val="52"/>
                <c:tx>
                  <c:strRef>
                    <c:extLst xmlns:c15="http://schemas.microsoft.com/office/drawing/2012/chart">
                      <c:ext xmlns:c15="http://schemas.microsoft.com/office/drawing/2012/chart" uri="{02D57815-91ED-43cb-92C2-25804820EDAC}">
                        <c15:formulaRef>
                          <c15:sqref>'Data LM'!$A$51</c15:sqref>
                        </c15:formulaRef>
                      </c:ext>
                    </c:extLst>
                    <c:strCache>
                      <c:ptCount val="1"/>
                      <c:pt idx="0">
                        <c:v>Unemployment, female (% of female labor force) (national estimate)</c:v>
                      </c:pt>
                    </c:strCache>
                  </c:strRef>
                </c:tx>
                <c:spPr>
                  <a:solidFill>
                    <a:schemeClr val="accent5">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LM'!$C$51:$V$51</c15:sqref>
                        </c15:formulaRef>
                      </c:ext>
                    </c:extLst>
                    <c:numCache>
                      <c:formatCode>0.0</c:formatCode>
                      <c:ptCount val="20"/>
                      <c:pt idx="0">
                        <c:v>0</c:v>
                      </c:pt>
                      <c:pt idx="1">
                        <c:v>0</c:v>
                      </c:pt>
                      <c:pt idx="2">
                        <c:v>0</c:v>
                      </c:pt>
                      <c:pt idx="3">
                        <c:v>0</c:v>
                      </c:pt>
                      <c:pt idx="4">
                        <c:v>0</c:v>
                      </c:pt>
                      <c:pt idx="5">
                        <c:v>10.1300001144409</c:v>
                      </c:pt>
                      <c:pt idx="6">
                        <c:v>10.1300001144409</c:v>
                      </c:pt>
                      <c:pt idx="7">
                        <c:v>0</c:v>
                      </c:pt>
                      <c:pt idx="8">
                        <c:v>0</c:v>
                      </c:pt>
                      <c:pt idx="9">
                        <c:v>9.3999996185302699</c:v>
                      </c:pt>
                      <c:pt idx="10">
                        <c:v>0</c:v>
                      </c:pt>
                      <c:pt idx="11">
                        <c:v>0</c:v>
                      </c:pt>
                      <c:pt idx="12">
                        <c:v>0</c:v>
                      </c:pt>
                      <c:pt idx="13">
                        <c:v>0</c:v>
                      </c:pt>
                      <c:pt idx="14">
                        <c:v>0</c:v>
                      </c:pt>
                      <c:pt idx="15">
                        <c:v>0</c:v>
                      </c:pt>
                      <c:pt idx="16">
                        <c:v>2.9400000572204599</c:v>
                      </c:pt>
                      <c:pt idx="17">
                        <c:v>0</c:v>
                      </c:pt>
                      <c:pt idx="18">
                        <c:v>0</c:v>
                      </c:pt>
                      <c:pt idx="19">
                        <c:v>5.2600002288818404</c:v>
                      </c:pt>
                    </c:numCache>
                  </c:numRef>
                </c:val>
                <c:extLst xmlns:c15="http://schemas.microsoft.com/office/drawing/2012/chart">
                  <c:ext xmlns:c16="http://schemas.microsoft.com/office/drawing/2014/chart" uri="{C3380CC4-5D6E-409C-BE32-E72D297353CC}">
                    <c16:uniqueId val="{00000034-E7C1-458D-9C9A-EDECE53A91E0}"/>
                  </c:ext>
                </c:extLst>
              </c15:ser>
            </c15:filteredBarSeries>
            <c15:filteredBarSeries>
              <c15:ser>
                <c:idx val="53"/>
                <c:order val="53"/>
                <c:tx>
                  <c:strRef>
                    <c:extLst xmlns:c15="http://schemas.microsoft.com/office/drawing/2012/chart">
                      <c:ext xmlns:c15="http://schemas.microsoft.com/office/drawing/2012/chart" uri="{02D57815-91ED-43cb-92C2-25804820EDAC}">
                        <c15:formulaRef>
                          <c15:sqref>'Data LM'!$A$52</c15:sqref>
                        </c15:formulaRef>
                      </c:ext>
                    </c:extLst>
                    <c:strCache>
                      <c:ptCount val="1"/>
                      <c:pt idx="0">
                        <c:v>Unemployment, male (% of male labor force) (modeled ILO estimate)</c:v>
                      </c:pt>
                    </c:strCache>
                  </c:strRef>
                </c:tx>
                <c:spPr>
                  <a:solidFill>
                    <a:schemeClr val="accent6">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LM'!$C$52:$V$52</c15:sqref>
                        </c15:formulaRef>
                      </c:ext>
                    </c:extLst>
                    <c:numCache>
                      <c:formatCode>0.0</c:formatCode>
                      <c:ptCount val="20"/>
                      <c:pt idx="0">
                        <c:v>2.7660000324249299</c:v>
                      </c:pt>
                      <c:pt idx="1">
                        <c:v>2.7390000820159899</c:v>
                      </c:pt>
                      <c:pt idx="2">
                        <c:v>2.7509999275207502</c:v>
                      </c:pt>
                      <c:pt idx="3">
                        <c:v>2.7279999256134002</c:v>
                      </c:pt>
                      <c:pt idx="4">
                        <c:v>2.7070000171661399</c:v>
                      </c:pt>
                      <c:pt idx="5">
                        <c:v>2.6930000782012899</c:v>
                      </c:pt>
                      <c:pt idx="6">
                        <c:v>2.6809999942779501</c:v>
                      </c:pt>
                      <c:pt idx="7">
                        <c:v>2.6700000762939502</c:v>
                      </c:pt>
                      <c:pt idx="8">
                        <c:v>2.6989998817443799</c:v>
                      </c:pt>
                      <c:pt idx="9">
                        <c:v>2.6719999313354501</c:v>
                      </c:pt>
                      <c:pt idx="10">
                        <c:v>2.6329998970031698</c:v>
                      </c:pt>
                      <c:pt idx="11">
                        <c:v>2.6359999179840101</c:v>
                      </c:pt>
                      <c:pt idx="12">
                        <c:v>2.6340000629425</c:v>
                      </c:pt>
                      <c:pt idx="13">
                        <c:v>2.6170001029968302</c:v>
                      </c:pt>
                      <c:pt idx="14">
                        <c:v>2.6089999675750701</c:v>
                      </c:pt>
                      <c:pt idx="15">
                        <c:v>2.5959999561309801</c:v>
                      </c:pt>
                      <c:pt idx="16">
                        <c:v>2.5840001106262198</c:v>
                      </c:pt>
                      <c:pt idx="17">
                        <c:v>3.31599998474121</c:v>
                      </c:pt>
                      <c:pt idx="18">
                        <c:v>4.0329999923706099</c:v>
                      </c:pt>
                      <c:pt idx="19">
                        <c:v>4.7729997634887704</c:v>
                      </c:pt>
                    </c:numCache>
                  </c:numRef>
                </c:val>
                <c:extLst xmlns:c15="http://schemas.microsoft.com/office/drawing/2012/chart">
                  <c:ext xmlns:c16="http://schemas.microsoft.com/office/drawing/2014/chart" uri="{C3380CC4-5D6E-409C-BE32-E72D297353CC}">
                    <c16:uniqueId val="{00000035-E7C1-458D-9C9A-EDECE53A91E0}"/>
                  </c:ext>
                </c:extLst>
              </c15:ser>
            </c15:filteredBarSeries>
            <c15:filteredBarSeries>
              <c15:ser>
                <c:idx val="54"/>
                <c:order val="54"/>
                <c:tx>
                  <c:strRef>
                    <c:extLst xmlns:c15="http://schemas.microsoft.com/office/drawing/2012/chart">
                      <c:ext xmlns:c15="http://schemas.microsoft.com/office/drawing/2012/chart" uri="{02D57815-91ED-43cb-92C2-25804820EDAC}">
                        <c15:formulaRef>
                          <c15:sqref>'Data LM'!$A$53</c15:sqref>
                        </c15:formulaRef>
                      </c:ext>
                    </c:extLst>
                    <c:strCache>
                      <c:ptCount val="1"/>
                      <c:pt idx="0">
                        <c:v>Unemployment, male (% of male labor force) (national estimate)</c:v>
                      </c:pt>
                    </c:strCache>
                  </c:strRef>
                </c:tx>
                <c:spPr>
                  <a:solidFill>
                    <a:schemeClr val="accent1"/>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LM'!$C$53:$V$53</c15:sqref>
                        </c15:formulaRef>
                      </c:ext>
                    </c:extLst>
                    <c:numCache>
                      <c:formatCode>0.0</c:formatCode>
                      <c:ptCount val="20"/>
                      <c:pt idx="0">
                        <c:v>0</c:v>
                      </c:pt>
                      <c:pt idx="1">
                        <c:v>0</c:v>
                      </c:pt>
                      <c:pt idx="2">
                        <c:v>0</c:v>
                      </c:pt>
                      <c:pt idx="3">
                        <c:v>0</c:v>
                      </c:pt>
                      <c:pt idx="4">
                        <c:v>0</c:v>
                      </c:pt>
                      <c:pt idx="5">
                        <c:v>9.8100004196166992</c:v>
                      </c:pt>
                      <c:pt idx="6">
                        <c:v>9.8100004196166992</c:v>
                      </c:pt>
                      <c:pt idx="7">
                        <c:v>0</c:v>
                      </c:pt>
                      <c:pt idx="8">
                        <c:v>0</c:v>
                      </c:pt>
                      <c:pt idx="9">
                        <c:v>9.8999996185302699</c:v>
                      </c:pt>
                      <c:pt idx="10">
                        <c:v>0</c:v>
                      </c:pt>
                      <c:pt idx="11">
                        <c:v>0</c:v>
                      </c:pt>
                      <c:pt idx="12">
                        <c:v>0</c:v>
                      </c:pt>
                      <c:pt idx="13">
                        <c:v>0</c:v>
                      </c:pt>
                      <c:pt idx="14">
                        <c:v>0</c:v>
                      </c:pt>
                      <c:pt idx="15">
                        <c:v>0</c:v>
                      </c:pt>
                      <c:pt idx="16">
                        <c:v>2.5799999237060498</c:v>
                      </c:pt>
                      <c:pt idx="17">
                        <c:v>0</c:v>
                      </c:pt>
                      <c:pt idx="18">
                        <c:v>0</c:v>
                      </c:pt>
                      <c:pt idx="19">
                        <c:v>4.7800002098083496</c:v>
                      </c:pt>
                    </c:numCache>
                  </c:numRef>
                </c:val>
                <c:extLst xmlns:c15="http://schemas.microsoft.com/office/drawing/2012/chart">
                  <c:ext xmlns:c16="http://schemas.microsoft.com/office/drawing/2014/chart" uri="{C3380CC4-5D6E-409C-BE32-E72D297353CC}">
                    <c16:uniqueId val="{00000036-E7C1-458D-9C9A-EDECE53A91E0}"/>
                  </c:ext>
                </c:extLst>
              </c15:ser>
            </c15:filteredBarSeries>
            <c15:filteredBarSeries>
              <c15:ser>
                <c:idx val="55"/>
                <c:order val="55"/>
                <c:tx>
                  <c:strRef>
                    <c:extLst xmlns:c15="http://schemas.microsoft.com/office/drawing/2012/chart">
                      <c:ext xmlns:c15="http://schemas.microsoft.com/office/drawing/2012/chart" uri="{02D57815-91ED-43cb-92C2-25804820EDAC}">
                        <c15:formulaRef>
                          <c15:sqref>'Data LM'!$A$54</c15:sqref>
                        </c15:formulaRef>
                      </c:ext>
                    </c:extLst>
                    <c:strCache>
                      <c:ptCount val="1"/>
                      <c:pt idx="0">
                        <c:v>Unemployment, total (% of total labor force) (modeled ILO estimate)</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LM'!$C$54:$V$54</c15:sqref>
                        </c15:formulaRef>
                      </c:ext>
                    </c:extLst>
                    <c:numCache>
                      <c:formatCode>0.0</c:formatCode>
                      <c:ptCount val="20"/>
                      <c:pt idx="0">
                        <c:v>3.0209999084472701</c:v>
                      </c:pt>
                      <c:pt idx="1">
                        <c:v>2.9890000820159899</c:v>
                      </c:pt>
                      <c:pt idx="2">
                        <c:v>2.99600005149841</c:v>
                      </c:pt>
                      <c:pt idx="3">
                        <c:v>2.9690001010894802</c:v>
                      </c:pt>
                      <c:pt idx="4">
                        <c:v>2.9419999122619598</c:v>
                      </c:pt>
                      <c:pt idx="5">
                        <c:v>2.92400002479553</c:v>
                      </c:pt>
                      <c:pt idx="6">
                        <c:v>2.90700006484985</c:v>
                      </c:pt>
                      <c:pt idx="7">
                        <c:v>2.8910000324249299</c:v>
                      </c:pt>
                      <c:pt idx="8">
                        <c:v>2.9159998893737802</c:v>
                      </c:pt>
                      <c:pt idx="9">
                        <c:v>2.8840000629425</c:v>
                      </c:pt>
                      <c:pt idx="10">
                        <c:v>2.83899998664856</c:v>
                      </c:pt>
                      <c:pt idx="11">
                        <c:v>2.8369998931884801</c:v>
                      </c:pt>
                      <c:pt idx="12">
                        <c:v>2.8310000896453902</c:v>
                      </c:pt>
                      <c:pt idx="13">
                        <c:v>2.8080000877380402</c:v>
                      </c:pt>
                      <c:pt idx="14">
                        <c:v>2.7950000762939502</c:v>
                      </c:pt>
                      <c:pt idx="15">
                        <c:v>2.77699995040894</c:v>
                      </c:pt>
                      <c:pt idx="16">
                        <c:v>2.7599999904632599</c:v>
                      </c:pt>
                      <c:pt idx="17">
                        <c:v>3.51300001144409</c:v>
                      </c:pt>
                      <c:pt idx="18">
                        <c:v>4.2490000724792498</c:v>
                      </c:pt>
                      <c:pt idx="19">
                        <c:v>5.0100002288818404</c:v>
                      </c:pt>
                    </c:numCache>
                  </c:numRef>
                </c:val>
                <c:extLst xmlns:c15="http://schemas.microsoft.com/office/drawing/2012/chart">
                  <c:ext xmlns:c16="http://schemas.microsoft.com/office/drawing/2014/chart" uri="{C3380CC4-5D6E-409C-BE32-E72D297353CC}">
                    <c16:uniqueId val="{00000037-E7C1-458D-9C9A-EDECE53A91E0}"/>
                  </c:ext>
                </c:extLst>
              </c15:ser>
            </c15:filteredBarSeries>
            <c15:filteredBarSeries>
              <c15:ser>
                <c:idx val="56"/>
                <c:order val="56"/>
                <c:tx>
                  <c:strRef>
                    <c:extLst xmlns:c15="http://schemas.microsoft.com/office/drawing/2012/chart">
                      <c:ext xmlns:c15="http://schemas.microsoft.com/office/drawing/2012/chart" uri="{02D57815-91ED-43cb-92C2-25804820EDAC}">
                        <c15:formulaRef>
                          <c15:sqref>'Data LM'!$A$55</c15:sqref>
                        </c15:formulaRef>
                      </c:ext>
                    </c:extLst>
                    <c:strCache>
                      <c:ptCount val="1"/>
                      <c:pt idx="0">
                        <c:v>Unemployment, total (% of total labor force) (national estimate)</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LM'!$C$55:$V$55</c15:sqref>
                        </c15:formulaRef>
                      </c:ext>
                    </c:extLst>
                    <c:numCache>
                      <c:formatCode>0.0</c:formatCode>
                      <c:ptCount val="20"/>
                      <c:pt idx="0">
                        <c:v>0</c:v>
                      </c:pt>
                      <c:pt idx="1">
                        <c:v>0</c:v>
                      </c:pt>
                      <c:pt idx="2">
                        <c:v>0</c:v>
                      </c:pt>
                      <c:pt idx="3">
                        <c:v>0</c:v>
                      </c:pt>
                      <c:pt idx="4">
                        <c:v>0</c:v>
                      </c:pt>
                      <c:pt idx="5">
                        <c:v>9.9600000381469709</c:v>
                      </c:pt>
                      <c:pt idx="6">
                        <c:v>9.9600000381469709</c:v>
                      </c:pt>
                      <c:pt idx="7">
                        <c:v>0</c:v>
                      </c:pt>
                      <c:pt idx="8">
                        <c:v>0</c:v>
                      </c:pt>
                      <c:pt idx="9">
                        <c:v>9.6000003814697301</c:v>
                      </c:pt>
                      <c:pt idx="10">
                        <c:v>0</c:v>
                      </c:pt>
                      <c:pt idx="11">
                        <c:v>0</c:v>
                      </c:pt>
                      <c:pt idx="12">
                        <c:v>0</c:v>
                      </c:pt>
                      <c:pt idx="13">
                        <c:v>0</c:v>
                      </c:pt>
                      <c:pt idx="14">
                        <c:v>0</c:v>
                      </c:pt>
                      <c:pt idx="15">
                        <c:v>0</c:v>
                      </c:pt>
                      <c:pt idx="16">
                        <c:v>2.7599999904632599</c:v>
                      </c:pt>
                      <c:pt idx="17">
                        <c:v>0</c:v>
                      </c:pt>
                      <c:pt idx="18">
                        <c:v>0</c:v>
                      </c:pt>
                      <c:pt idx="19">
                        <c:v>5.0100002288818404</c:v>
                      </c:pt>
                    </c:numCache>
                  </c:numRef>
                </c:val>
                <c:extLst xmlns:c15="http://schemas.microsoft.com/office/drawing/2012/chart">
                  <c:ext xmlns:c16="http://schemas.microsoft.com/office/drawing/2014/chart" uri="{C3380CC4-5D6E-409C-BE32-E72D297353CC}">
                    <c16:uniqueId val="{00000038-E7C1-458D-9C9A-EDECE53A91E0}"/>
                  </c:ext>
                </c:extLst>
              </c15:ser>
            </c15:filteredBarSeries>
            <c15:filteredBarSeries>
              <c15:ser>
                <c:idx val="57"/>
                <c:order val="57"/>
                <c:tx>
                  <c:strRef>
                    <c:extLst xmlns:c15="http://schemas.microsoft.com/office/drawing/2012/chart">
                      <c:ext xmlns:c15="http://schemas.microsoft.com/office/drawing/2012/chart" uri="{02D57815-91ED-43cb-92C2-25804820EDAC}">
                        <c15:formulaRef>
                          <c15:sqref>'Data LM'!$A$56</c15:sqref>
                        </c15:formulaRef>
                      </c:ext>
                    </c:extLst>
                    <c:strCache>
                      <c:ptCount val="1"/>
                      <c:pt idx="0">
                        <c:v>Unemployment, youth female (% of female labor force ages 15-24) (modeled ILO estimate)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LM'!$C$56:$V$56</c15:sqref>
                        </c15:formulaRef>
                      </c:ext>
                    </c:extLst>
                    <c:numCache>
                      <c:formatCode>0.0</c:formatCode>
                      <c:ptCount val="20"/>
                      <c:pt idx="0">
                        <c:v>6.8889999389648402</c:v>
                      </c:pt>
                      <c:pt idx="1">
                        <c:v>6.8670001029968297</c:v>
                      </c:pt>
                      <c:pt idx="2">
                        <c:v>6.9120001792907697</c:v>
                      </c:pt>
                      <c:pt idx="3">
                        <c:v>6.90199995040894</c:v>
                      </c:pt>
                      <c:pt idx="4">
                        <c:v>6.9000000953674299</c:v>
                      </c:pt>
                      <c:pt idx="5">
                        <c:v>6.9219999313354501</c:v>
                      </c:pt>
                      <c:pt idx="6">
                        <c:v>6.9640002250671396</c:v>
                      </c:pt>
                      <c:pt idx="7">
                        <c:v>7.01300001144409</c:v>
                      </c:pt>
                      <c:pt idx="8">
                        <c:v>7.1399998664856001</c:v>
                      </c:pt>
                      <c:pt idx="9">
                        <c:v>7.1609997749328604</c:v>
                      </c:pt>
                      <c:pt idx="10">
                        <c:v>7.1539998054504403</c:v>
                      </c:pt>
                      <c:pt idx="11">
                        <c:v>7.2270002365112296</c:v>
                      </c:pt>
                      <c:pt idx="12">
                        <c:v>7.2870001792907697</c:v>
                      </c:pt>
                      <c:pt idx="13">
                        <c:v>7.3109998703002903</c:v>
                      </c:pt>
                      <c:pt idx="14">
                        <c:v>7.3470001220703098</c:v>
                      </c:pt>
                      <c:pt idx="15">
                        <c:v>7.3649997711181596</c:v>
                      </c:pt>
                      <c:pt idx="16">
                        <c:v>7.3810000419616699</c:v>
                      </c:pt>
                      <c:pt idx="17">
                        <c:v>9.2959995269775408</c:v>
                      </c:pt>
                      <c:pt idx="18">
                        <c:v>11.201000213623001</c:v>
                      </c:pt>
                      <c:pt idx="19">
                        <c:v>13.1759996414185</c:v>
                      </c:pt>
                    </c:numCache>
                  </c:numRef>
                </c:val>
                <c:extLst xmlns:c15="http://schemas.microsoft.com/office/drawing/2012/chart">
                  <c:ext xmlns:c16="http://schemas.microsoft.com/office/drawing/2014/chart" uri="{C3380CC4-5D6E-409C-BE32-E72D297353CC}">
                    <c16:uniqueId val="{00000039-E7C1-458D-9C9A-EDECE53A91E0}"/>
                  </c:ext>
                </c:extLst>
              </c15:ser>
            </c15:filteredBarSeries>
            <c15:filteredBarSeries>
              <c15:ser>
                <c:idx val="58"/>
                <c:order val="58"/>
                <c:tx>
                  <c:strRef>
                    <c:extLst xmlns:c15="http://schemas.microsoft.com/office/drawing/2012/chart">
                      <c:ext xmlns:c15="http://schemas.microsoft.com/office/drawing/2012/chart" uri="{02D57815-91ED-43cb-92C2-25804820EDAC}">
                        <c15:formulaRef>
                          <c15:sqref>'Data LM'!$A$57</c15:sqref>
                        </c15:formulaRef>
                      </c:ext>
                    </c:extLst>
                    <c:strCache>
                      <c:ptCount val="1"/>
                      <c:pt idx="0">
                        <c:v>Unemployment, youth female (% of female labor force ages 15-24) (national estimate)</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LM'!$C$57:$V$57</c15:sqref>
                        </c15:formulaRef>
                      </c:ext>
                    </c:extLst>
                    <c:numCache>
                      <c:formatCode>0.0</c:formatCode>
                      <c:ptCount val="20"/>
                      <c:pt idx="0">
                        <c:v>0</c:v>
                      </c:pt>
                      <c:pt idx="1">
                        <c:v>0</c:v>
                      </c:pt>
                      <c:pt idx="2">
                        <c:v>0</c:v>
                      </c:pt>
                      <c:pt idx="3">
                        <c:v>0</c:v>
                      </c:pt>
                      <c:pt idx="4">
                        <c:v>0</c:v>
                      </c:pt>
                      <c:pt idx="5">
                        <c:v>20.610000610351602</c:v>
                      </c:pt>
                      <c:pt idx="6">
                        <c:v>20.610000610351602</c:v>
                      </c:pt>
                      <c:pt idx="7">
                        <c:v>0</c:v>
                      </c:pt>
                      <c:pt idx="8">
                        <c:v>0</c:v>
                      </c:pt>
                      <c:pt idx="9">
                        <c:v>0</c:v>
                      </c:pt>
                      <c:pt idx="10">
                        <c:v>0</c:v>
                      </c:pt>
                      <c:pt idx="11">
                        <c:v>0</c:v>
                      </c:pt>
                      <c:pt idx="12">
                        <c:v>0</c:v>
                      </c:pt>
                      <c:pt idx="13">
                        <c:v>0</c:v>
                      </c:pt>
                      <c:pt idx="14">
                        <c:v>0</c:v>
                      </c:pt>
                      <c:pt idx="15">
                        <c:v>0</c:v>
                      </c:pt>
                      <c:pt idx="16">
                        <c:v>7.4299998283386204</c:v>
                      </c:pt>
                      <c:pt idx="17">
                        <c:v>0</c:v>
                      </c:pt>
                      <c:pt idx="18">
                        <c:v>0</c:v>
                      </c:pt>
                      <c:pt idx="19">
                        <c:v>13.8400001525879</c:v>
                      </c:pt>
                    </c:numCache>
                  </c:numRef>
                </c:val>
                <c:extLst xmlns:c15="http://schemas.microsoft.com/office/drawing/2012/chart">
                  <c:ext xmlns:c16="http://schemas.microsoft.com/office/drawing/2014/chart" uri="{C3380CC4-5D6E-409C-BE32-E72D297353CC}">
                    <c16:uniqueId val="{0000003A-E7C1-458D-9C9A-EDECE53A91E0}"/>
                  </c:ext>
                </c:extLst>
              </c15:ser>
            </c15:filteredBarSeries>
            <c15:filteredBarSeries>
              <c15:ser>
                <c:idx val="59"/>
                <c:order val="59"/>
                <c:tx>
                  <c:strRef>
                    <c:extLst xmlns:c15="http://schemas.microsoft.com/office/drawing/2012/chart">
                      <c:ext xmlns:c15="http://schemas.microsoft.com/office/drawing/2012/chart" uri="{02D57815-91ED-43cb-92C2-25804820EDAC}">
                        <c15:formulaRef>
                          <c15:sqref>'Data LM'!$A$58</c15:sqref>
                        </c15:formulaRef>
                      </c:ext>
                    </c:extLst>
                    <c:strCache>
                      <c:ptCount val="1"/>
                      <c:pt idx="0">
                        <c:v>Unemployment, youth male (% of male labor force ages 15-24) (modeled ILO estimate)</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LM'!$C$58:$V$58</c15:sqref>
                        </c15:formulaRef>
                      </c:ext>
                    </c:extLst>
                    <c:numCache>
                      <c:formatCode>0.0</c:formatCode>
                      <c:ptCount val="20"/>
                      <c:pt idx="0">
                        <c:v>6.67799997329712</c:v>
                      </c:pt>
                      <c:pt idx="1">
                        <c:v>6.6550002098083496</c:v>
                      </c:pt>
                      <c:pt idx="2">
                        <c:v>6.7059998512268102</c:v>
                      </c:pt>
                      <c:pt idx="3">
                        <c:v>6.69700002670288</c:v>
                      </c:pt>
                      <c:pt idx="4">
                        <c:v>6.6979999542236301</c:v>
                      </c:pt>
                      <c:pt idx="5">
                        <c:v>6.7259998321533203</c:v>
                      </c:pt>
                      <c:pt idx="6">
                        <c:v>6.7779998779296902</c:v>
                      </c:pt>
                      <c:pt idx="7">
                        <c:v>6.8390002250671396</c:v>
                      </c:pt>
                      <c:pt idx="8">
                        <c:v>6.9860000610351598</c:v>
                      </c:pt>
                      <c:pt idx="9">
                        <c:v>7.0139999389648402</c:v>
                      </c:pt>
                      <c:pt idx="10">
                        <c:v>7.0100002288818404</c:v>
                      </c:pt>
                      <c:pt idx="11">
                        <c:v>7.0939998626709002</c:v>
                      </c:pt>
                      <c:pt idx="12">
                        <c:v>7.1640000343322798</c:v>
                      </c:pt>
                      <c:pt idx="13">
                        <c:v>7.1919999122619602</c:v>
                      </c:pt>
                      <c:pt idx="14">
                        <c:v>7.2329998016357404</c:v>
                      </c:pt>
                      <c:pt idx="15">
                        <c:v>7.2529997825622603</c:v>
                      </c:pt>
                      <c:pt idx="16">
                        <c:v>7.2699999809265101</c:v>
                      </c:pt>
                      <c:pt idx="17">
                        <c:v>8.6630001068115199</c:v>
                      </c:pt>
                      <c:pt idx="18">
                        <c:v>10.055000305175801</c:v>
                      </c:pt>
                      <c:pt idx="19">
                        <c:v>11.519000053405801</c:v>
                      </c:pt>
                    </c:numCache>
                  </c:numRef>
                </c:val>
                <c:extLst xmlns:c15="http://schemas.microsoft.com/office/drawing/2012/chart">
                  <c:ext xmlns:c16="http://schemas.microsoft.com/office/drawing/2014/chart" uri="{C3380CC4-5D6E-409C-BE32-E72D297353CC}">
                    <c16:uniqueId val="{0000003B-E7C1-458D-9C9A-EDECE53A91E0}"/>
                  </c:ext>
                </c:extLst>
              </c15:ser>
            </c15:filteredBarSeries>
            <c15:filteredBarSeries>
              <c15:ser>
                <c:idx val="60"/>
                <c:order val="60"/>
                <c:tx>
                  <c:strRef>
                    <c:extLst xmlns:c15="http://schemas.microsoft.com/office/drawing/2012/chart">
                      <c:ext xmlns:c15="http://schemas.microsoft.com/office/drawing/2012/chart" uri="{02D57815-91ED-43cb-92C2-25804820EDAC}">
                        <c15:formulaRef>
                          <c15:sqref>'Data LM'!$A$59</c15:sqref>
                        </c15:formulaRef>
                      </c:ext>
                    </c:extLst>
                    <c:strCache>
                      <c:ptCount val="1"/>
                      <c:pt idx="0">
                        <c:v>Unemployment, youth male (% of male labor force ages 15-24) (national estimate)</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LM'!$C$59:$V$59</c15:sqref>
                        </c15:formulaRef>
                      </c:ext>
                    </c:extLst>
                    <c:numCache>
                      <c:formatCode>0.0</c:formatCode>
                      <c:ptCount val="20"/>
                      <c:pt idx="0">
                        <c:v>0</c:v>
                      </c:pt>
                      <c:pt idx="1">
                        <c:v>0</c:v>
                      </c:pt>
                      <c:pt idx="2">
                        <c:v>0</c:v>
                      </c:pt>
                      <c:pt idx="3">
                        <c:v>0</c:v>
                      </c:pt>
                      <c:pt idx="4">
                        <c:v>0</c:v>
                      </c:pt>
                      <c:pt idx="5">
                        <c:v>18.879999160766602</c:v>
                      </c:pt>
                      <c:pt idx="6">
                        <c:v>18.879999160766602</c:v>
                      </c:pt>
                      <c:pt idx="7">
                        <c:v>0</c:v>
                      </c:pt>
                      <c:pt idx="8">
                        <c:v>0</c:v>
                      </c:pt>
                      <c:pt idx="9">
                        <c:v>0</c:v>
                      </c:pt>
                      <c:pt idx="10">
                        <c:v>0</c:v>
                      </c:pt>
                      <c:pt idx="11">
                        <c:v>0</c:v>
                      </c:pt>
                      <c:pt idx="12">
                        <c:v>0</c:v>
                      </c:pt>
                      <c:pt idx="13">
                        <c:v>0</c:v>
                      </c:pt>
                      <c:pt idx="14">
                        <c:v>0</c:v>
                      </c:pt>
                      <c:pt idx="15">
                        <c:v>0</c:v>
                      </c:pt>
                      <c:pt idx="16">
                        <c:v>7.28999996185303</c:v>
                      </c:pt>
                      <c:pt idx="17">
                        <c:v>0</c:v>
                      </c:pt>
                      <c:pt idx="18">
                        <c:v>0</c:v>
                      </c:pt>
                      <c:pt idx="19">
                        <c:v>11.9799995422363</c:v>
                      </c:pt>
                    </c:numCache>
                  </c:numRef>
                </c:val>
                <c:extLst xmlns:c15="http://schemas.microsoft.com/office/drawing/2012/chart">
                  <c:ext xmlns:c16="http://schemas.microsoft.com/office/drawing/2014/chart" uri="{C3380CC4-5D6E-409C-BE32-E72D297353CC}">
                    <c16:uniqueId val="{0000003C-E7C1-458D-9C9A-EDECE53A91E0}"/>
                  </c:ext>
                </c:extLst>
              </c15:ser>
            </c15:filteredBarSeries>
            <c15:filteredBarSeries>
              <c15:ser>
                <c:idx val="61"/>
                <c:order val="61"/>
                <c:tx>
                  <c:strRef>
                    <c:extLst xmlns:c15="http://schemas.microsoft.com/office/drawing/2012/chart">
                      <c:ext xmlns:c15="http://schemas.microsoft.com/office/drawing/2012/chart" uri="{02D57815-91ED-43cb-92C2-25804820EDAC}">
                        <c15:formulaRef>
                          <c15:sqref>'Data LM'!$A$60</c15:sqref>
                        </c15:formulaRef>
                      </c:ext>
                    </c:extLst>
                    <c:strCache>
                      <c:ptCount val="1"/>
                      <c:pt idx="0">
                        <c:v>Unemployment, youth total (% of total labor force ages 15-24) (modeled ILO estimate)</c:v>
                      </c:pt>
                    </c:strCache>
                  </c:strRef>
                </c:tx>
                <c:spPr>
                  <a:solidFill>
                    <a:schemeClr val="accent2">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LM'!$C$60:$V$60</c15:sqref>
                        </c15:formulaRef>
                      </c:ext>
                    </c:extLst>
                    <c:numCache>
                      <c:formatCode>0.0</c:formatCode>
                      <c:ptCount val="20"/>
                      <c:pt idx="0">
                        <c:v>6.7880001068115199</c:v>
                      </c:pt>
                      <c:pt idx="1">
                        <c:v>6.7639999389648402</c:v>
                      </c:pt>
                      <c:pt idx="2">
                        <c:v>6.8119997978210396</c:v>
                      </c:pt>
                      <c:pt idx="3">
                        <c:v>6.8020000457763699</c:v>
                      </c:pt>
                      <c:pt idx="4">
                        <c:v>6.8010001182556197</c:v>
                      </c:pt>
                      <c:pt idx="5">
                        <c:v>6.8249998092651403</c:v>
                      </c:pt>
                      <c:pt idx="6">
                        <c:v>6.8720002174377397</c:v>
                      </c:pt>
                      <c:pt idx="7">
                        <c:v>6.9270000457763699</c:v>
                      </c:pt>
                      <c:pt idx="8">
                        <c:v>7.0630002021789604</c:v>
                      </c:pt>
                      <c:pt idx="9">
                        <c:v>7.0869998931884801</c:v>
                      </c:pt>
                      <c:pt idx="10">
                        <c:v>7.0819997787475604</c:v>
                      </c:pt>
                      <c:pt idx="11">
                        <c:v>7.1599998474121103</c:v>
                      </c:pt>
                      <c:pt idx="12">
                        <c:v>7.2249999046325701</c:v>
                      </c:pt>
                      <c:pt idx="13">
                        <c:v>7.25</c:v>
                      </c:pt>
                      <c:pt idx="14">
                        <c:v>7.2880001068115199</c:v>
                      </c:pt>
                      <c:pt idx="15">
                        <c:v>7.3080000877380398</c:v>
                      </c:pt>
                      <c:pt idx="16">
                        <c:v>7.3239998817443803</c:v>
                      </c:pt>
                      <c:pt idx="17">
                        <c:v>8.9709997177124006</c:v>
                      </c:pt>
                      <c:pt idx="18">
                        <c:v>10.616000175476101</c:v>
                      </c:pt>
                      <c:pt idx="19">
                        <c:v>12.3369998931885</c:v>
                      </c:pt>
                    </c:numCache>
                  </c:numRef>
                </c:val>
                <c:extLst xmlns:c15="http://schemas.microsoft.com/office/drawing/2012/chart">
                  <c:ext xmlns:c16="http://schemas.microsoft.com/office/drawing/2014/chart" uri="{C3380CC4-5D6E-409C-BE32-E72D297353CC}">
                    <c16:uniqueId val="{0000003D-E7C1-458D-9C9A-EDECE53A91E0}"/>
                  </c:ext>
                </c:extLst>
              </c15:ser>
            </c15:filteredBarSeries>
            <c15:filteredBarSeries>
              <c15:ser>
                <c:idx val="62"/>
                <c:order val="62"/>
                <c:tx>
                  <c:strRef>
                    <c:extLst xmlns:c15="http://schemas.microsoft.com/office/drawing/2012/chart">
                      <c:ext xmlns:c15="http://schemas.microsoft.com/office/drawing/2012/chart" uri="{02D57815-91ED-43cb-92C2-25804820EDAC}">
                        <c15:formulaRef>
                          <c15:sqref>'Data LM'!$A$61</c15:sqref>
                        </c15:formulaRef>
                      </c:ext>
                    </c:extLst>
                    <c:strCache>
                      <c:ptCount val="1"/>
                      <c:pt idx="0">
                        <c:v>Unemployment, youth total (% of total labor force ages 15-24) (national estimate)</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LM'!$C$61:$V$61</c15:sqref>
                        </c15:formulaRef>
                      </c:ext>
                    </c:extLst>
                    <c:numCache>
                      <c:formatCode>0.0</c:formatCode>
                      <c:ptCount val="20"/>
                      <c:pt idx="0">
                        <c:v>0</c:v>
                      </c:pt>
                      <c:pt idx="1">
                        <c:v>0</c:v>
                      </c:pt>
                      <c:pt idx="2">
                        <c:v>0</c:v>
                      </c:pt>
                      <c:pt idx="3">
                        <c:v>0</c:v>
                      </c:pt>
                      <c:pt idx="4">
                        <c:v>0</c:v>
                      </c:pt>
                      <c:pt idx="5">
                        <c:v>19.649999618530298</c:v>
                      </c:pt>
                      <c:pt idx="6">
                        <c:v>19.649999618530298</c:v>
                      </c:pt>
                      <c:pt idx="7">
                        <c:v>0</c:v>
                      </c:pt>
                      <c:pt idx="8">
                        <c:v>0</c:v>
                      </c:pt>
                      <c:pt idx="9">
                        <c:v>0</c:v>
                      </c:pt>
                      <c:pt idx="10">
                        <c:v>0</c:v>
                      </c:pt>
                      <c:pt idx="11">
                        <c:v>0</c:v>
                      </c:pt>
                      <c:pt idx="12">
                        <c:v>0</c:v>
                      </c:pt>
                      <c:pt idx="13">
                        <c:v>0</c:v>
                      </c:pt>
                      <c:pt idx="14">
                        <c:v>0</c:v>
                      </c:pt>
                      <c:pt idx="15">
                        <c:v>0</c:v>
                      </c:pt>
                      <c:pt idx="16">
                        <c:v>7.3600001335143999</c:v>
                      </c:pt>
                      <c:pt idx="17">
                        <c:v>0</c:v>
                      </c:pt>
                      <c:pt idx="18">
                        <c:v>0</c:v>
                      </c:pt>
                      <c:pt idx="19">
                        <c:v>12.8500003814697</c:v>
                      </c:pt>
                    </c:numCache>
                  </c:numRef>
                </c:val>
                <c:extLst xmlns:c15="http://schemas.microsoft.com/office/drawing/2012/chart">
                  <c:ext xmlns:c16="http://schemas.microsoft.com/office/drawing/2014/chart" uri="{C3380CC4-5D6E-409C-BE32-E72D297353CC}">
                    <c16:uniqueId val="{0000003E-E7C1-458D-9C9A-EDECE53A91E0}"/>
                  </c:ext>
                </c:extLst>
              </c15:ser>
            </c15:filteredBarSeries>
            <c15:filteredBarSeries>
              <c15:ser>
                <c:idx val="63"/>
                <c:order val="63"/>
                <c:tx>
                  <c:strRef>
                    <c:extLst xmlns:c15="http://schemas.microsoft.com/office/drawing/2012/chart">
                      <c:ext xmlns:c15="http://schemas.microsoft.com/office/drawing/2012/chart" uri="{02D57815-91ED-43cb-92C2-25804820EDAC}">
                        <c15:formulaRef>
                          <c15:sqref>'Data LM'!$A$62</c15:sqref>
                        </c15:formulaRef>
                      </c:ext>
                    </c:extLst>
                    <c:strCache>
                      <c:ptCount val="1"/>
                      <c:pt idx="0">
                        <c:v>Vulnerable employment, female (% of female employment) (modeled ILO estimate)</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LM'!$C$62:$V$62</c15:sqref>
                        </c15:formulaRef>
                      </c:ext>
                    </c:extLst>
                    <c:numCache>
                      <c:formatCode>0.0</c:formatCode>
                      <c:ptCount val="20"/>
                      <c:pt idx="0">
                        <c:v>73.260000228881808</c:v>
                      </c:pt>
                      <c:pt idx="1">
                        <c:v>74.3399982452393</c:v>
                      </c:pt>
                      <c:pt idx="2">
                        <c:v>75.120000839233398</c:v>
                      </c:pt>
                      <c:pt idx="3">
                        <c:v>75.889999389648509</c:v>
                      </c:pt>
                      <c:pt idx="4">
                        <c:v>76.279998779296903</c:v>
                      </c:pt>
                      <c:pt idx="5">
                        <c:v>76.619998931884695</c:v>
                      </c:pt>
                      <c:pt idx="6">
                        <c:v>77.080001831054602</c:v>
                      </c:pt>
                      <c:pt idx="7">
                        <c:v>75.439998626708999</c:v>
                      </c:pt>
                      <c:pt idx="8">
                        <c:v>74.040000915527301</c:v>
                      </c:pt>
                      <c:pt idx="9">
                        <c:v>72.369998931884695</c:v>
                      </c:pt>
                      <c:pt idx="10">
                        <c:v>70.610002517700195</c:v>
                      </c:pt>
                      <c:pt idx="11">
                        <c:v>68.740001678466797</c:v>
                      </c:pt>
                      <c:pt idx="12">
                        <c:v>67</c:v>
                      </c:pt>
                      <c:pt idx="13">
                        <c:v>65.310001373291001</c:v>
                      </c:pt>
                      <c:pt idx="14">
                        <c:v>63.679999351501394</c:v>
                      </c:pt>
                      <c:pt idx="15">
                        <c:v>62.039999008178697</c:v>
                      </c:pt>
                      <c:pt idx="16">
                        <c:v>60.470000267028801</c:v>
                      </c:pt>
                      <c:pt idx="17">
                        <c:v>59.3400011062622</c:v>
                      </c:pt>
                      <c:pt idx="18">
                        <c:v>58.2299995422363</c:v>
                      </c:pt>
                      <c:pt idx="19">
                        <c:v>57.130001068115199</c:v>
                      </c:pt>
                    </c:numCache>
                  </c:numRef>
                </c:val>
                <c:extLst xmlns:c15="http://schemas.microsoft.com/office/drawing/2012/chart">
                  <c:ext xmlns:c16="http://schemas.microsoft.com/office/drawing/2014/chart" uri="{C3380CC4-5D6E-409C-BE32-E72D297353CC}">
                    <c16:uniqueId val="{0000003F-E7C1-458D-9C9A-EDECE53A91E0}"/>
                  </c:ext>
                </c:extLst>
              </c15:ser>
            </c15:filteredBarSeries>
            <c15:filteredBarSeries>
              <c15:ser>
                <c:idx val="64"/>
                <c:order val="64"/>
                <c:tx>
                  <c:strRef>
                    <c:extLst xmlns:c15="http://schemas.microsoft.com/office/drawing/2012/chart">
                      <c:ext xmlns:c15="http://schemas.microsoft.com/office/drawing/2012/chart" uri="{02D57815-91ED-43cb-92C2-25804820EDAC}">
                        <c15:formulaRef>
                          <c15:sqref>'Data LM'!$A$63</c15:sqref>
                        </c15:formulaRef>
                      </c:ext>
                    </c:extLst>
                    <c:strCache>
                      <c:ptCount val="1"/>
                      <c:pt idx="0">
                        <c:v>Vulnerable employment, male (% of male employment) (modeled ILO estimate)</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LM'!$C$63:$V$63</c15:sqref>
                        </c15:formulaRef>
                      </c:ext>
                    </c:extLst>
                    <c:numCache>
                      <c:formatCode>0.0</c:formatCode>
                      <c:ptCount val="20"/>
                      <c:pt idx="0">
                        <c:v>47.159999847412095</c:v>
                      </c:pt>
                      <c:pt idx="1">
                        <c:v>49.340000152587905</c:v>
                      </c:pt>
                      <c:pt idx="2">
                        <c:v>51.539999008178697</c:v>
                      </c:pt>
                      <c:pt idx="3">
                        <c:v>53.590000152587805</c:v>
                      </c:pt>
                      <c:pt idx="4">
                        <c:v>54.890001296997099</c:v>
                      </c:pt>
                      <c:pt idx="5">
                        <c:v>55.949998855590898</c:v>
                      </c:pt>
                      <c:pt idx="6">
                        <c:v>57.289999008178704</c:v>
                      </c:pt>
                      <c:pt idx="7">
                        <c:v>55.5</c:v>
                      </c:pt>
                      <c:pt idx="8">
                        <c:v>54.820001602172795</c:v>
                      </c:pt>
                      <c:pt idx="9">
                        <c:v>53.5599975585938</c:v>
                      </c:pt>
                      <c:pt idx="10">
                        <c:v>51.749999046325698</c:v>
                      </c:pt>
                      <c:pt idx="11">
                        <c:v>50.100000381469805</c:v>
                      </c:pt>
                      <c:pt idx="12">
                        <c:v>48.8300008773804</c:v>
                      </c:pt>
                      <c:pt idx="13">
                        <c:v>47.53000164031981</c:v>
                      </c:pt>
                      <c:pt idx="14">
                        <c:v>46.349999427795453</c:v>
                      </c:pt>
                      <c:pt idx="15">
                        <c:v>45.170001983642592</c:v>
                      </c:pt>
                      <c:pt idx="16">
                        <c:v>44.120000362396262</c:v>
                      </c:pt>
                      <c:pt idx="17">
                        <c:v>43.300001621246338</c:v>
                      </c:pt>
                      <c:pt idx="18">
                        <c:v>42.310001850128174</c:v>
                      </c:pt>
                      <c:pt idx="19">
                        <c:v>41.380000114440925</c:v>
                      </c:pt>
                    </c:numCache>
                  </c:numRef>
                </c:val>
                <c:extLst xmlns:c15="http://schemas.microsoft.com/office/drawing/2012/chart">
                  <c:ext xmlns:c16="http://schemas.microsoft.com/office/drawing/2014/chart" uri="{C3380CC4-5D6E-409C-BE32-E72D297353CC}">
                    <c16:uniqueId val="{00000040-E7C1-458D-9C9A-EDECE53A91E0}"/>
                  </c:ext>
                </c:extLst>
              </c15:ser>
            </c15:filteredBarSeries>
            <c15:filteredBarSeries>
              <c15:ser>
                <c:idx val="65"/>
                <c:order val="65"/>
                <c:tx>
                  <c:strRef>
                    <c:extLst xmlns:c15="http://schemas.microsoft.com/office/drawing/2012/chart">
                      <c:ext xmlns:c15="http://schemas.microsoft.com/office/drawing/2012/chart" uri="{02D57815-91ED-43cb-92C2-25804820EDAC}">
                        <c15:formulaRef>
                          <c15:sqref>'Data LM'!$A$64</c15:sqref>
                        </c15:formulaRef>
                      </c:ext>
                    </c:extLst>
                    <c:strCache>
                      <c:ptCount val="1"/>
                      <c:pt idx="0">
                        <c:v>Vulnerable employment, total (% of total employment) (modeled ILO estimate)</c:v>
                      </c:pt>
                    </c:strCache>
                  </c:strRef>
                </c:tx>
                <c:spPr>
                  <a:solidFill>
                    <a:schemeClr val="accent6">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LM'!$C$64:$V$64</c15:sqref>
                        </c15:formulaRef>
                      </c:ext>
                    </c:extLst>
                    <c:numCache>
                      <c:formatCode>0.0</c:formatCode>
                      <c:ptCount val="20"/>
                      <c:pt idx="0">
                        <c:v>59.989997863769503</c:v>
                      </c:pt>
                      <c:pt idx="1">
                        <c:v>61.530002593994197</c:v>
                      </c:pt>
                      <c:pt idx="2">
                        <c:v>62.960000991821303</c:v>
                      </c:pt>
                      <c:pt idx="3">
                        <c:v>64.280000686645508</c:v>
                      </c:pt>
                      <c:pt idx="4">
                        <c:v>65.049999237060504</c:v>
                      </c:pt>
                      <c:pt idx="5">
                        <c:v>65.670001983642493</c:v>
                      </c:pt>
                      <c:pt idx="6">
                        <c:v>66.640001296997099</c:v>
                      </c:pt>
                      <c:pt idx="7">
                        <c:v>64.93000030517581</c:v>
                      </c:pt>
                      <c:pt idx="8">
                        <c:v>63.950000762939503</c:v>
                      </c:pt>
                      <c:pt idx="9">
                        <c:v>62.510000228881907</c:v>
                      </c:pt>
                      <c:pt idx="10">
                        <c:v>60.75</c:v>
                      </c:pt>
                      <c:pt idx="11">
                        <c:v>59.020000457763601</c:v>
                      </c:pt>
                      <c:pt idx="12">
                        <c:v>57.559999465942298</c:v>
                      </c:pt>
                      <c:pt idx="13">
                        <c:v>56.0900011062622</c:v>
                      </c:pt>
                      <c:pt idx="14">
                        <c:v>54.720001220703097</c:v>
                      </c:pt>
                      <c:pt idx="15">
                        <c:v>53.319999694824226</c:v>
                      </c:pt>
                      <c:pt idx="16">
                        <c:v>52.050001144409144</c:v>
                      </c:pt>
                      <c:pt idx="17">
                        <c:v>51.110000610351591</c:v>
                      </c:pt>
                      <c:pt idx="18">
                        <c:v>50.100000381469741</c:v>
                      </c:pt>
                      <c:pt idx="19">
                        <c:v>49.100001335144015</c:v>
                      </c:pt>
                    </c:numCache>
                  </c:numRef>
                </c:val>
                <c:extLst xmlns:c15="http://schemas.microsoft.com/office/drawing/2012/chart">
                  <c:ext xmlns:c16="http://schemas.microsoft.com/office/drawing/2014/chart" uri="{C3380CC4-5D6E-409C-BE32-E72D297353CC}">
                    <c16:uniqueId val="{00000041-E7C1-458D-9C9A-EDECE53A91E0}"/>
                  </c:ext>
                </c:extLst>
              </c15:ser>
            </c15:filteredBarSeries>
            <c15:filteredBarSeries>
              <c15:ser>
                <c:idx val="66"/>
                <c:order val="66"/>
                <c:tx>
                  <c:strRef>
                    <c:extLst xmlns:c15="http://schemas.microsoft.com/office/drawing/2012/chart">
                      <c:ext xmlns:c15="http://schemas.microsoft.com/office/drawing/2012/chart" uri="{02D57815-91ED-43cb-92C2-25804820EDAC}">
                        <c15:formulaRef>
                          <c15:sqref>'Data LM'!$A$65</c15:sqref>
                        </c15:formulaRef>
                      </c:ext>
                    </c:extLst>
                    <c:strCache>
                      <c:ptCount val="1"/>
                      <c:pt idx="0">
                        <c:v>Wage and salaried workers, female (% of female employment) (modeled ILO estimate)</c:v>
                      </c:pt>
                    </c:strCache>
                  </c:strRef>
                </c:tx>
                <c:spPr>
                  <a:solidFill>
                    <a:schemeClr val="accent1">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LM'!$C$65:$V$65</c15:sqref>
                        </c15:formulaRef>
                      </c:ext>
                    </c:extLst>
                    <c:numCache>
                      <c:formatCode>0.0</c:formatCode>
                      <c:ptCount val="20"/>
                      <c:pt idx="0">
                        <c:v>20.440000534057599</c:v>
                      </c:pt>
                      <c:pt idx="1">
                        <c:v>20.680000305175799</c:v>
                      </c:pt>
                      <c:pt idx="2">
                        <c:v>20.9899997711182</c:v>
                      </c:pt>
                      <c:pt idx="3">
                        <c:v>21.100000381469702</c:v>
                      </c:pt>
                      <c:pt idx="4">
                        <c:v>21.389999389648398</c:v>
                      </c:pt>
                      <c:pt idx="5">
                        <c:v>21.590000152587901</c:v>
                      </c:pt>
                      <c:pt idx="6">
                        <c:v>21.549999237060501</c:v>
                      </c:pt>
                      <c:pt idx="7">
                        <c:v>23.459999084472699</c:v>
                      </c:pt>
                      <c:pt idx="8">
                        <c:v>25.090000152587901</c:v>
                      </c:pt>
                      <c:pt idx="9">
                        <c:v>26.930000305175799</c:v>
                      </c:pt>
                      <c:pt idx="10">
                        <c:v>28.819999694824201</c:v>
                      </c:pt>
                      <c:pt idx="11">
                        <c:v>30.809999465942401</c:v>
                      </c:pt>
                      <c:pt idx="12">
                        <c:v>32.639999389648402</c:v>
                      </c:pt>
                      <c:pt idx="13">
                        <c:v>34.409999847412102</c:v>
                      </c:pt>
                      <c:pt idx="14">
                        <c:v>36.099998474121101</c:v>
                      </c:pt>
                      <c:pt idx="15">
                        <c:v>37.790000915527301</c:v>
                      </c:pt>
                      <c:pt idx="16">
                        <c:v>39.389999389648402</c:v>
                      </c:pt>
                      <c:pt idx="17">
                        <c:v>40.540000915527301</c:v>
                      </c:pt>
                      <c:pt idx="18">
                        <c:v>41.659999847412102</c:v>
                      </c:pt>
                      <c:pt idx="19">
                        <c:v>42.7700004577637</c:v>
                      </c:pt>
                    </c:numCache>
                  </c:numRef>
                </c:val>
                <c:extLst xmlns:c15="http://schemas.microsoft.com/office/drawing/2012/chart">
                  <c:ext xmlns:c16="http://schemas.microsoft.com/office/drawing/2014/chart" uri="{C3380CC4-5D6E-409C-BE32-E72D297353CC}">
                    <c16:uniqueId val="{00000042-E7C1-458D-9C9A-EDECE53A91E0}"/>
                  </c:ext>
                </c:extLst>
              </c15:ser>
            </c15:filteredBarSeries>
            <c15:filteredBarSeries>
              <c15:ser>
                <c:idx val="67"/>
                <c:order val="67"/>
                <c:tx>
                  <c:strRef>
                    <c:extLst xmlns:c15="http://schemas.microsoft.com/office/drawing/2012/chart">
                      <c:ext xmlns:c15="http://schemas.microsoft.com/office/drawing/2012/chart" uri="{02D57815-91ED-43cb-92C2-25804820EDAC}">
                        <c15:formulaRef>
                          <c15:sqref>'Data LM'!$A$66</c15:sqref>
                        </c15:formulaRef>
                      </c:ext>
                    </c:extLst>
                    <c:strCache>
                      <c:ptCount val="1"/>
                      <c:pt idx="0">
                        <c:v>Wage and salaried workers, male (% of male employment) (modeled ILO estimate)</c:v>
                      </c:pt>
                    </c:strCache>
                  </c:strRef>
                </c:tx>
                <c:spPr>
                  <a:solidFill>
                    <a:schemeClr val="accent2">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LM'!$C$66:$V$66</c15:sqref>
                        </c15:formulaRef>
                      </c:ext>
                    </c:extLst>
                    <c:numCache>
                      <c:formatCode>0.0</c:formatCode>
                      <c:ptCount val="20"/>
                      <c:pt idx="0">
                        <c:v>46.529998779296903</c:v>
                      </c:pt>
                      <c:pt idx="1">
                        <c:v>45.25</c:v>
                      </c:pt>
                      <c:pt idx="2">
                        <c:v>43.840000152587898</c:v>
                      </c:pt>
                      <c:pt idx="3">
                        <c:v>42.509998321533203</c:v>
                      </c:pt>
                      <c:pt idx="4">
                        <c:v>41.810001373291001</c:v>
                      </c:pt>
                      <c:pt idx="5">
                        <c:v>41.2700004577637</c:v>
                      </c:pt>
                      <c:pt idx="6">
                        <c:v>40.360000610351598</c:v>
                      </c:pt>
                      <c:pt idx="7">
                        <c:v>42.549999237060497</c:v>
                      </c:pt>
                      <c:pt idx="8">
                        <c:v>43.580001831054702</c:v>
                      </c:pt>
                      <c:pt idx="9">
                        <c:v>45.099998474121101</c:v>
                      </c:pt>
                      <c:pt idx="10">
                        <c:v>47.130001068115199</c:v>
                      </c:pt>
                      <c:pt idx="11">
                        <c:v>48.9799995422363</c:v>
                      </c:pt>
                      <c:pt idx="12">
                        <c:v>50.419998168945298</c:v>
                      </c:pt>
                      <c:pt idx="13">
                        <c:v>51.849998474121101</c:v>
                      </c:pt>
                      <c:pt idx="14">
                        <c:v>53.150001525878899</c:v>
                      </c:pt>
                      <c:pt idx="15">
                        <c:v>54.419998168945298</c:v>
                      </c:pt>
                      <c:pt idx="16">
                        <c:v>55.540000915527301</c:v>
                      </c:pt>
                      <c:pt idx="17">
                        <c:v>56.409999847412102</c:v>
                      </c:pt>
                      <c:pt idx="18">
                        <c:v>57.419998168945298</c:v>
                      </c:pt>
                      <c:pt idx="19">
                        <c:v>58.369998931884801</c:v>
                      </c:pt>
                    </c:numCache>
                  </c:numRef>
                </c:val>
                <c:extLst xmlns:c15="http://schemas.microsoft.com/office/drawing/2012/chart">
                  <c:ext xmlns:c16="http://schemas.microsoft.com/office/drawing/2014/chart" uri="{C3380CC4-5D6E-409C-BE32-E72D297353CC}">
                    <c16:uniqueId val="{00000043-E7C1-458D-9C9A-EDECE53A91E0}"/>
                  </c:ext>
                </c:extLst>
              </c15:ser>
            </c15:filteredBarSeries>
            <c15:filteredBarSeries>
              <c15:ser>
                <c:idx val="68"/>
                <c:order val="68"/>
                <c:tx>
                  <c:strRef>
                    <c:extLst xmlns:c15="http://schemas.microsoft.com/office/drawing/2012/chart">
                      <c:ext xmlns:c15="http://schemas.microsoft.com/office/drawing/2012/chart" uri="{02D57815-91ED-43cb-92C2-25804820EDAC}">
                        <c15:formulaRef>
                          <c15:sqref>'Data LM'!$A$67</c15:sqref>
                        </c15:formulaRef>
                      </c:ext>
                    </c:extLst>
                    <c:strCache>
                      <c:ptCount val="1"/>
                      <c:pt idx="0">
                        <c:v>Wage and salaried workers, total (% of total employment) (modeled ILO estimate)</c:v>
                      </c:pt>
                    </c:strCache>
                  </c:strRef>
                </c:tx>
                <c:spPr>
                  <a:solidFill>
                    <a:schemeClr val="accent3">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LM'!$C$67:$V$67</c15:sqref>
                        </c15:formulaRef>
                      </c:ext>
                    </c:extLst>
                    <c:numCache>
                      <c:formatCode>0.0</c:formatCode>
                      <c:ptCount val="20"/>
                      <c:pt idx="0">
                        <c:v>33.709999084472699</c:v>
                      </c:pt>
                      <c:pt idx="1">
                        <c:v>33.2700004577637</c:v>
                      </c:pt>
                      <c:pt idx="2">
                        <c:v>32.779998779296903</c:v>
                      </c:pt>
                      <c:pt idx="3">
                        <c:v>32.240001678466797</c:v>
                      </c:pt>
                      <c:pt idx="4">
                        <c:v>32.110000610351598</c:v>
                      </c:pt>
                      <c:pt idx="5">
                        <c:v>32.009998321533203</c:v>
                      </c:pt>
                      <c:pt idx="6">
                        <c:v>31.4799995422363</c:v>
                      </c:pt>
                      <c:pt idx="7">
                        <c:v>33.5200004577637</c:v>
                      </c:pt>
                      <c:pt idx="8">
                        <c:v>34.790000915527301</c:v>
                      </c:pt>
                      <c:pt idx="9">
                        <c:v>36.439998626708999</c:v>
                      </c:pt>
                      <c:pt idx="10">
                        <c:v>38.389999389648402</c:v>
                      </c:pt>
                      <c:pt idx="11">
                        <c:v>40.279998779296903</c:v>
                      </c:pt>
                      <c:pt idx="12">
                        <c:v>41.880001068115199</c:v>
                      </c:pt>
                      <c:pt idx="13">
                        <c:v>43.450000762939503</c:v>
                      </c:pt>
                      <c:pt idx="14">
                        <c:v>44.919998168945298</c:v>
                      </c:pt>
                      <c:pt idx="15">
                        <c:v>46.380001068115199</c:v>
                      </c:pt>
                      <c:pt idx="16">
                        <c:v>47.709999084472699</c:v>
                      </c:pt>
                      <c:pt idx="17">
                        <c:v>48.680000305175803</c:v>
                      </c:pt>
                      <c:pt idx="18">
                        <c:v>49.709999084472699</c:v>
                      </c:pt>
                      <c:pt idx="19">
                        <c:v>50.7299995422363</c:v>
                      </c:pt>
                    </c:numCache>
                  </c:numRef>
                </c:val>
                <c:extLst xmlns:c15="http://schemas.microsoft.com/office/drawing/2012/chart">
                  <c:ext xmlns:c16="http://schemas.microsoft.com/office/drawing/2014/chart" uri="{C3380CC4-5D6E-409C-BE32-E72D297353CC}">
                    <c16:uniqueId val="{00000044-E7C1-458D-9C9A-EDECE53A91E0}"/>
                  </c:ext>
                </c:extLst>
              </c15:ser>
            </c15:filteredBarSeries>
          </c:ext>
        </c:extLst>
      </c:barChart>
      <c:catAx>
        <c:axId val="183984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839858480"/>
        <c:crosses val="autoZero"/>
        <c:auto val="1"/>
        <c:lblAlgn val="ctr"/>
        <c:lblOffset val="100"/>
        <c:noMultiLvlLbl val="0"/>
      </c:catAx>
      <c:valAx>
        <c:axId val="18398584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839849744"/>
        <c:crosses val="autoZero"/>
        <c:crossBetween val="between"/>
      </c:valAx>
      <c:spPr>
        <a:noFill/>
        <a:ln>
          <a:noFill/>
        </a:ln>
        <a:effectLst/>
      </c:spPr>
    </c:plotArea>
    <c:legend>
      <c:legendPos val="b"/>
      <c:layout>
        <c:manualLayout>
          <c:xMode val="edge"/>
          <c:yMode val="edge"/>
          <c:x val="5.1037923144222369E-2"/>
          <c:y val="0.79041402082804157"/>
          <c:w val="0.89365048118985124"/>
          <c:h val="0.209585979171958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(a) Female employment</a:t>
            </a:r>
          </a:p>
        </c:rich>
      </c:tx>
      <c:layout>
        <c:manualLayout>
          <c:xMode val="edge"/>
          <c:yMode val="edge"/>
          <c:x val="0.32196527269944386"/>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title>
    <c:autoTitleDeleted val="0"/>
    <c:plotArea>
      <c:layout>
        <c:manualLayout>
          <c:layoutTarget val="inner"/>
          <c:xMode val="edge"/>
          <c:yMode val="edge"/>
          <c:x val="3.6273903934230668E-2"/>
          <c:y val="7.7599651673618986E-2"/>
          <c:w val="0.9459508926360487"/>
          <c:h val="0.56180294770845951"/>
        </c:manualLayout>
      </c:layout>
      <c:barChart>
        <c:barDir val="col"/>
        <c:grouping val="stacked"/>
        <c:varyColors val="0"/>
        <c:ser>
          <c:idx val="1"/>
          <c:order val="1"/>
          <c:tx>
            <c:strRef>
              <c:f>'Data LM'!$A$3</c:f>
              <c:strCache>
                <c:ptCount val="1"/>
                <c:pt idx="0">
                  <c:v>Agriculture modeled ILO estimate)</c:v>
                </c:pt>
              </c:strCache>
            </c:strRef>
          </c:tx>
          <c:spPr>
            <a:solidFill>
              <a:srgbClr val="008000"/>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LM'!$C$3:$V$3</c:f>
              <c:numCache>
                <c:formatCode>0.0</c:formatCode>
                <c:ptCount val="20"/>
                <c:pt idx="0">
                  <c:v>57.740001678466797</c:v>
                </c:pt>
                <c:pt idx="1">
                  <c:v>60.290000915527301</c:v>
                </c:pt>
                <c:pt idx="2">
                  <c:v>62.599998474121101</c:v>
                </c:pt>
                <c:pt idx="3">
                  <c:v>64.660003662109403</c:v>
                </c:pt>
                <c:pt idx="4">
                  <c:v>66.459999084472699</c:v>
                </c:pt>
                <c:pt idx="5">
                  <c:v>68.110000610351605</c:v>
                </c:pt>
                <c:pt idx="6">
                  <c:v>68.330001831054702</c:v>
                </c:pt>
                <c:pt idx="7">
                  <c:v>68.129997253417997</c:v>
                </c:pt>
                <c:pt idx="8">
                  <c:v>67.879997253417997</c:v>
                </c:pt>
                <c:pt idx="9">
                  <c:v>67.449996948242202</c:v>
                </c:pt>
                <c:pt idx="10">
                  <c:v>66.790000915527301</c:v>
                </c:pt>
                <c:pt idx="11">
                  <c:v>66.069999694824205</c:v>
                </c:pt>
                <c:pt idx="12">
                  <c:v>65.360000610351605</c:v>
                </c:pt>
                <c:pt idx="13">
                  <c:v>64.589996337890597</c:v>
                </c:pt>
                <c:pt idx="14">
                  <c:v>63.779998779296903</c:v>
                </c:pt>
                <c:pt idx="15">
                  <c:v>62.919998168945298</c:v>
                </c:pt>
                <c:pt idx="16">
                  <c:v>62.049999237060497</c:v>
                </c:pt>
                <c:pt idx="17">
                  <c:v>61.150001525878899</c:v>
                </c:pt>
                <c:pt idx="18">
                  <c:v>60.240001678466797</c:v>
                </c:pt>
                <c:pt idx="19">
                  <c:v>59.340000152587898</c:v>
                </c:pt>
              </c:numCache>
              <c:extLst/>
            </c:numRef>
          </c:val>
          <c:extLst>
            <c:ext xmlns:c16="http://schemas.microsoft.com/office/drawing/2014/chart" uri="{C3380CC4-5D6E-409C-BE32-E72D297353CC}">
              <c16:uniqueId val="{00000000-2CD5-419D-A9E9-D66F669F6406}"/>
            </c:ext>
          </c:extLst>
        </c:ser>
        <c:ser>
          <c:idx val="4"/>
          <c:order val="4"/>
          <c:tx>
            <c:strRef>
              <c:f>'Data LM'!$A$6</c:f>
              <c:strCache>
                <c:ptCount val="1"/>
                <c:pt idx="0">
                  <c:v>Industry (modeled ILO estimate)</c:v>
                </c:pt>
              </c:strCache>
            </c:strRef>
          </c:tx>
          <c:spPr>
            <a:solidFill>
              <a:srgbClr val="CC3300"/>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LM'!$C$6:$V$6</c:f>
              <c:numCache>
                <c:formatCode>0.0</c:formatCode>
                <c:ptCount val="20"/>
                <c:pt idx="0">
                  <c:v>6.5599999427795401</c:v>
                </c:pt>
                <c:pt idx="1">
                  <c:v>5.25</c:v>
                </c:pt>
                <c:pt idx="2">
                  <c:v>4.2600002288818404</c:v>
                </c:pt>
                <c:pt idx="3">
                  <c:v>3.4400000572204599</c:v>
                </c:pt>
                <c:pt idx="4">
                  <c:v>2.7999999523162802</c:v>
                </c:pt>
                <c:pt idx="5">
                  <c:v>2.28999996185303</c:v>
                </c:pt>
                <c:pt idx="6">
                  <c:v>2.0899999141693102</c:v>
                </c:pt>
                <c:pt idx="7">
                  <c:v>1.9400000572204601</c:v>
                </c:pt>
                <c:pt idx="8">
                  <c:v>1.8500000238418599</c:v>
                </c:pt>
                <c:pt idx="9">
                  <c:v>1.7799999713897701</c:v>
                </c:pt>
                <c:pt idx="10">
                  <c:v>1.7200000286102299</c:v>
                </c:pt>
                <c:pt idx="11">
                  <c:v>1.6900000572204601</c:v>
                </c:pt>
                <c:pt idx="12">
                  <c:v>1.66999995708466</c:v>
                </c:pt>
                <c:pt idx="13">
                  <c:v>1.6499999761581401</c:v>
                </c:pt>
                <c:pt idx="14">
                  <c:v>1.6399999856948899</c:v>
                </c:pt>
                <c:pt idx="15">
                  <c:v>1.62999999523163</c:v>
                </c:pt>
                <c:pt idx="16">
                  <c:v>1.62999999523163</c:v>
                </c:pt>
                <c:pt idx="17">
                  <c:v>1.62000000476837</c:v>
                </c:pt>
                <c:pt idx="18">
                  <c:v>1.62000000476837</c:v>
                </c:pt>
                <c:pt idx="19">
                  <c:v>1.62000000476837</c:v>
                </c:pt>
              </c:numCache>
              <c:extLst/>
            </c:numRef>
          </c:val>
          <c:extLst>
            <c:ext xmlns:c16="http://schemas.microsoft.com/office/drawing/2014/chart" uri="{C3380CC4-5D6E-409C-BE32-E72D297353CC}">
              <c16:uniqueId val="{00000001-2CD5-419D-A9E9-D66F669F6406}"/>
            </c:ext>
          </c:extLst>
        </c:ser>
        <c:ser>
          <c:idx val="7"/>
          <c:order val="7"/>
          <c:tx>
            <c:strRef>
              <c:f>'Data LM'!$A$9</c:f>
              <c:strCache>
                <c:ptCount val="1"/>
                <c:pt idx="0">
                  <c:v>Services (modeled ILO estimate)</c:v>
                </c:pt>
              </c:strCache>
            </c:strRef>
          </c:tx>
          <c:spPr>
            <a:solidFill>
              <a:schemeClr val="tx1"/>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LM'!$C$9:$V$9</c:f>
              <c:numCache>
                <c:formatCode>0.0</c:formatCode>
                <c:ptCount val="20"/>
                <c:pt idx="0">
                  <c:v>35.700000762939503</c:v>
                </c:pt>
                <c:pt idx="1">
                  <c:v>34.470001220703097</c:v>
                </c:pt>
                <c:pt idx="2">
                  <c:v>33.130001068115199</c:v>
                </c:pt>
                <c:pt idx="3">
                  <c:v>31.899999618530298</c:v>
                </c:pt>
                <c:pt idx="4">
                  <c:v>30.7399997711182</c:v>
                </c:pt>
                <c:pt idx="5">
                  <c:v>29.590000152587901</c:v>
                </c:pt>
                <c:pt idx="6">
                  <c:v>29.590000152587901</c:v>
                </c:pt>
                <c:pt idx="7">
                  <c:v>29.930000305175799</c:v>
                </c:pt>
                <c:pt idx="8">
                  <c:v>30.280000686645501</c:v>
                </c:pt>
                <c:pt idx="9">
                  <c:v>30.7700004577637</c:v>
                </c:pt>
                <c:pt idx="10">
                  <c:v>31.4899997711182</c:v>
                </c:pt>
                <c:pt idx="11">
                  <c:v>32.2299995422363</c:v>
                </c:pt>
                <c:pt idx="12">
                  <c:v>32.970001220703097</c:v>
                </c:pt>
                <c:pt idx="13">
                  <c:v>33.759998321533203</c:v>
                </c:pt>
                <c:pt idx="14">
                  <c:v>34.580001831054702</c:v>
                </c:pt>
                <c:pt idx="15">
                  <c:v>35.450000762939503</c:v>
                </c:pt>
                <c:pt idx="16">
                  <c:v>36.319999694824197</c:v>
                </c:pt>
                <c:pt idx="17">
                  <c:v>37.2299995422363</c:v>
                </c:pt>
                <c:pt idx="18">
                  <c:v>38.139999389648402</c:v>
                </c:pt>
                <c:pt idx="19">
                  <c:v>39.040000915527301</c:v>
                </c:pt>
              </c:numCache>
              <c:extLst/>
            </c:numRef>
          </c:val>
          <c:extLst>
            <c:ext xmlns:c16="http://schemas.microsoft.com/office/drawing/2014/chart" uri="{C3380CC4-5D6E-409C-BE32-E72D297353CC}">
              <c16:uniqueId val="{00000002-2CD5-419D-A9E9-D66F669F6406}"/>
            </c:ext>
          </c:extLst>
        </c:ser>
        <c:ser>
          <c:idx val="11"/>
          <c:order val="11"/>
          <c:tx>
            <c:strRef>
              <c:f>'Data LM'!#REF!</c:f>
              <c:strCache>
                <c:ptCount val="1"/>
                <c:pt idx="0">
                  <c:v>#REF!</c:v>
                </c:pt>
              </c:strCache>
              <c:extLst xmlns:c15="http://schemas.microsoft.com/office/drawing/2012/chart"/>
            </c:strRef>
          </c:tx>
          <c:spPr>
            <a:solidFill>
              <a:schemeClr val="accent6">
                <a:lumMod val="60000"/>
              </a:schemeClr>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extLst>
            <c:ext xmlns:c16="http://schemas.microsoft.com/office/drawing/2014/chart" uri="{C3380CC4-5D6E-409C-BE32-E72D297353CC}">
              <c16:uniqueId val="{0000000B-2CD5-419D-A9E9-D66F669F6406}"/>
            </c:ext>
          </c:extLst>
        </c:ser>
        <c:ser>
          <c:idx val="12"/>
          <c:order val="12"/>
          <c:tx>
            <c:strRef>
              <c:f>'Data LM'!#REF!</c:f>
              <c:strCache>
                <c:ptCount val="1"/>
                <c:pt idx="0">
                  <c:v>#REF!</c:v>
                </c:pt>
              </c:strCache>
              <c:extLst xmlns:c15="http://schemas.microsoft.com/office/drawing/2012/chart"/>
            </c:strRef>
          </c:tx>
          <c:spPr>
            <a:solidFill>
              <a:schemeClr val="accent1">
                <a:lumMod val="80000"/>
                <a:lumOff val="20000"/>
              </a:schemeClr>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extLst>
            <c:ext xmlns:c16="http://schemas.microsoft.com/office/drawing/2014/chart" uri="{C3380CC4-5D6E-409C-BE32-E72D297353CC}">
              <c16:uniqueId val="{0000000C-2CD5-419D-A9E9-D66F669F6406}"/>
            </c:ext>
          </c:extLst>
        </c:ser>
        <c:ser>
          <c:idx val="13"/>
          <c:order val="13"/>
          <c:tx>
            <c:strRef>
              <c:f>'Data LM'!#REF!</c:f>
              <c:strCache>
                <c:ptCount val="1"/>
                <c:pt idx="0">
                  <c:v>#REF!</c:v>
                </c:pt>
              </c:strCache>
              <c:extLst xmlns:c15="http://schemas.microsoft.com/office/drawing/2012/chart"/>
            </c:strRef>
          </c:tx>
          <c:spPr>
            <a:solidFill>
              <a:schemeClr val="accent2">
                <a:lumMod val="80000"/>
                <a:lumOff val="20000"/>
              </a:schemeClr>
            </a:solidFill>
            <a:ln>
              <a:noFill/>
            </a:ln>
            <a:effectLst/>
          </c:spPr>
          <c:invertIfNegative val="0"/>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extLst>
            <c:ext xmlns:c16="http://schemas.microsoft.com/office/drawing/2014/chart" uri="{C3380CC4-5D6E-409C-BE32-E72D297353CC}">
              <c16:uniqueId val="{0000000D-2CD5-419D-A9E9-D66F669F6406}"/>
            </c:ext>
          </c:extLst>
        </c:ser>
        <c:dLbls>
          <c:showLegendKey val="0"/>
          <c:showVal val="0"/>
          <c:showCatName val="0"/>
          <c:showSerName val="0"/>
          <c:showPercent val="0"/>
          <c:showBubbleSize val="0"/>
        </c:dLbls>
        <c:gapWidth val="150"/>
        <c:overlap val="100"/>
        <c:axId val="1839849744"/>
        <c:axId val="1839858480"/>
        <c:extLst>
          <c:ext xmlns:c15="http://schemas.microsoft.com/office/drawing/2012/chart" uri="{02D57815-91ED-43cb-92C2-25804820EDAC}">
            <c15:filteredBarSeries>
              <c15:ser>
                <c:idx val="0"/>
                <c:order val="0"/>
                <c:tx>
                  <c:strRef>
                    <c:extLst>
                      <c:ext uri="{02D57815-91ED-43cb-92C2-25804820EDAC}">
                        <c15:formulaRef>
                          <c15:sqref>'Data LM'!$A$2</c15:sqref>
                        </c15:formulaRef>
                      </c:ext>
                    </c:extLst>
                    <c:strCache>
                      <c:ptCount val="1"/>
                      <c:pt idx="0">
                        <c:v>Employment in agriculture (% of total employment) (modeled ILO estimate)</c:v>
                      </c:pt>
                    </c:strCache>
                  </c:strRef>
                </c:tx>
                <c:spPr>
                  <a:solidFill>
                    <a:schemeClr val="accent1"/>
                  </a:solidFill>
                  <a:ln>
                    <a:noFill/>
                  </a:ln>
                  <a:effectLst/>
                </c:spPr>
                <c:invertIfNegative val="0"/>
                <c:cat>
                  <c:numRef>
                    <c:extLst>
                      <c:ex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'Data LM'!$C$2:$V$2</c15:sqref>
                        </c15:formulaRef>
                      </c:ext>
                    </c:extLst>
                    <c:numCache>
                      <c:formatCode>0.0</c:formatCode>
                      <c:ptCount val="20"/>
                      <c:pt idx="0">
                        <c:v>48.7299995422363</c:v>
                      </c:pt>
                      <c:pt idx="1">
                        <c:v>51.5</c:v>
                      </c:pt>
                      <c:pt idx="2">
                        <c:v>54.279998779296903</c:v>
                      </c:pt>
                      <c:pt idx="3">
                        <c:v>56.759998321533203</c:v>
                      </c:pt>
                      <c:pt idx="4">
                        <c:v>58.930000305175803</c:v>
                      </c:pt>
                      <c:pt idx="5">
                        <c:v>61.060001373291001</c:v>
                      </c:pt>
                      <c:pt idx="6">
                        <c:v>61.139999389648402</c:v>
                      </c:pt>
                      <c:pt idx="7">
                        <c:v>60.970001220703097</c:v>
                      </c:pt>
                      <c:pt idx="8">
                        <c:v>61.110000610351598</c:v>
                      </c:pt>
                      <c:pt idx="9">
                        <c:v>60.939998626708999</c:v>
                      </c:pt>
                      <c:pt idx="10">
                        <c:v>60.319999694824197</c:v>
                      </c:pt>
                      <c:pt idx="11">
                        <c:v>59.740001678466797</c:v>
                      </c:pt>
                      <c:pt idx="12">
                        <c:v>59.220001220703097</c:v>
                      </c:pt>
                      <c:pt idx="13">
                        <c:v>58.590000152587898</c:v>
                      </c:pt>
                      <c:pt idx="14">
                        <c:v>57.939998626708999</c:v>
                      </c:pt>
                      <c:pt idx="15">
                        <c:v>57.259998321533203</c:v>
                      </c:pt>
                      <c:pt idx="16">
                        <c:v>56.529998779296903</c:v>
                      </c:pt>
                      <c:pt idx="17">
                        <c:v>55.860000610351598</c:v>
                      </c:pt>
                      <c:pt idx="18">
                        <c:v>55.080001831054702</c:v>
                      </c:pt>
                      <c:pt idx="19">
                        <c:v>54.340000152587898</c:v>
                      </c:pt>
                    </c:numCache>
                  </c:numRef>
                </c:val>
                <c:extLst>
                  <c:ext xmlns:c16="http://schemas.microsoft.com/office/drawing/2014/chart" uri="{C3380CC4-5D6E-409C-BE32-E72D297353CC}">
                    <c16:uniqueId val="{00000003-2CD5-419D-A9E9-D66F669F640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'Data LM'!$A$4</c15:sqref>
                        </c15:formulaRef>
                      </c:ext>
                    </c:extLst>
                    <c:strCache>
                      <c:ptCount val="1"/>
                      <c:pt idx="0">
                        <c:v>Agriculture modeled ILO estimate)</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LM'!$C$4:$V$4</c15:sqref>
                        </c15:formulaRef>
                      </c:ext>
                    </c:extLst>
                    <c:numCache>
                      <c:formatCode>0.0</c:formatCode>
                      <c:ptCount val="20"/>
                      <c:pt idx="0">
                        <c:v>40.009998321533203</c:v>
                      </c:pt>
                      <c:pt idx="1">
                        <c:v>43.130001068115199</c:v>
                      </c:pt>
                      <c:pt idx="2">
                        <c:v>46.470001220703097</c:v>
                      </c:pt>
                      <c:pt idx="3">
                        <c:v>49.4799995422363</c:v>
                      </c:pt>
                      <c:pt idx="4">
                        <c:v>52.110000610351598</c:v>
                      </c:pt>
                      <c:pt idx="5">
                        <c:v>54.799999237060497</c:v>
                      </c:pt>
                      <c:pt idx="6">
                        <c:v>54.720001220703097</c:v>
                      </c:pt>
                      <c:pt idx="7">
                        <c:v>54.540000915527301</c:v>
                      </c:pt>
                      <c:pt idx="8">
                        <c:v>54.9799995422363</c:v>
                      </c:pt>
                      <c:pt idx="9">
                        <c:v>55.009998321533203</c:v>
                      </c:pt>
                      <c:pt idx="10">
                        <c:v>54.409999847412102</c:v>
                      </c:pt>
                      <c:pt idx="11">
                        <c:v>53.919998168945298</c:v>
                      </c:pt>
                      <c:pt idx="12">
                        <c:v>53.540000915527301</c:v>
                      </c:pt>
                      <c:pt idx="13">
                        <c:v>53.009998321533203</c:v>
                      </c:pt>
                      <c:pt idx="14">
                        <c:v>52.5</c:v>
                      </c:pt>
                      <c:pt idx="15">
                        <c:v>51.939998626708999</c:v>
                      </c:pt>
                      <c:pt idx="16">
                        <c:v>51.330001831054702</c:v>
                      </c:pt>
                      <c:pt idx="17">
                        <c:v>50.830001831054702</c:v>
                      </c:pt>
                      <c:pt idx="18">
                        <c:v>50.139999389648402</c:v>
                      </c:pt>
                      <c:pt idx="19">
                        <c:v>49.549999237060497</c:v>
                      </c:pt>
                    </c:numCache>
                  </c:numRef>
                </c:val>
                <c:extLst xmlns:c15="http://schemas.microsoft.com/office/drawing/2012/chart">
                  <c:ext xmlns:c16="http://schemas.microsoft.com/office/drawing/2014/chart" uri="{C3380CC4-5D6E-409C-BE32-E72D297353CC}">
                    <c16:uniqueId val="{00000004-2CD5-419D-A9E9-D66F669F640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'Data LM'!$A$5</c15:sqref>
                        </c15:formulaRef>
                      </c:ext>
                    </c:extLst>
                    <c:strCache>
                      <c:ptCount val="1"/>
                      <c:pt idx="0">
                        <c:v>Employment in industry (% of total employment) (modeled ILO estimate)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LM'!$C$5:$V$5</c15:sqref>
                        </c15:formulaRef>
                      </c:ext>
                    </c:extLst>
                    <c:numCache>
                      <c:formatCode>0.0</c:formatCode>
                      <c:ptCount val="20"/>
                      <c:pt idx="0">
                        <c:v>11.569999694824199</c:v>
                      </c:pt>
                      <c:pt idx="1">
                        <c:v>10.189999580383301</c:v>
                      </c:pt>
                      <c:pt idx="2">
                        <c:v>9.0500001907348597</c:v>
                      </c:pt>
                      <c:pt idx="3">
                        <c:v>8.0900001525878906</c:v>
                      </c:pt>
                      <c:pt idx="4">
                        <c:v>7.3400001525878897</c:v>
                      </c:pt>
                      <c:pt idx="5">
                        <c:v>6.6999998092651403</c:v>
                      </c:pt>
                      <c:pt idx="6">
                        <c:v>6.46000003814697</c:v>
                      </c:pt>
                      <c:pt idx="7">
                        <c:v>6.28999996185303</c:v>
                      </c:pt>
                      <c:pt idx="8">
                        <c:v>6.1300001144409197</c:v>
                      </c:pt>
                      <c:pt idx="9">
                        <c:v>6.03999996185303</c:v>
                      </c:pt>
                      <c:pt idx="10">
                        <c:v>6.0100002288818404</c:v>
                      </c:pt>
                      <c:pt idx="11">
                        <c:v>6.0100002288818404</c:v>
                      </c:pt>
                      <c:pt idx="12">
                        <c:v>6.0100002288818404</c:v>
                      </c:pt>
                      <c:pt idx="13">
                        <c:v>6.0300002098083496</c:v>
                      </c:pt>
                      <c:pt idx="14">
                        <c:v>6.0599999427795401</c:v>
                      </c:pt>
                      <c:pt idx="15">
                        <c:v>6.0900001525878897</c:v>
                      </c:pt>
                      <c:pt idx="16">
                        <c:v>6.1300001144409197</c:v>
                      </c:pt>
                      <c:pt idx="17">
                        <c:v>6.1599998474121103</c:v>
                      </c:pt>
                      <c:pt idx="18">
                        <c:v>6.1900000572204599</c:v>
                      </c:pt>
                      <c:pt idx="19">
                        <c:v>6.2199997901916504</c:v>
                      </c:pt>
                    </c:numCache>
                  </c:numRef>
                </c:val>
                <c:extLst xmlns:c15="http://schemas.microsoft.com/office/drawing/2012/chart">
                  <c:ext xmlns:c16="http://schemas.microsoft.com/office/drawing/2014/chart" uri="{C3380CC4-5D6E-409C-BE32-E72D297353CC}">
                    <c16:uniqueId val="{00000005-2CD5-419D-A9E9-D66F669F640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'Data LM'!$A$7</c15:sqref>
                        </c15:formulaRef>
                      </c:ext>
                    </c:extLst>
                    <c:strCache>
                      <c:ptCount val="1"/>
                      <c:pt idx="0">
                        <c:v>Industry (modeled ILO estimate)</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LM'!$C$7:$V$7</c15:sqref>
                        </c15:formulaRef>
                      </c:ext>
                    </c:extLst>
                    <c:numCache>
                      <c:formatCode>0.0</c:formatCode>
                      <c:ptCount val="20"/>
                      <c:pt idx="0">
                        <c:v>16.420000076293899</c:v>
                      </c:pt>
                      <c:pt idx="1">
                        <c:v>14.8900003433228</c:v>
                      </c:pt>
                      <c:pt idx="2">
                        <c:v>13.539999961853001</c:v>
                      </c:pt>
                      <c:pt idx="3">
                        <c:v>12.3800001144409</c:v>
                      </c:pt>
                      <c:pt idx="4">
                        <c:v>11.449999809265099</c:v>
                      </c:pt>
                      <c:pt idx="5">
                        <c:v>10.6199998855591</c:v>
                      </c:pt>
                      <c:pt idx="6">
                        <c:v>10.3699998855591</c:v>
                      </c:pt>
                      <c:pt idx="7">
                        <c:v>10.189999580383301</c:v>
                      </c:pt>
                      <c:pt idx="8">
                        <c:v>10.0100002288818</c:v>
                      </c:pt>
                      <c:pt idx="9">
                        <c:v>9.9099998474121094</c:v>
                      </c:pt>
                      <c:pt idx="10">
                        <c:v>9.9200000762939506</c:v>
                      </c:pt>
                      <c:pt idx="11">
                        <c:v>9.9700002670288104</c:v>
                      </c:pt>
                      <c:pt idx="12">
                        <c:v>10.0200004577637</c:v>
                      </c:pt>
                      <c:pt idx="13">
                        <c:v>10.1000003814697</c:v>
                      </c:pt>
                      <c:pt idx="14">
                        <c:v>10.180000305175801</c:v>
                      </c:pt>
                      <c:pt idx="15">
                        <c:v>10.2799997329712</c:v>
                      </c:pt>
                      <c:pt idx="16">
                        <c:v>10.3800001144409</c:v>
                      </c:pt>
                      <c:pt idx="17">
                        <c:v>10.4700002670288</c:v>
                      </c:pt>
                      <c:pt idx="18">
                        <c:v>10.579999923706101</c:v>
                      </c:pt>
                      <c:pt idx="19">
                        <c:v>10.6300001144409</c:v>
                      </c:pt>
                    </c:numCache>
                  </c:numRef>
                </c:val>
                <c:extLst xmlns:c15="http://schemas.microsoft.com/office/drawing/2012/chart">
                  <c:ext xmlns:c16="http://schemas.microsoft.com/office/drawing/2014/chart" uri="{C3380CC4-5D6E-409C-BE32-E72D297353CC}">
                    <c16:uniqueId val="{00000006-2CD5-419D-A9E9-D66F669F640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'Data LM'!$A$8</c15:sqref>
                        </c15:formulaRef>
                      </c:ext>
                    </c:extLst>
                    <c:strCache>
                      <c:ptCount val="1"/>
                      <c:pt idx="0">
                        <c:v>Employment in services (% of total employment) (modeled ILO estimate)</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LM'!$C$8:$V$8</c15:sqref>
                        </c15:formulaRef>
                      </c:ext>
                    </c:extLst>
                    <c:numCache>
                      <c:formatCode>0.0</c:formatCode>
                      <c:ptCount val="20"/>
                      <c:pt idx="0">
                        <c:v>39.700000762939503</c:v>
                      </c:pt>
                      <c:pt idx="1">
                        <c:v>38.319999694824197</c:v>
                      </c:pt>
                      <c:pt idx="2">
                        <c:v>36.669998168945298</c:v>
                      </c:pt>
                      <c:pt idx="3">
                        <c:v>35.150001525878899</c:v>
                      </c:pt>
                      <c:pt idx="4">
                        <c:v>33.7299995422363</c:v>
                      </c:pt>
                      <c:pt idx="5">
                        <c:v>32.240001678466797</c:v>
                      </c:pt>
                      <c:pt idx="6">
                        <c:v>32.400001525878899</c:v>
                      </c:pt>
                      <c:pt idx="7">
                        <c:v>32.740001678466797</c:v>
                      </c:pt>
                      <c:pt idx="8">
                        <c:v>32.7700004577637</c:v>
                      </c:pt>
                      <c:pt idx="9">
                        <c:v>33.029998779296903</c:v>
                      </c:pt>
                      <c:pt idx="10">
                        <c:v>33.680000305175803</c:v>
                      </c:pt>
                      <c:pt idx="11">
                        <c:v>34.25</c:v>
                      </c:pt>
                      <c:pt idx="12">
                        <c:v>34.7700004577637</c:v>
                      </c:pt>
                      <c:pt idx="13">
                        <c:v>35.380001068115199</c:v>
                      </c:pt>
                      <c:pt idx="14">
                        <c:v>36</c:v>
                      </c:pt>
                      <c:pt idx="15">
                        <c:v>36.650001525878899</c:v>
                      </c:pt>
                      <c:pt idx="16">
                        <c:v>37.330001831054702</c:v>
                      </c:pt>
                      <c:pt idx="17">
                        <c:v>37.9799995422363</c:v>
                      </c:pt>
                      <c:pt idx="18">
                        <c:v>38.7299995422363</c:v>
                      </c:pt>
                      <c:pt idx="19">
                        <c:v>39.439998626708999</c:v>
                      </c:pt>
                    </c:numCache>
                  </c:numRef>
                </c:val>
                <c:extLst xmlns:c15="http://schemas.microsoft.com/office/drawing/2012/chart">
                  <c:ext xmlns:c16="http://schemas.microsoft.com/office/drawing/2014/chart" uri="{C3380CC4-5D6E-409C-BE32-E72D297353CC}">
                    <c16:uniqueId val="{00000007-2CD5-419D-A9E9-D66F669F640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'Data LM'!$A$10</c15:sqref>
                        </c15:formulaRef>
                      </c:ext>
                    </c:extLst>
                    <c:strCache>
                      <c:ptCount val="1"/>
                      <c:pt idx="0">
                        <c:v>Services (modeled ILO estimate)</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LM'!$C$10:$V$10</c15:sqref>
                        </c15:formulaRef>
                      </c:ext>
                    </c:extLst>
                    <c:numCache>
                      <c:formatCode>0.0</c:formatCode>
                      <c:ptCount val="20"/>
                      <c:pt idx="0">
                        <c:v>43.569999694824197</c:v>
                      </c:pt>
                      <c:pt idx="1">
                        <c:v>41.9799995422363</c:v>
                      </c:pt>
                      <c:pt idx="2">
                        <c:v>39.990001678466797</c:v>
                      </c:pt>
                      <c:pt idx="3">
                        <c:v>38.139999389648402</c:v>
                      </c:pt>
                      <c:pt idx="4">
                        <c:v>36.439998626708999</c:v>
                      </c:pt>
                      <c:pt idx="5">
                        <c:v>34.590000152587898</c:v>
                      </c:pt>
                      <c:pt idx="6">
                        <c:v>34.909999847412102</c:v>
                      </c:pt>
                      <c:pt idx="7">
                        <c:v>35.2700004577637</c:v>
                      </c:pt>
                      <c:pt idx="8">
                        <c:v>35.0200004577637</c:v>
                      </c:pt>
                      <c:pt idx="9">
                        <c:v>35.080001831054702</c:v>
                      </c:pt>
                      <c:pt idx="10">
                        <c:v>35.680000305175803</c:v>
                      </c:pt>
                      <c:pt idx="11">
                        <c:v>36.110000610351598</c:v>
                      </c:pt>
                      <c:pt idx="12">
                        <c:v>36.439998626708999</c:v>
                      </c:pt>
                      <c:pt idx="13">
                        <c:v>36.889999389648402</c:v>
                      </c:pt>
                      <c:pt idx="14">
                        <c:v>37.319999694824197</c:v>
                      </c:pt>
                      <c:pt idx="15">
                        <c:v>37.779998779296903</c:v>
                      </c:pt>
                      <c:pt idx="16">
                        <c:v>38.290000915527301</c:v>
                      </c:pt>
                      <c:pt idx="17">
                        <c:v>38.700000762939503</c:v>
                      </c:pt>
                      <c:pt idx="18">
                        <c:v>39.290000915527301</c:v>
                      </c:pt>
                      <c:pt idx="19">
                        <c:v>39.819999694824197</c:v>
                      </c:pt>
                    </c:numCache>
                  </c:numRef>
                </c:val>
                <c:extLst xmlns:c15="http://schemas.microsoft.com/office/drawing/2012/chart">
                  <c:ext xmlns:c16="http://schemas.microsoft.com/office/drawing/2014/chart" uri="{C3380CC4-5D6E-409C-BE32-E72D297353CC}">
                    <c16:uniqueId val="{00000008-2CD5-419D-A9E9-D66F669F640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'Data LM'!$A$11</c15:sqref>
                        </c15:formulaRef>
                      </c:ext>
                    </c:extLst>
                    <c:strCache>
                      <c:ptCount val="1"/>
                      <c:pt idx="0">
                        <c:v>Employment to population ratio, 15+, total (%) (modeled ILO estimate)</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LM'!$C$11:$V$11</c15:sqref>
                        </c15:formulaRef>
                      </c:ext>
                    </c:extLst>
                    <c:numCache>
                      <c:formatCode>0.0</c:formatCode>
                      <c:ptCount val="20"/>
                      <c:pt idx="0">
                        <c:v>70.320999145507798</c:v>
                      </c:pt>
                      <c:pt idx="1">
                        <c:v>70.461997985839801</c:v>
                      </c:pt>
                      <c:pt idx="2">
                        <c:v>70.573997497558594</c:v>
                      </c:pt>
                      <c:pt idx="3">
                        <c:v>70.710998535156307</c:v>
                      </c:pt>
                      <c:pt idx="4">
                        <c:v>70.846000671386705</c:v>
                      </c:pt>
                      <c:pt idx="5">
                        <c:v>70.975997924804702</c:v>
                      </c:pt>
                      <c:pt idx="6">
                        <c:v>71.103996276855497</c:v>
                      </c:pt>
                      <c:pt idx="7">
                        <c:v>71.232002258300795</c:v>
                      </c:pt>
                      <c:pt idx="8">
                        <c:v>71.329002380371094</c:v>
                      </c:pt>
                      <c:pt idx="9">
                        <c:v>71.468002319335895</c:v>
                      </c:pt>
                      <c:pt idx="10">
                        <c:v>71.615997314453097</c:v>
                      </c:pt>
                      <c:pt idx="11">
                        <c:v>71.731002807617202</c:v>
                      </c:pt>
                      <c:pt idx="12">
                        <c:v>71.849998474121094</c:v>
                      </c:pt>
                      <c:pt idx="13">
                        <c:v>71.981002807617202</c:v>
                      </c:pt>
                      <c:pt idx="14">
                        <c:v>72.103996276855497</c:v>
                      </c:pt>
                      <c:pt idx="15">
                        <c:v>72.231002807617202</c:v>
                      </c:pt>
                      <c:pt idx="16">
                        <c:v>72.356002807617202</c:v>
                      </c:pt>
                      <c:pt idx="17">
                        <c:v>71.670997619628906</c:v>
                      </c:pt>
                      <c:pt idx="18">
                        <c:v>70.995002746582003</c:v>
                      </c:pt>
                      <c:pt idx="19">
                        <c:v>70.297996520996094</c:v>
                      </c:pt>
                    </c:numCache>
                  </c:numRef>
                </c:val>
                <c:extLst xmlns:c15="http://schemas.microsoft.com/office/drawing/2012/chart">
                  <c:ext xmlns:c16="http://schemas.microsoft.com/office/drawing/2014/chart" uri="{C3380CC4-5D6E-409C-BE32-E72D297353CC}">
                    <c16:uniqueId val="{00000009-2CD5-419D-A9E9-D66F669F640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'Data LM'!$A$12</c15:sqref>
                        </c15:formulaRef>
                      </c:ext>
                    </c:extLst>
                    <c:strCache>
                      <c:ptCount val="1"/>
                      <c:pt idx="0">
                        <c:v>Employment to population ratio, ages 15-24, total (%) (national estimate)</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LM'!$C$12:$V$12</c15:sqref>
                        </c15:formulaRef>
                      </c:ext>
                    </c:extLst>
                    <c:numCache>
                      <c:formatCode>0.0</c:formatCode>
                      <c:ptCount val="20"/>
                      <c:pt idx="0">
                        <c:v>0</c:v>
                      </c:pt>
                      <c:pt idx="1">
                        <c:v>0</c:v>
                      </c:pt>
                      <c:pt idx="2">
                        <c:v>0</c:v>
                      </c:pt>
                      <c:pt idx="3">
                        <c:v>0</c:v>
                      </c:pt>
                      <c:pt idx="4">
                        <c:v>0</c:v>
                      </c:pt>
                      <c:pt idx="5">
                        <c:v>0</c:v>
                      </c:pt>
                      <c:pt idx="6">
                        <c:v>31.659999847412099</c:v>
                      </c:pt>
                      <c:pt idx="7">
                        <c:v>0</c:v>
                      </c:pt>
                      <c:pt idx="8">
                        <c:v>0</c:v>
                      </c:pt>
                      <c:pt idx="9">
                        <c:v>0</c:v>
                      </c:pt>
                      <c:pt idx="10">
                        <c:v>0</c:v>
                      </c:pt>
                      <c:pt idx="11">
                        <c:v>0</c:v>
                      </c:pt>
                      <c:pt idx="12">
                        <c:v>0</c:v>
                      </c:pt>
                      <c:pt idx="13">
                        <c:v>0</c:v>
                      </c:pt>
                      <c:pt idx="14">
                        <c:v>0</c:v>
                      </c:pt>
                      <c:pt idx="15">
                        <c:v>0</c:v>
                      </c:pt>
                      <c:pt idx="16">
                        <c:v>41.7700004577637</c:v>
                      </c:pt>
                      <c:pt idx="17">
                        <c:v>0</c:v>
                      </c:pt>
                      <c:pt idx="18">
                        <c:v>0</c:v>
                      </c:pt>
                      <c:pt idx="19">
                        <c:v>32.810001373291001</c:v>
                      </c:pt>
                    </c:numCache>
                  </c:numRef>
                </c:val>
                <c:extLst xmlns:c15="http://schemas.microsoft.com/office/drawing/2012/chart">
                  <c:ext xmlns:c16="http://schemas.microsoft.com/office/drawing/2014/chart" uri="{C3380CC4-5D6E-409C-BE32-E72D297353CC}">
                    <c16:uniqueId val="{0000000A-2CD5-419D-A9E9-D66F669F640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'Data LM'!$A$13</c15:sqref>
                        </c15:formulaRef>
                      </c:ext>
                    </c:extLst>
                    <c:strCache>
                      <c:ptCount val="1"/>
                      <c:pt idx="0">
                        <c:v>Labor force participation rate for ages 15-24, female (%) (modeled ILO estimate)</c:v>
                      </c:pt>
                    </c:strCache>
                  </c:strRef>
                </c:tx>
                <c:spPr>
                  <a:solidFill>
                    <a:schemeClr val="accent3">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LM'!$C$13:$V$13</c15:sqref>
                        </c15:formulaRef>
                      </c:ext>
                    </c:extLst>
                    <c:numCache>
                      <c:formatCode>0.0</c:formatCode>
                      <c:ptCount val="20"/>
                      <c:pt idx="0">
                        <c:v>51.655998229980497</c:v>
                      </c:pt>
                      <c:pt idx="1">
                        <c:v>51.219001770019503</c:v>
                      </c:pt>
                      <c:pt idx="2">
                        <c:v>50.780998229980497</c:v>
                      </c:pt>
                      <c:pt idx="3">
                        <c:v>50.333000183105497</c:v>
                      </c:pt>
                      <c:pt idx="4">
                        <c:v>49.867000579833999</c:v>
                      </c:pt>
                      <c:pt idx="5">
                        <c:v>49.377998352050803</c:v>
                      </c:pt>
                      <c:pt idx="6">
                        <c:v>48.840999603271499</c:v>
                      </c:pt>
                      <c:pt idx="7">
                        <c:v>48.287998199462898</c:v>
                      </c:pt>
                      <c:pt idx="8">
                        <c:v>47.728000640869098</c:v>
                      </c:pt>
                      <c:pt idx="9">
                        <c:v>47.173999786377003</c:v>
                      </c:pt>
                      <c:pt idx="10">
                        <c:v>46.632999420166001</c:v>
                      </c:pt>
                      <c:pt idx="11">
                        <c:v>46.090000152587898</c:v>
                      </c:pt>
                      <c:pt idx="12">
                        <c:v>45.557998657226598</c:v>
                      </c:pt>
                      <c:pt idx="13">
                        <c:v>45.041000366210902</c:v>
                      </c:pt>
                      <c:pt idx="14">
                        <c:v>44.541000366210902</c:v>
                      </c:pt>
                      <c:pt idx="15">
                        <c:v>44.061000823974602</c:v>
                      </c:pt>
                      <c:pt idx="16">
                        <c:v>43.590000152587898</c:v>
                      </c:pt>
                      <c:pt idx="17">
                        <c:v>43.111000061035199</c:v>
                      </c:pt>
                      <c:pt idx="18">
                        <c:v>42.6310005187988</c:v>
                      </c:pt>
                      <c:pt idx="19">
                        <c:v>42.126998901367202</c:v>
                      </c:pt>
                    </c:numCache>
                  </c:numRef>
                </c:val>
                <c:extLst xmlns:c15="http://schemas.microsoft.com/office/drawing/2012/chart">
                  <c:ext xmlns:c16="http://schemas.microsoft.com/office/drawing/2014/chart" uri="{C3380CC4-5D6E-409C-BE32-E72D297353CC}">
                    <c16:uniqueId val="{0000000E-2CD5-419D-A9E9-D66F669F6406}"/>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'Data LM'!$A$14</c15:sqref>
                        </c15:formulaRef>
                      </c:ext>
                    </c:extLst>
                    <c:strCache>
                      <c:ptCount val="1"/>
                      <c:pt idx="0">
                        <c:v>Labor force participation rate for ages 15-24, female (%) (national estimate)</c:v>
                      </c:pt>
                    </c:strCache>
                  </c:strRef>
                </c:tx>
                <c:spPr>
                  <a:solidFill>
                    <a:schemeClr val="accent4">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LM'!$C$14:$V$14</c15:sqref>
                        </c15:formulaRef>
                      </c:ext>
                    </c:extLst>
                    <c:numCache>
                      <c:formatCode>0.0</c:formatCode>
                      <c:ptCount val="20"/>
                      <c:pt idx="0">
                        <c:v>0</c:v>
                      </c:pt>
                      <c:pt idx="1">
                        <c:v>0</c:v>
                      </c:pt>
                      <c:pt idx="2">
                        <c:v>0</c:v>
                      </c:pt>
                      <c:pt idx="3">
                        <c:v>0</c:v>
                      </c:pt>
                      <c:pt idx="4">
                        <c:v>0</c:v>
                      </c:pt>
                      <c:pt idx="5">
                        <c:v>35.180000305175803</c:v>
                      </c:pt>
                      <c:pt idx="6">
                        <c:v>35.090000152587898</c:v>
                      </c:pt>
                      <c:pt idx="7">
                        <c:v>0</c:v>
                      </c:pt>
                      <c:pt idx="8">
                        <c:v>0</c:v>
                      </c:pt>
                      <c:pt idx="9">
                        <c:v>0</c:v>
                      </c:pt>
                      <c:pt idx="10">
                        <c:v>0</c:v>
                      </c:pt>
                      <c:pt idx="11">
                        <c:v>0</c:v>
                      </c:pt>
                      <c:pt idx="12">
                        <c:v>0</c:v>
                      </c:pt>
                      <c:pt idx="13">
                        <c:v>0</c:v>
                      </c:pt>
                      <c:pt idx="14">
                        <c:v>0</c:v>
                      </c:pt>
                      <c:pt idx="15">
                        <c:v>0</c:v>
                      </c:pt>
                      <c:pt idx="16">
                        <c:v>43.439998626708999</c:v>
                      </c:pt>
                      <c:pt idx="17">
                        <c:v>0</c:v>
                      </c:pt>
                      <c:pt idx="18">
                        <c:v>0</c:v>
                      </c:pt>
                      <c:pt idx="19">
                        <c:v>35.110000610351598</c:v>
                      </c:pt>
                    </c:numCache>
                  </c:numRef>
                </c:val>
                <c:extLst xmlns:c15="http://schemas.microsoft.com/office/drawing/2012/chart">
                  <c:ext xmlns:c16="http://schemas.microsoft.com/office/drawing/2014/chart" uri="{C3380CC4-5D6E-409C-BE32-E72D297353CC}">
                    <c16:uniqueId val="{0000000F-2CD5-419D-A9E9-D66F669F6406}"/>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'Data LM'!$A$15</c15:sqref>
                        </c15:formulaRef>
                      </c:ext>
                    </c:extLst>
                    <c:strCache>
                      <c:ptCount val="1"/>
                      <c:pt idx="0">
                        <c:v>Labor force participation rate for ages 15-24, male (%) (modeled ILO estimate)</c:v>
                      </c:pt>
                    </c:strCache>
                  </c:strRef>
                </c:tx>
                <c:spPr>
                  <a:solidFill>
                    <a:schemeClr val="accent5">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LM'!$C$15:$V$15</c15:sqref>
                        </c15:formulaRef>
                      </c:ext>
                    </c:extLst>
                    <c:numCache>
                      <c:formatCode>0.0</c:formatCode>
                      <c:ptCount val="20"/>
                      <c:pt idx="0">
                        <c:v>48.251998901367202</c:v>
                      </c:pt>
                      <c:pt idx="1">
                        <c:v>48.222000122070298</c:v>
                      </c:pt>
                      <c:pt idx="2">
                        <c:v>48.189998626708999</c:v>
                      </c:pt>
                      <c:pt idx="3">
                        <c:v>48.147998809814503</c:v>
                      </c:pt>
                      <c:pt idx="4">
                        <c:v>48.084999084472699</c:v>
                      </c:pt>
                      <c:pt idx="5">
                        <c:v>47.995998382568402</c:v>
                      </c:pt>
                      <c:pt idx="6">
                        <c:v>47.8489990234375</c:v>
                      </c:pt>
                      <c:pt idx="7">
                        <c:v>47.687999725341797</c:v>
                      </c:pt>
                      <c:pt idx="8">
                        <c:v>47.525001525878899</c:v>
                      </c:pt>
                      <c:pt idx="9">
                        <c:v>47.375999450683601</c:v>
                      </c:pt>
                      <c:pt idx="10">
                        <c:v>47.25</c:v>
                      </c:pt>
                      <c:pt idx="11">
                        <c:v>47.127998352050803</c:v>
                      </c:pt>
                      <c:pt idx="12">
                        <c:v>47.021999359130902</c:v>
                      </c:pt>
                      <c:pt idx="13">
                        <c:v>46.935001373291001</c:v>
                      </c:pt>
                      <c:pt idx="14">
                        <c:v>46.872001647949197</c:v>
                      </c:pt>
                      <c:pt idx="15">
                        <c:v>46.832000732421903</c:v>
                      </c:pt>
                      <c:pt idx="16">
                        <c:v>46.806999206542997</c:v>
                      </c:pt>
                      <c:pt idx="17">
                        <c:v>45.556999206542997</c:v>
                      </c:pt>
                      <c:pt idx="18">
                        <c:v>44.297000885009801</c:v>
                      </c:pt>
                      <c:pt idx="19">
                        <c:v>42.983001708984403</c:v>
                      </c:pt>
                    </c:numCache>
                  </c:numRef>
                </c:val>
                <c:extLst xmlns:c15="http://schemas.microsoft.com/office/drawing/2012/chart">
                  <c:ext xmlns:c16="http://schemas.microsoft.com/office/drawing/2014/chart" uri="{C3380CC4-5D6E-409C-BE32-E72D297353CC}">
                    <c16:uniqueId val="{00000010-2CD5-419D-A9E9-D66F669F6406}"/>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'Data LM'!$A$16</c15:sqref>
                        </c15:formulaRef>
                      </c:ext>
                    </c:extLst>
                    <c:strCache>
                      <c:ptCount val="1"/>
                      <c:pt idx="0">
                        <c:v>Labor force participation rate for ages 15-24, male (%) (national estimate)</c:v>
                      </c:pt>
                    </c:strCache>
                  </c:strRef>
                </c:tx>
                <c:spPr>
                  <a:solidFill>
                    <a:schemeClr val="accent6">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LM'!$C$16:$V$16</c15:sqref>
                        </c15:formulaRef>
                      </c:ext>
                    </c:extLst>
                    <c:numCache>
                      <c:formatCode>0.0</c:formatCode>
                      <c:ptCount val="20"/>
                      <c:pt idx="0">
                        <c:v>0</c:v>
                      </c:pt>
                      <c:pt idx="1">
                        <c:v>0</c:v>
                      </c:pt>
                      <c:pt idx="2">
                        <c:v>0</c:v>
                      </c:pt>
                      <c:pt idx="3">
                        <c:v>0</c:v>
                      </c:pt>
                      <c:pt idx="4">
                        <c:v>0</c:v>
                      </c:pt>
                      <c:pt idx="5">
                        <c:v>41.630001068115199</c:v>
                      </c:pt>
                      <c:pt idx="6">
                        <c:v>43.759998321533203</c:v>
                      </c:pt>
                      <c:pt idx="7">
                        <c:v>0</c:v>
                      </c:pt>
                      <c:pt idx="8">
                        <c:v>0</c:v>
                      </c:pt>
                      <c:pt idx="9">
                        <c:v>0</c:v>
                      </c:pt>
                      <c:pt idx="10">
                        <c:v>0</c:v>
                      </c:pt>
                      <c:pt idx="11">
                        <c:v>0</c:v>
                      </c:pt>
                      <c:pt idx="12">
                        <c:v>0</c:v>
                      </c:pt>
                      <c:pt idx="13">
                        <c:v>0</c:v>
                      </c:pt>
                      <c:pt idx="14">
                        <c:v>0</c:v>
                      </c:pt>
                      <c:pt idx="15">
                        <c:v>0</c:v>
                      </c:pt>
                      <c:pt idx="16">
                        <c:v>46.740001678466797</c:v>
                      </c:pt>
                      <c:pt idx="17">
                        <c:v>0</c:v>
                      </c:pt>
                      <c:pt idx="18">
                        <c:v>0</c:v>
                      </c:pt>
                      <c:pt idx="19">
                        <c:v>40.2299995422363</c:v>
                      </c:pt>
                    </c:numCache>
                  </c:numRef>
                </c:val>
                <c:extLst xmlns:c15="http://schemas.microsoft.com/office/drawing/2012/chart">
                  <c:ext xmlns:c16="http://schemas.microsoft.com/office/drawing/2014/chart" uri="{C3380CC4-5D6E-409C-BE32-E72D297353CC}">
                    <c16:uniqueId val="{00000011-2CD5-419D-A9E9-D66F669F6406}"/>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'Data LM'!$A$17</c15:sqref>
                        </c15:formulaRef>
                      </c:ext>
                    </c:extLst>
                    <c:strCache>
                      <c:ptCount val="1"/>
                      <c:pt idx="0">
                        <c:v>Labor force participation rate for ages 15-24, total (%) (modeled ILO estimate)</c:v>
                      </c:pt>
                    </c:strCache>
                  </c:strRef>
                </c:tx>
                <c:spPr>
                  <a:solidFill>
                    <a:schemeClr val="accent1">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LM'!$C$17:$V$17</c15:sqref>
                        </c15:formulaRef>
                      </c:ext>
                    </c:extLst>
                    <c:numCache>
                      <c:formatCode>0.0</c:formatCode>
                      <c:ptCount val="20"/>
                      <c:pt idx="0">
                        <c:v>49.955001831054702</c:v>
                      </c:pt>
                      <c:pt idx="1">
                        <c:v>49.722000122070298</c:v>
                      </c:pt>
                      <c:pt idx="2">
                        <c:v>49.4869995117188</c:v>
                      </c:pt>
                      <c:pt idx="3">
                        <c:v>49.243000030517599</c:v>
                      </c:pt>
                      <c:pt idx="4">
                        <c:v>48.978000640869098</c:v>
                      </c:pt>
                      <c:pt idx="5">
                        <c:v>48.688999176025398</c:v>
                      </c:pt>
                      <c:pt idx="6">
                        <c:v>48.347000122070298</c:v>
                      </c:pt>
                      <c:pt idx="7">
                        <c:v>47.988998413085902</c:v>
                      </c:pt>
                      <c:pt idx="8">
                        <c:v>47.626998901367202</c:v>
                      </c:pt>
                      <c:pt idx="9">
                        <c:v>47.275001525878899</c:v>
                      </c:pt>
                      <c:pt idx="10">
                        <c:v>46.941001892089801</c:v>
                      </c:pt>
                      <c:pt idx="11">
                        <c:v>46.606998443603501</c:v>
                      </c:pt>
                      <c:pt idx="12">
                        <c:v>46.287998199462898</c:v>
                      </c:pt>
                      <c:pt idx="13">
                        <c:v>45.986000061035199</c:v>
                      </c:pt>
                      <c:pt idx="14">
                        <c:v>45.705001831054702</c:v>
                      </c:pt>
                      <c:pt idx="15">
                        <c:v>45.444999694824197</c:v>
                      </c:pt>
                      <c:pt idx="16">
                        <c:v>45.199001312255902</c:v>
                      </c:pt>
                      <c:pt idx="17">
                        <c:v>44.334999084472699</c:v>
                      </c:pt>
                      <c:pt idx="18">
                        <c:v>43.465999603271499</c:v>
                      </c:pt>
                      <c:pt idx="19">
                        <c:v>42.555999755859403</c:v>
                      </c:pt>
                    </c:numCache>
                  </c:numRef>
                </c:val>
                <c:extLst xmlns:c15="http://schemas.microsoft.com/office/drawing/2012/chart">
                  <c:ext xmlns:c16="http://schemas.microsoft.com/office/drawing/2014/chart" uri="{C3380CC4-5D6E-409C-BE32-E72D297353CC}">
                    <c16:uniqueId val="{00000012-2CD5-419D-A9E9-D66F669F6406}"/>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'Data LM'!$A$18</c15:sqref>
                        </c15:formulaRef>
                      </c:ext>
                    </c:extLst>
                    <c:strCache>
                      <c:ptCount val="1"/>
                      <c:pt idx="0">
                        <c:v>Labor force participation rate for ages 15-24, total (%) (national estimate)</c:v>
                      </c:pt>
                    </c:strCache>
                  </c:strRef>
                </c:tx>
                <c:spPr>
                  <a:solidFill>
                    <a:schemeClr val="accent2">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LM'!$C$18:$V$18</c15:sqref>
                        </c15:formulaRef>
                      </c:ext>
                    </c:extLst>
                    <c:numCache>
                      <c:formatCode>0.0</c:formatCode>
                      <c:ptCount val="20"/>
                      <c:pt idx="0">
                        <c:v>0</c:v>
                      </c:pt>
                      <c:pt idx="1">
                        <c:v>0</c:v>
                      </c:pt>
                      <c:pt idx="2">
                        <c:v>0</c:v>
                      </c:pt>
                      <c:pt idx="3">
                        <c:v>0</c:v>
                      </c:pt>
                      <c:pt idx="4">
                        <c:v>0</c:v>
                      </c:pt>
                      <c:pt idx="5">
                        <c:v>38.349998474121101</c:v>
                      </c:pt>
                      <c:pt idx="6">
                        <c:v>39.409999847412102</c:v>
                      </c:pt>
                      <c:pt idx="7">
                        <c:v>0</c:v>
                      </c:pt>
                      <c:pt idx="8">
                        <c:v>0</c:v>
                      </c:pt>
                      <c:pt idx="9">
                        <c:v>0</c:v>
                      </c:pt>
                      <c:pt idx="10">
                        <c:v>0</c:v>
                      </c:pt>
                      <c:pt idx="11">
                        <c:v>0</c:v>
                      </c:pt>
                      <c:pt idx="12">
                        <c:v>0</c:v>
                      </c:pt>
                      <c:pt idx="13">
                        <c:v>0</c:v>
                      </c:pt>
                      <c:pt idx="14">
                        <c:v>0</c:v>
                      </c:pt>
                      <c:pt idx="15">
                        <c:v>0</c:v>
                      </c:pt>
                      <c:pt idx="16">
                        <c:v>45.080001831054702</c:v>
                      </c:pt>
                      <c:pt idx="17">
                        <c:v>0</c:v>
                      </c:pt>
                      <c:pt idx="18">
                        <c:v>0</c:v>
                      </c:pt>
                      <c:pt idx="19">
                        <c:v>37.650001525878899</c:v>
                      </c:pt>
                    </c:numCache>
                  </c:numRef>
                </c:val>
                <c:extLst xmlns:c15="http://schemas.microsoft.com/office/drawing/2012/chart">
                  <c:ext xmlns:c16="http://schemas.microsoft.com/office/drawing/2014/chart" uri="{C3380CC4-5D6E-409C-BE32-E72D297353CC}">
                    <c16:uniqueId val="{00000013-2CD5-419D-A9E9-D66F669F6406}"/>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'Data LM'!$A$19</c15:sqref>
                        </c15:formulaRef>
                      </c:ext>
                    </c:extLst>
                    <c:strCache>
                      <c:ptCount val="1"/>
                      <c:pt idx="0">
                        <c:v>Labor force participation rate, female (% of female population ages 15+) (modeled ILO estimate)</c:v>
                      </c:pt>
                    </c:strCache>
                  </c:strRef>
                </c:tx>
                <c:spPr>
                  <a:solidFill>
                    <a:schemeClr val="accent3">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LM'!$C$19:$V$19</c15:sqref>
                        </c15:formulaRef>
                      </c:ext>
                    </c:extLst>
                    <c:numCache>
                      <c:formatCode>0.0</c:formatCode>
                      <c:ptCount val="20"/>
                      <c:pt idx="0">
                        <c:v>70.485000610351605</c:v>
                      </c:pt>
                      <c:pt idx="1">
                        <c:v>70.543998718261705</c:v>
                      </c:pt>
                      <c:pt idx="2">
                        <c:v>70.603996276855497</c:v>
                      </c:pt>
                      <c:pt idx="3">
                        <c:v>70.664001464843807</c:v>
                      </c:pt>
                      <c:pt idx="4">
                        <c:v>70.722999572753906</c:v>
                      </c:pt>
                      <c:pt idx="5">
                        <c:v>70.782997131347699</c:v>
                      </c:pt>
                      <c:pt idx="6">
                        <c:v>70.843002319335895</c:v>
                      </c:pt>
                      <c:pt idx="7">
                        <c:v>70.902999877929702</c:v>
                      </c:pt>
                      <c:pt idx="8">
                        <c:v>70.962997436523395</c:v>
                      </c:pt>
                      <c:pt idx="9">
                        <c:v>71.023002624511705</c:v>
                      </c:pt>
                      <c:pt idx="10">
                        <c:v>71.083000183105497</c:v>
                      </c:pt>
                      <c:pt idx="11">
                        <c:v>71.141998291015597</c:v>
                      </c:pt>
                      <c:pt idx="12">
                        <c:v>71.202003479003906</c:v>
                      </c:pt>
                      <c:pt idx="13">
                        <c:v>71.261001586914105</c:v>
                      </c:pt>
                      <c:pt idx="14">
                        <c:v>71.320999145507798</c:v>
                      </c:pt>
                      <c:pt idx="15">
                        <c:v>71.379997253417997</c:v>
                      </c:pt>
                      <c:pt idx="16">
                        <c:v>71.440002441406307</c:v>
                      </c:pt>
                      <c:pt idx="17">
                        <c:v>71.643997192382798</c:v>
                      </c:pt>
                      <c:pt idx="18">
                        <c:v>71.859001159667997</c:v>
                      </c:pt>
                      <c:pt idx="19">
                        <c:v>72.085998535156307</c:v>
                      </c:pt>
                    </c:numCache>
                  </c:numRef>
                </c:val>
                <c:extLst xmlns:c15="http://schemas.microsoft.com/office/drawing/2012/chart">
                  <c:ext xmlns:c16="http://schemas.microsoft.com/office/drawing/2014/chart" uri="{C3380CC4-5D6E-409C-BE32-E72D297353CC}">
                    <c16:uniqueId val="{00000014-2CD5-419D-A9E9-D66F669F6406}"/>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'Data LM'!$A$20</c15:sqref>
                        </c15:formulaRef>
                      </c:ext>
                    </c:extLst>
                    <c:strCache>
                      <c:ptCount val="1"/>
                      <c:pt idx="0">
                        <c:v>Labor force participation rate, female (% of female population ages 15+) (national estimate)</c:v>
                      </c:pt>
                    </c:strCache>
                  </c:strRef>
                </c:tx>
                <c:spPr>
                  <a:solidFill>
                    <a:schemeClr val="accent4">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LM'!$C$20:$V$20</c15:sqref>
                        </c15:formulaRef>
                      </c:ext>
                    </c:extLst>
                    <c:numCache>
                      <c:formatCode>0.0</c:formatCode>
                      <c:ptCount val="20"/>
                      <c:pt idx="0">
                        <c:v>0</c:v>
                      </c:pt>
                      <c:pt idx="1">
                        <c:v>0</c:v>
                      </c:pt>
                      <c:pt idx="2">
                        <c:v>0</c:v>
                      </c:pt>
                      <c:pt idx="3">
                        <c:v>0</c:v>
                      </c:pt>
                      <c:pt idx="4">
                        <c:v>0</c:v>
                      </c:pt>
                      <c:pt idx="5">
                        <c:v>59.490001678466797</c:v>
                      </c:pt>
                      <c:pt idx="6">
                        <c:v>56.619998931884801</c:v>
                      </c:pt>
                      <c:pt idx="7">
                        <c:v>0</c:v>
                      </c:pt>
                      <c:pt idx="8">
                        <c:v>0</c:v>
                      </c:pt>
                      <c:pt idx="9">
                        <c:v>71.540000915527301</c:v>
                      </c:pt>
                      <c:pt idx="10">
                        <c:v>0</c:v>
                      </c:pt>
                      <c:pt idx="11">
                        <c:v>0</c:v>
                      </c:pt>
                      <c:pt idx="12">
                        <c:v>0</c:v>
                      </c:pt>
                      <c:pt idx="13">
                        <c:v>0</c:v>
                      </c:pt>
                      <c:pt idx="14">
                        <c:v>0</c:v>
                      </c:pt>
                      <c:pt idx="15">
                        <c:v>0</c:v>
                      </c:pt>
                      <c:pt idx="16">
                        <c:v>71.459999084472699</c:v>
                      </c:pt>
                      <c:pt idx="17">
                        <c:v>0</c:v>
                      </c:pt>
                      <c:pt idx="18">
                        <c:v>0</c:v>
                      </c:pt>
                      <c:pt idx="19">
                        <c:v>62.900001525878899</c:v>
                      </c:pt>
                    </c:numCache>
                  </c:numRef>
                </c:val>
                <c:extLst xmlns:c15="http://schemas.microsoft.com/office/drawing/2012/chart">
                  <c:ext xmlns:c16="http://schemas.microsoft.com/office/drawing/2014/chart" uri="{C3380CC4-5D6E-409C-BE32-E72D297353CC}">
                    <c16:uniqueId val="{00000015-2CD5-419D-A9E9-D66F669F6406}"/>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'Data LM'!$A$21</c15:sqref>
                        </c15:formulaRef>
                      </c:ext>
                    </c:extLst>
                    <c:strCache>
                      <c:ptCount val="1"/>
                      <c:pt idx="0">
                        <c:v>Labor force participation rate, female (% of female population ages 15-64) (modeled ILO estimate)</c:v>
                      </c:pt>
                    </c:strCache>
                  </c:strRef>
                </c:tx>
                <c:spPr>
                  <a:solidFill>
                    <a:schemeClr val="accent5">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LM'!$C$21:$V$21</c15:sqref>
                        </c15:formulaRef>
                      </c:ext>
                    </c:extLst>
                    <c:numCache>
                      <c:formatCode>0.0</c:formatCode>
                      <c:ptCount val="20"/>
                      <c:pt idx="0">
                        <c:v>69.569999999999993</c:v>
                      </c:pt>
                      <c:pt idx="1">
                        <c:v>67.91</c:v>
                      </c:pt>
                      <c:pt idx="2">
                        <c:v>66.16</c:v>
                      </c:pt>
                      <c:pt idx="3">
                        <c:v>64.349999999999994</c:v>
                      </c:pt>
                      <c:pt idx="4">
                        <c:v>62.51</c:v>
                      </c:pt>
                      <c:pt idx="5">
                        <c:v>60.65</c:v>
                      </c:pt>
                      <c:pt idx="6">
                        <c:v>61.91</c:v>
                      </c:pt>
                      <c:pt idx="7">
                        <c:v>63.19</c:v>
                      </c:pt>
                      <c:pt idx="8">
                        <c:v>64.44</c:v>
                      </c:pt>
                      <c:pt idx="9">
                        <c:v>65.63</c:v>
                      </c:pt>
                      <c:pt idx="10">
                        <c:v>66.739999999999995</c:v>
                      </c:pt>
                      <c:pt idx="11">
                        <c:v>67.78</c:v>
                      </c:pt>
                      <c:pt idx="12">
                        <c:v>68.73</c:v>
                      </c:pt>
                      <c:pt idx="13">
                        <c:v>69.62</c:v>
                      </c:pt>
                      <c:pt idx="14">
                        <c:v>70.47</c:v>
                      </c:pt>
                      <c:pt idx="15">
                        <c:v>71.290000000000006</c:v>
                      </c:pt>
                      <c:pt idx="16">
                        <c:v>72.099999999999994</c:v>
                      </c:pt>
                      <c:pt idx="17">
                        <c:v>72.2</c:v>
                      </c:pt>
                      <c:pt idx="18">
                        <c:v>72.3</c:v>
                      </c:pt>
                      <c:pt idx="19">
                        <c:v>72.41</c:v>
                      </c:pt>
                    </c:numCache>
                  </c:numRef>
                </c:val>
                <c:extLst xmlns:c15="http://schemas.microsoft.com/office/drawing/2012/chart">
                  <c:ext xmlns:c16="http://schemas.microsoft.com/office/drawing/2014/chart" uri="{C3380CC4-5D6E-409C-BE32-E72D297353CC}">
                    <c16:uniqueId val="{00000016-2CD5-419D-A9E9-D66F669F6406}"/>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'Data LM'!$A$22</c15:sqref>
                        </c15:formulaRef>
                      </c:ext>
                    </c:extLst>
                    <c:strCache>
                      <c:ptCount val="1"/>
                      <c:pt idx="0">
                        <c:v>Labor force participation rate, male (% of male population ages 15+) (modeled ILO estimate)</c:v>
                      </c:pt>
                    </c:strCache>
                  </c:strRef>
                </c:tx>
                <c:spPr>
                  <a:solidFill>
                    <a:schemeClr val="accent6">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LM'!$C$22:$V$22</c15:sqref>
                        </c15:formulaRef>
                      </c:ext>
                    </c:extLst>
                    <c:numCache>
                      <c:formatCode>0.0</c:formatCode>
                      <c:ptCount val="20"/>
                      <c:pt idx="0">
                        <c:v>74.610000610351605</c:v>
                      </c:pt>
                      <c:pt idx="1">
                        <c:v>74.795997619628906</c:v>
                      </c:pt>
                      <c:pt idx="2">
                        <c:v>74.981002807617202</c:v>
                      </c:pt>
                      <c:pt idx="3">
                        <c:v>75.165000915527301</c:v>
                      </c:pt>
                      <c:pt idx="4">
                        <c:v>75.347999572753906</c:v>
                      </c:pt>
                      <c:pt idx="5">
                        <c:v>75.529998779296903</c:v>
                      </c:pt>
                      <c:pt idx="6">
                        <c:v>75.711997985839801</c:v>
                      </c:pt>
                      <c:pt idx="7">
                        <c:v>75.891998291015597</c:v>
                      </c:pt>
                      <c:pt idx="8">
                        <c:v>76.071998596191406</c:v>
                      </c:pt>
                      <c:pt idx="9">
                        <c:v>76.250999450683594</c:v>
                      </c:pt>
                      <c:pt idx="10">
                        <c:v>76.429000854492202</c:v>
                      </c:pt>
                      <c:pt idx="11">
                        <c:v>76.607002258300795</c:v>
                      </c:pt>
                      <c:pt idx="12">
                        <c:v>76.782997131347699</c:v>
                      </c:pt>
                      <c:pt idx="13">
                        <c:v>76.958000183105497</c:v>
                      </c:pt>
                      <c:pt idx="14">
                        <c:v>77.132003784179702</c:v>
                      </c:pt>
                      <c:pt idx="15">
                        <c:v>77.305000305175795</c:v>
                      </c:pt>
                      <c:pt idx="16">
                        <c:v>77.477996826171903</c:v>
                      </c:pt>
                      <c:pt idx="17">
                        <c:v>77.000999450683594</c:v>
                      </c:pt>
                      <c:pt idx="18">
                        <c:v>76.505996704101605</c:v>
                      </c:pt>
                      <c:pt idx="19">
                        <c:v>75.986999511718807</c:v>
                      </c:pt>
                    </c:numCache>
                  </c:numRef>
                </c:val>
                <c:extLst xmlns:c15="http://schemas.microsoft.com/office/drawing/2012/chart">
                  <c:ext xmlns:c16="http://schemas.microsoft.com/office/drawing/2014/chart" uri="{C3380CC4-5D6E-409C-BE32-E72D297353CC}">
                    <c16:uniqueId val="{00000017-2CD5-419D-A9E9-D66F669F6406}"/>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'Data LM'!$A$23</c15:sqref>
                        </c15:formulaRef>
                      </c:ext>
                    </c:extLst>
                    <c:strCache>
                      <c:ptCount val="1"/>
                      <c:pt idx="0">
                        <c:v>Labor force participation rate, male (% of male population ages 15+) (national estimate)</c:v>
                      </c:pt>
                    </c:strCache>
                  </c:strRef>
                </c:tx>
                <c:spPr>
                  <a:solidFill>
                    <a:schemeClr val="accent1">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LM'!$C$23:$V$23</c15:sqref>
                        </c15:formulaRef>
                      </c:ext>
                    </c:extLst>
                    <c:numCache>
                      <c:formatCode>0.0</c:formatCode>
                      <c:ptCount val="20"/>
                      <c:pt idx="0">
                        <c:v>0</c:v>
                      </c:pt>
                      <c:pt idx="1">
                        <c:v>0</c:v>
                      </c:pt>
                      <c:pt idx="2">
                        <c:v>0</c:v>
                      </c:pt>
                      <c:pt idx="3">
                        <c:v>0</c:v>
                      </c:pt>
                      <c:pt idx="4">
                        <c:v>0</c:v>
                      </c:pt>
                      <c:pt idx="5">
                        <c:v>68.610000610351605</c:v>
                      </c:pt>
                      <c:pt idx="6">
                        <c:v>70.220001220703097</c:v>
                      </c:pt>
                      <c:pt idx="7">
                        <c:v>0</c:v>
                      </c:pt>
                      <c:pt idx="8">
                        <c:v>0</c:v>
                      </c:pt>
                      <c:pt idx="9">
                        <c:v>81.75</c:v>
                      </c:pt>
                      <c:pt idx="10">
                        <c:v>0</c:v>
                      </c:pt>
                      <c:pt idx="11">
                        <c:v>0</c:v>
                      </c:pt>
                      <c:pt idx="12">
                        <c:v>0</c:v>
                      </c:pt>
                      <c:pt idx="13">
                        <c:v>0</c:v>
                      </c:pt>
                      <c:pt idx="14">
                        <c:v>0</c:v>
                      </c:pt>
                      <c:pt idx="15">
                        <c:v>0</c:v>
                      </c:pt>
                      <c:pt idx="16">
                        <c:v>77.5</c:v>
                      </c:pt>
                      <c:pt idx="17">
                        <c:v>0</c:v>
                      </c:pt>
                      <c:pt idx="18">
                        <c:v>0</c:v>
                      </c:pt>
                      <c:pt idx="19">
                        <c:v>73</c:v>
                      </c:pt>
                    </c:numCache>
                  </c:numRef>
                </c:val>
                <c:extLst xmlns:c15="http://schemas.microsoft.com/office/drawing/2012/chart">
                  <c:ext xmlns:c16="http://schemas.microsoft.com/office/drawing/2014/chart" uri="{C3380CC4-5D6E-409C-BE32-E72D297353CC}">
                    <c16:uniqueId val="{00000018-2CD5-419D-A9E9-D66F669F6406}"/>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'Data LM'!$A$24</c15:sqref>
                        </c15:formulaRef>
                      </c:ext>
                    </c:extLst>
                    <c:strCache>
                      <c:ptCount val="1"/>
                      <c:pt idx="0">
                        <c:v>Labor force participation rate, male (% of male population ages 15-64) (modeled ILO estimate)</c:v>
                      </c:pt>
                    </c:strCache>
                  </c:strRef>
                </c:tx>
                <c:spPr>
                  <a:solidFill>
                    <a:schemeClr val="accent2">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LM'!$C$24:$V$24</c15:sqref>
                        </c15:formulaRef>
                      </c:ext>
                    </c:extLst>
                    <c:numCache>
                      <c:formatCode>0.0</c:formatCode>
                      <c:ptCount val="20"/>
                      <c:pt idx="0">
                        <c:v>74.099999999999994</c:v>
                      </c:pt>
                      <c:pt idx="1">
                        <c:v>73.430000000000007</c:v>
                      </c:pt>
                      <c:pt idx="2">
                        <c:v>72.7</c:v>
                      </c:pt>
                      <c:pt idx="3">
                        <c:v>71.94</c:v>
                      </c:pt>
                      <c:pt idx="4">
                        <c:v>71.16</c:v>
                      </c:pt>
                      <c:pt idx="5">
                        <c:v>70.36</c:v>
                      </c:pt>
                      <c:pt idx="6">
                        <c:v>71.44</c:v>
                      </c:pt>
                      <c:pt idx="7">
                        <c:v>72.52</c:v>
                      </c:pt>
                      <c:pt idx="8">
                        <c:v>73.540000000000006</c:v>
                      </c:pt>
                      <c:pt idx="9">
                        <c:v>74.459999999999994</c:v>
                      </c:pt>
                      <c:pt idx="10">
                        <c:v>75.260000000000005</c:v>
                      </c:pt>
                      <c:pt idx="11">
                        <c:v>75.98</c:v>
                      </c:pt>
                      <c:pt idx="12">
                        <c:v>76.59</c:v>
                      </c:pt>
                      <c:pt idx="13">
                        <c:v>77.13</c:v>
                      </c:pt>
                      <c:pt idx="14">
                        <c:v>77.63</c:v>
                      </c:pt>
                      <c:pt idx="15">
                        <c:v>78.11</c:v>
                      </c:pt>
                      <c:pt idx="16">
                        <c:v>78.569999999999993</c:v>
                      </c:pt>
                      <c:pt idx="17">
                        <c:v>77.98</c:v>
                      </c:pt>
                      <c:pt idx="18">
                        <c:v>77.37</c:v>
                      </c:pt>
                      <c:pt idx="19">
                        <c:v>76.760000000000005</c:v>
                      </c:pt>
                    </c:numCache>
                  </c:numRef>
                </c:val>
                <c:extLst xmlns:c15="http://schemas.microsoft.com/office/drawing/2012/chart">
                  <c:ext xmlns:c16="http://schemas.microsoft.com/office/drawing/2014/chart" uri="{C3380CC4-5D6E-409C-BE32-E72D297353CC}">
                    <c16:uniqueId val="{00000019-2CD5-419D-A9E9-D66F669F6406}"/>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'Data LM'!$A$25</c15:sqref>
                        </c15:formulaRef>
                      </c:ext>
                    </c:extLst>
                    <c:strCache>
                      <c:ptCount val="1"/>
                      <c:pt idx="0">
                        <c:v>Labor force participation rate, total (% of total population ages 15+) (modeled ILO estimate)</c:v>
                      </c:pt>
                    </c:strCache>
                  </c:strRef>
                </c:tx>
                <c:spPr>
                  <a:solidFill>
                    <a:schemeClr val="accent3">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LM'!$C$25:$V$25</c15:sqref>
                        </c15:formulaRef>
                      </c:ext>
                    </c:extLst>
                    <c:numCache>
                      <c:formatCode>0.0</c:formatCode>
                      <c:ptCount val="20"/>
                      <c:pt idx="0">
                        <c:v>72.512001037597699</c:v>
                      </c:pt>
                      <c:pt idx="1">
                        <c:v>72.633003234863295</c:v>
                      </c:pt>
                      <c:pt idx="2">
                        <c:v>72.753997802734403</c:v>
                      </c:pt>
                      <c:pt idx="3">
                        <c:v>72.874000549316406</c:v>
                      </c:pt>
                      <c:pt idx="4">
                        <c:v>72.994003295898395</c:v>
                      </c:pt>
                      <c:pt idx="5">
                        <c:v>73.113998413085895</c:v>
                      </c:pt>
                      <c:pt idx="6">
                        <c:v>73.234001159667997</c:v>
                      </c:pt>
                      <c:pt idx="7">
                        <c:v>73.352996826171903</c:v>
                      </c:pt>
                      <c:pt idx="8">
                        <c:v>73.472000122070298</c:v>
                      </c:pt>
                      <c:pt idx="9">
                        <c:v>73.589996337890597</c:v>
                      </c:pt>
                      <c:pt idx="10">
                        <c:v>73.708000183105497</c:v>
                      </c:pt>
                      <c:pt idx="11">
                        <c:v>73.825996398925795</c:v>
                      </c:pt>
                      <c:pt idx="12">
                        <c:v>73.944000244140597</c:v>
                      </c:pt>
                      <c:pt idx="13">
                        <c:v>74.060997009277301</c:v>
                      </c:pt>
                      <c:pt idx="14">
                        <c:v>74.177001953125</c:v>
                      </c:pt>
                      <c:pt idx="15">
                        <c:v>74.293998718261705</c:v>
                      </c:pt>
                      <c:pt idx="16">
                        <c:v>74.410003662109403</c:v>
                      </c:pt>
                      <c:pt idx="17">
                        <c:v>74.279998779296903</c:v>
                      </c:pt>
                      <c:pt idx="18">
                        <c:v>74.144996643066406</c:v>
                      </c:pt>
                      <c:pt idx="19">
                        <c:v>74.005996704101605</c:v>
                      </c:pt>
                    </c:numCache>
                  </c:numRef>
                </c:val>
                <c:extLst xmlns:c15="http://schemas.microsoft.com/office/drawing/2012/chart">
                  <c:ext xmlns:c16="http://schemas.microsoft.com/office/drawing/2014/chart" uri="{C3380CC4-5D6E-409C-BE32-E72D297353CC}">
                    <c16:uniqueId val="{0000001A-2CD5-419D-A9E9-D66F669F6406}"/>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'Data LM'!$A$26</c15:sqref>
                        </c15:formulaRef>
                      </c:ext>
                    </c:extLst>
                    <c:strCache>
                      <c:ptCount val="1"/>
                      <c:pt idx="0">
                        <c:v>Labor force participation rate, total (% of total population ages 15+) (national estimate)</c:v>
                      </c:pt>
                    </c:strCache>
                  </c:strRef>
                </c:tx>
                <c:spPr>
                  <a:solidFill>
                    <a:schemeClr val="accent4">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LM'!$C$26:$V$26</c15:sqref>
                        </c15:formulaRef>
                      </c:ext>
                    </c:extLst>
                    <c:numCache>
                      <c:formatCode>0.0</c:formatCode>
                      <c:ptCount val="20"/>
                      <c:pt idx="0">
                        <c:v>0</c:v>
                      </c:pt>
                      <c:pt idx="1">
                        <c:v>0</c:v>
                      </c:pt>
                      <c:pt idx="2">
                        <c:v>0</c:v>
                      </c:pt>
                      <c:pt idx="3">
                        <c:v>0</c:v>
                      </c:pt>
                      <c:pt idx="4">
                        <c:v>0</c:v>
                      </c:pt>
                      <c:pt idx="5">
                        <c:v>63.930000305175803</c:v>
                      </c:pt>
                      <c:pt idx="6">
                        <c:v>63.259998321533203</c:v>
                      </c:pt>
                      <c:pt idx="7">
                        <c:v>0</c:v>
                      </c:pt>
                      <c:pt idx="8">
                        <c:v>0</c:v>
                      </c:pt>
                      <c:pt idx="9">
                        <c:v>76.519996643066406</c:v>
                      </c:pt>
                      <c:pt idx="10">
                        <c:v>0</c:v>
                      </c:pt>
                      <c:pt idx="11">
                        <c:v>0</c:v>
                      </c:pt>
                      <c:pt idx="12">
                        <c:v>0</c:v>
                      </c:pt>
                      <c:pt idx="13">
                        <c:v>0</c:v>
                      </c:pt>
                      <c:pt idx="14">
                        <c:v>0</c:v>
                      </c:pt>
                      <c:pt idx="15">
                        <c:v>0</c:v>
                      </c:pt>
                      <c:pt idx="16">
                        <c:v>74.410003662109403</c:v>
                      </c:pt>
                      <c:pt idx="17">
                        <c:v>0</c:v>
                      </c:pt>
                      <c:pt idx="18">
                        <c:v>0</c:v>
                      </c:pt>
                      <c:pt idx="19">
                        <c:v>67.800003051757798</c:v>
                      </c:pt>
                    </c:numCache>
                  </c:numRef>
                </c:val>
                <c:extLst xmlns:c15="http://schemas.microsoft.com/office/drawing/2012/chart">
                  <c:ext xmlns:c16="http://schemas.microsoft.com/office/drawing/2014/chart" uri="{C3380CC4-5D6E-409C-BE32-E72D297353CC}">
                    <c16:uniqueId val="{0000001B-2CD5-419D-A9E9-D66F669F6406}"/>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'Data LM'!$A$27</c15:sqref>
                        </c15:formulaRef>
                      </c:ext>
                    </c:extLst>
                    <c:strCache>
                      <c:ptCount val="1"/>
                      <c:pt idx="0">
                        <c:v>Labor force participation rate, total (% of total population ages 15-64) (modeled ILO estimate)</c:v>
                      </c:pt>
                    </c:strCache>
                  </c:strRef>
                </c:tx>
                <c:spPr>
                  <a:solidFill>
                    <a:schemeClr val="accent5">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LM'!$C$27:$V$27</c15:sqref>
                        </c15:formulaRef>
                      </c:ext>
                    </c:extLst>
                    <c:numCache>
                      <c:formatCode>0.0</c:formatCode>
                      <c:ptCount val="20"/>
                      <c:pt idx="0">
                        <c:v>71.8</c:v>
                      </c:pt>
                      <c:pt idx="1">
                        <c:v>70.63</c:v>
                      </c:pt>
                      <c:pt idx="2">
                        <c:v>69.39</c:v>
                      </c:pt>
                      <c:pt idx="3">
                        <c:v>68.099999999999994</c:v>
                      </c:pt>
                      <c:pt idx="4">
                        <c:v>66.78</c:v>
                      </c:pt>
                      <c:pt idx="5">
                        <c:v>65.45</c:v>
                      </c:pt>
                      <c:pt idx="6">
                        <c:v>66.62</c:v>
                      </c:pt>
                      <c:pt idx="7">
                        <c:v>67.790000000000006</c:v>
                      </c:pt>
                      <c:pt idx="8">
                        <c:v>68.930000000000007</c:v>
                      </c:pt>
                      <c:pt idx="9">
                        <c:v>69.989999999999995</c:v>
                      </c:pt>
                      <c:pt idx="10">
                        <c:v>70.95</c:v>
                      </c:pt>
                      <c:pt idx="11">
                        <c:v>71.83</c:v>
                      </c:pt>
                      <c:pt idx="12">
                        <c:v>72.61</c:v>
                      </c:pt>
                      <c:pt idx="13">
                        <c:v>73.33</c:v>
                      </c:pt>
                      <c:pt idx="14">
                        <c:v>74.010000000000005</c:v>
                      </c:pt>
                      <c:pt idx="15">
                        <c:v>74.67</c:v>
                      </c:pt>
                      <c:pt idx="16">
                        <c:v>75.3</c:v>
                      </c:pt>
                      <c:pt idx="17">
                        <c:v>75.06</c:v>
                      </c:pt>
                      <c:pt idx="18">
                        <c:v>74.81</c:v>
                      </c:pt>
                      <c:pt idx="19">
                        <c:v>74.56</c:v>
                      </c:pt>
                    </c:numCache>
                  </c:numRef>
                </c:val>
                <c:extLst xmlns:c15="http://schemas.microsoft.com/office/drawing/2012/chart">
                  <c:ext xmlns:c16="http://schemas.microsoft.com/office/drawing/2014/chart" uri="{C3380CC4-5D6E-409C-BE32-E72D297353CC}">
                    <c16:uniqueId val="{0000001C-2CD5-419D-A9E9-D66F669F6406}"/>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'Data LM'!$A$28</c15:sqref>
                        </c15:formulaRef>
                      </c:ext>
                    </c:extLst>
                    <c:strCache>
                      <c:ptCount val="1"/>
                      <c:pt idx="0">
                        <c:v>Labor force with advanced education (% of total working-age population with advanced education)</c:v>
                      </c:pt>
                    </c:strCache>
                  </c:strRef>
                </c:tx>
                <c:spPr>
                  <a:solidFill>
                    <a:schemeClr val="accent6">
                      <a:lumMod val="60000"/>
                      <a:lumOff val="4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LM'!$C$28:$V$28</c15:sqref>
                        </c15:formulaRef>
                      </c:ext>
                    </c:extLst>
                    <c:numCache>
                      <c:formatCode>0.0</c:formatCode>
                      <c:ptCount val="20"/>
                      <c:pt idx="0">
                        <c:v>0</c:v>
                      </c:pt>
                      <c:pt idx="1">
                        <c:v>0</c:v>
                      </c:pt>
                      <c:pt idx="2">
                        <c:v>0</c:v>
                      </c:pt>
                      <c:pt idx="3">
                        <c:v>0</c:v>
                      </c:pt>
                      <c:pt idx="4">
                        <c:v>0</c:v>
                      </c:pt>
                      <c:pt idx="5">
                        <c:v>77.819999694824205</c:v>
                      </c:pt>
                      <c:pt idx="6">
                        <c:v>77.819999694824205</c:v>
                      </c:pt>
                      <c:pt idx="7">
                        <c:v>0</c:v>
                      </c:pt>
                      <c:pt idx="8">
                        <c:v>0</c:v>
                      </c:pt>
                      <c:pt idx="9">
                        <c:v>0</c:v>
                      </c:pt>
                      <c:pt idx="10">
                        <c:v>0</c:v>
                      </c:pt>
                      <c:pt idx="11">
                        <c:v>0</c:v>
                      </c:pt>
                      <c:pt idx="12">
                        <c:v>0</c:v>
                      </c:pt>
                      <c:pt idx="13">
                        <c:v>0</c:v>
                      </c:pt>
                      <c:pt idx="14">
                        <c:v>0</c:v>
                      </c:pt>
                      <c:pt idx="15">
                        <c:v>0</c:v>
                      </c:pt>
                      <c:pt idx="16">
                        <c:v>69.139999389648395</c:v>
                      </c:pt>
                      <c:pt idx="17">
                        <c:v>0</c:v>
                      </c:pt>
                      <c:pt idx="18">
                        <c:v>0</c:v>
                      </c:pt>
                      <c:pt idx="19">
                        <c:v>86.190002441406307</c:v>
                      </c:pt>
                    </c:numCache>
                  </c:numRef>
                </c:val>
                <c:extLst xmlns:c15="http://schemas.microsoft.com/office/drawing/2012/chart">
                  <c:ext xmlns:c16="http://schemas.microsoft.com/office/drawing/2014/chart" uri="{C3380CC4-5D6E-409C-BE32-E72D297353CC}">
                    <c16:uniqueId val="{0000001D-2CD5-419D-A9E9-D66F669F6406}"/>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'Data LM'!$A$29</c15:sqref>
                        </c15:formulaRef>
                      </c:ext>
                    </c:extLst>
                    <c:strCache>
                      <c:ptCount val="1"/>
                      <c:pt idx="0">
                        <c:v>Labor force with advanced education, female (% of female working-age population with advanced education)</c:v>
                      </c:pt>
                    </c:strCache>
                  </c:strRef>
                </c:tx>
                <c:spPr>
                  <a:solidFill>
                    <a:schemeClr val="accent1">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LM'!$C$29:$V$29</c15:sqref>
                        </c15:formulaRef>
                      </c:ext>
                    </c:extLst>
                    <c:numCache>
                      <c:formatCode>0.0</c:formatCode>
                      <c:ptCount val="20"/>
                      <c:pt idx="0">
                        <c:v>0</c:v>
                      </c:pt>
                      <c:pt idx="1">
                        <c:v>0</c:v>
                      </c:pt>
                      <c:pt idx="2">
                        <c:v>0</c:v>
                      </c:pt>
                      <c:pt idx="3">
                        <c:v>0</c:v>
                      </c:pt>
                      <c:pt idx="4">
                        <c:v>0</c:v>
                      </c:pt>
                      <c:pt idx="5">
                        <c:v>66.569999694824205</c:v>
                      </c:pt>
                      <c:pt idx="6">
                        <c:v>66.569999694824205</c:v>
                      </c:pt>
                      <c:pt idx="7">
                        <c:v>0</c:v>
                      </c:pt>
                      <c:pt idx="8">
                        <c:v>0</c:v>
                      </c:pt>
                      <c:pt idx="9">
                        <c:v>0</c:v>
                      </c:pt>
                      <c:pt idx="10">
                        <c:v>0</c:v>
                      </c:pt>
                      <c:pt idx="11">
                        <c:v>0</c:v>
                      </c:pt>
                      <c:pt idx="12">
                        <c:v>0</c:v>
                      </c:pt>
                      <c:pt idx="13">
                        <c:v>0</c:v>
                      </c:pt>
                      <c:pt idx="14">
                        <c:v>0</c:v>
                      </c:pt>
                      <c:pt idx="15">
                        <c:v>0</c:v>
                      </c:pt>
                      <c:pt idx="16">
                        <c:v>68.300003051757798</c:v>
                      </c:pt>
                      <c:pt idx="17">
                        <c:v>0</c:v>
                      </c:pt>
                      <c:pt idx="18">
                        <c:v>0</c:v>
                      </c:pt>
                      <c:pt idx="19">
                        <c:v>82.260002136230497</c:v>
                      </c:pt>
                    </c:numCache>
                  </c:numRef>
                </c:val>
                <c:extLst xmlns:c15="http://schemas.microsoft.com/office/drawing/2012/chart">
                  <c:ext xmlns:c16="http://schemas.microsoft.com/office/drawing/2014/chart" uri="{C3380CC4-5D6E-409C-BE32-E72D297353CC}">
                    <c16:uniqueId val="{0000001E-2CD5-419D-A9E9-D66F669F6406}"/>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'Data LM'!$A$30</c15:sqref>
                        </c15:formulaRef>
                      </c:ext>
                    </c:extLst>
                    <c:strCache>
                      <c:ptCount val="1"/>
                      <c:pt idx="0">
                        <c:v>Labor force with advanced education, male (% of male working-age population with advanced education)</c:v>
                      </c:pt>
                    </c:strCache>
                  </c:strRef>
                </c:tx>
                <c:spPr>
                  <a:solidFill>
                    <a:schemeClr val="accent2">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LM'!$C$30:$V$30</c15:sqref>
                        </c15:formulaRef>
                      </c:ext>
                    </c:extLst>
                    <c:numCache>
                      <c:formatCode>0.0</c:formatCode>
                      <c:ptCount val="20"/>
                      <c:pt idx="0">
                        <c:v>0</c:v>
                      </c:pt>
                      <c:pt idx="1">
                        <c:v>0</c:v>
                      </c:pt>
                      <c:pt idx="2">
                        <c:v>0</c:v>
                      </c:pt>
                      <c:pt idx="3">
                        <c:v>0</c:v>
                      </c:pt>
                      <c:pt idx="4">
                        <c:v>0</c:v>
                      </c:pt>
                      <c:pt idx="5">
                        <c:v>83.129997253417997</c:v>
                      </c:pt>
                      <c:pt idx="6">
                        <c:v>83.129997253417997</c:v>
                      </c:pt>
                      <c:pt idx="7">
                        <c:v>0</c:v>
                      </c:pt>
                      <c:pt idx="8">
                        <c:v>0</c:v>
                      </c:pt>
                      <c:pt idx="9">
                        <c:v>0</c:v>
                      </c:pt>
                      <c:pt idx="10">
                        <c:v>0</c:v>
                      </c:pt>
                      <c:pt idx="11">
                        <c:v>0</c:v>
                      </c:pt>
                      <c:pt idx="12">
                        <c:v>0</c:v>
                      </c:pt>
                      <c:pt idx="13">
                        <c:v>0</c:v>
                      </c:pt>
                      <c:pt idx="14">
                        <c:v>0</c:v>
                      </c:pt>
                      <c:pt idx="15">
                        <c:v>0</c:v>
                      </c:pt>
                      <c:pt idx="16">
                        <c:v>69.699996948242202</c:v>
                      </c:pt>
                      <c:pt idx="17">
                        <c:v>0</c:v>
                      </c:pt>
                      <c:pt idx="18">
                        <c:v>0</c:v>
                      </c:pt>
                      <c:pt idx="19">
                        <c:v>88.879997253417997</c:v>
                      </c:pt>
                    </c:numCache>
                  </c:numRef>
                </c:val>
                <c:extLst xmlns:c15="http://schemas.microsoft.com/office/drawing/2012/chart">
                  <c:ext xmlns:c16="http://schemas.microsoft.com/office/drawing/2014/chart" uri="{C3380CC4-5D6E-409C-BE32-E72D297353CC}">
                    <c16:uniqueId val="{0000001F-2CD5-419D-A9E9-D66F669F6406}"/>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'Data LM'!$A$31</c15:sqref>
                        </c15:formulaRef>
                      </c:ext>
                    </c:extLst>
                    <c:strCache>
                      <c:ptCount val="1"/>
                      <c:pt idx="0">
                        <c:v>Labor force with basic education (% of total working-age population with basic education)</c:v>
                      </c:pt>
                    </c:strCache>
                  </c:strRef>
                </c:tx>
                <c:spPr>
                  <a:solidFill>
                    <a:schemeClr val="accent3">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LM'!$C$31:$V$31</c15:sqref>
                        </c15:formulaRef>
                      </c:ext>
                    </c:extLst>
                    <c:numCache>
                      <c:formatCode>0.0</c:formatCode>
                      <c:ptCount val="20"/>
                      <c:pt idx="0">
                        <c:v>0</c:v>
                      </c:pt>
                      <c:pt idx="1">
                        <c:v>0</c:v>
                      </c:pt>
                      <c:pt idx="2">
                        <c:v>0</c:v>
                      </c:pt>
                      <c:pt idx="3">
                        <c:v>0</c:v>
                      </c:pt>
                      <c:pt idx="4">
                        <c:v>0</c:v>
                      </c:pt>
                      <c:pt idx="5">
                        <c:v>58.950000762939503</c:v>
                      </c:pt>
                      <c:pt idx="6">
                        <c:v>58.950000762939503</c:v>
                      </c:pt>
                      <c:pt idx="7">
                        <c:v>0</c:v>
                      </c:pt>
                      <c:pt idx="8">
                        <c:v>0</c:v>
                      </c:pt>
                      <c:pt idx="9">
                        <c:v>0</c:v>
                      </c:pt>
                      <c:pt idx="10">
                        <c:v>0</c:v>
                      </c:pt>
                      <c:pt idx="11">
                        <c:v>0</c:v>
                      </c:pt>
                      <c:pt idx="12">
                        <c:v>0</c:v>
                      </c:pt>
                      <c:pt idx="13">
                        <c:v>0</c:v>
                      </c:pt>
                      <c:pt idx="14">
                        <c:v>0</c:v>
                      </c:pt>
                      <c:pt idx="15">
                        <c:v>0</c:v>
                      </c:pt>
                      <c:pt idx="16">
                        <c:v>79.059997558593807</c:v>
                      </c:pt>
                      <c:pt idx="17">
                        <c:v>0</c:v>
                      </c:pt>
                      <c:pt idx="18">
                        <c:v>0</c:v>
                      </c:pt>
                      <c:pt idx="19">
                        <c:v>65.779998779296903</c:v>
                      </c:pt>
                    </c:numCache>
                  </c:numRef>
                </c:val>
                <c:extLst xmlns:c15="http://schemas.microsoft.com/office/drawing/2012/chart">
                  <c:ext xmlns:c16="http://schemas.microsoft.com/office/drawing/2014/chart" uri="{C3380CC4-5D6E-409C-BE32-E72D297353CC}">
                    <c16:uniqueId val="{00000020-2CD5-419D-A9E9-D66F669F6406}"/>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'Data LM'!$A$32</c15:sqref>
                        </c15:formulaRef>
                      </c:ext>
                    </c:extLst>
                    <c:strCache>
                      <c:ptCount val="1"/>
                      <c:pt idx="0">
                        <c:v>Labor force with basic education, female (% of female working-age population with basic education)</c:v>
                      </c:pt>
                    </c:strCache>
                  </c:strRef>
                </c:tx>
                <c:spPr>
                  <a:solidFill>
                    <a:schemeClr val="accent4">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LM'!$C$32:$V$32</c15:sqref>
                        </c15:formulaRef>
                      </c:ext>
                    </c:extLst>
                    <c:numCache>
                      <c:formatCode>0.0</c:formatCode>
                      <c:ptCount val="20"/>
                      <c:pt idx="0">
                        <c:v>0</c:v>
                      </c:pt>
                      <c:pt idx="1">
                        <c:v>0</c:v>
                      </c:pt>
                      <c:pt idx="2">
                        <c:v>0</c:v>
                      </c:pt>
                      <c:pt idx="3">
                        <c:v>0</c:v>
                      </c:pt>
                      <c:pt idx="4">
                        <c:v>0</c:v>
                      </c:pt>
                      <c:pt idx="5">
                        <c:v>52.869998931884801</c:v>
                      </c:pt>
                      <c:pt idx="6">
                        <c:v>52.869998931884801</c:v>
                      </c:pt>
                      <c:pt idx="7">
                        <c:v>0</c:v>
                      </c:pt>
                      <c:pt idx="8">
                        <c:v>0</c:v>
                      </c:pt>
                      <c:pt idx="9">
                        <c:v>0</c:v>
                      </c:pt>
                      <c:pt idx="10">
                        <c:v>0</c:v>
                      </c:pt>
                      <c:pt idx="11">
                        <c:v>0</c:v>
                      </c:pt>
                      <c:pt idx="12">
                        <c:v>0</c:v>
                      </c:pt>
                      <c:pt idx="13">
                        <c:v>0</c:v>
                      </c:pt>
                      <c:pt idx="14">
                        <c:v>0</c:v>
                      </c:pt>
                      <c:pt idx="15">
                        <c:v>0</c:v>
                      </c:pt>
                      <c:pt idx="16">
                        <c:v>77.589996337890597</c:v>
                      </c:pt>
                      <c:pt idx="17">
                        <c:v>0</c:v>
                      </c:pt>
                      <c:pt idx="18">
                        <c:v>0</c:v>
                      </c:pt>
                      <c:pt idx="19">
                        <c:v>63</c:v>
                      </c:pt>
                    </c:numCache>
                  </c:numRef>
                </c:val>
                <c:extLst xmlns:c15="http://schemas.microsoft.com/office/drawing/2012/chart">
                  <c:ext xmlns:c16="http://schemas.microsoft.com/office/drawing/2014/chart" uri="{C3380CC4-5D6E-409C-BE32-E72D297353CC}">
                    <c16:uniqueId val="{00000021-2CD5-419D-A9E9-D66F669F6406}"/>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'Data LM'!$A$33</c15:sqref>
                        </c15:formulaRef>
                      </c:ext>
                    </c:extLst>
                    <c:strCache>
                      <c:ptCount val="1"/>
                      <c:pt idx="0">
                        <c:v>Labor force with basic education, male (% of male working-age population with basic education)</c:v>
                      </c:pt>
                    </c:strCache>
                  </c:strRef>
                </c:tx>
                <c:spPr>
                  <a:solidFill>
                    <a:schemeClr val="accent5">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LM'!$C$33:$V$33</c15:sqref>
                        </c15:formulaRef>
                      </c:ext>
                    </c:extLst>
                    <c:numCache>
                      <c:formatCode>0.0</c:formatCode>
                      <c:ptCount val="20"/>
                      <c:pt idx="0">
                        <c:v>0</c:v>
                      </c:pt>
                      <c:pt idx="1">
                        <c:v>0</c:v>
                      </c:pt>
                      <c:pt idx="2">
                        <c:v>0</c:v>
                      </c:pt>
                      <c:pt idx="3">
                        <c:v>0</c:v>
                      </c:pt>
                      <c:pt idx="4">
                        <c:v>0</c:v>
                      </c:pt>
                      <c:pt idx="5">
                        <c:v>64.980003356933594</c:v>
                      </c:pt>
                      <c:pt idx="6">
                        <c:v>64.980003356933594</c:v>
                      </c:pt>
                      <c:pt idx="7">
                        <c:v>0</c:v>
                      </c:pt>
                      <c:pt idx="8">
                        <c:v>0</c:v>
                      </c:pt>
                      <c:pt idx="9">
                        <c:v>0</c:v>
                      </c:pt>
                      <c:pt idx="10">
                        <c:v>0</c:v>
                      </c:pt>
                      <c:pt idx="11">
                        <c:v>0</c:v>
                      </c:pt>
                      <c:pt idx="12">
                        <c:v>0</c:v>
                      </c:pt>
                      <c:pt idx="13">
                        <c:v>0</c:v>
                      </c:pt>
                      <c:pt idx="14">
                        <c:v>0</c:v>
                      </c:pt>
                      <c:pt idx="15">
                        <c:v>0</c:v>
                      </c:pt>
                      <c:pt idx="16">
                        <c:v>80.580001831054702</c:v>
                      </c:pt>
                      <c:pt idx="17">
                        <c:v>0</c:v>
                      </c:pt>
                      <c:pt idx="18">
                        <c:v>0</c:v>
                      </c:pt>
                      <c:pt idx="19">
                        <c:v>68.830001831054702</c:v>
                      </c:pt>
                    </c:numCache>
                  </c:numRef>
                </c:val>
                <c:extLst xmlns:c15="http://schemas.microsoft.com/office/drawing/2012/chart">
                  <c:ext xmlns:c16="http://schemas.microsoft.com/office/drawing/2014/chart" uri="{C3380CC4-5D6E-409C-BE32-E72D297353CC}">
                    <c16:uniqueId val="{00000022-2CD5-419D-A9E9-D66F669F6406}"/>
                  </c:ext>
                </c:extLst>
              </c15:ser>
            </c15:filteredBarSeries>
            <c15:filteredBarSeries>
              <c15:ser>
                <c:idx val="35"/>
                <c:order val="35"/>
                <c:tx>
                  <c:strRef>
                    <c:extLst xmlns:c15="http://schemas.microsoft.com/office/drawing/2012/chart">
                      <c:ext xmlns:c15="http://schemas.microsoft.com/office/drawing/2012/chart" uri="{02D57815-91ED-43cb-92C2-25804820EDAC}">
                        <c15:formulaRef>
                          <c15:sqref>'Data LM'!$A$34</c15:sqref>
                        </c15:formulaRef>
                      </c:ext>
                    </c:extLst>
                    <c:strCache>
                      <c:ptCount val="1"/>
                      <c:pt idx="0">
                        <c:v>Labor force with intermediate education (% of total working-age population with intermediate education)</c:v>
                      </c:pt>
                    </c:strCache>
                  </c:strRef>
                </c:tx>
                <c:spPr>
                  <a:solidFill>
                    <a:schemeClr val="accent6">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LM'!$C$34:$V$34</c15:sqref>
                        </c15:formulaRef>
                      </c:ext>
                    </c:extLst>
                    <c:numCache>
                      <c:formatCode>0.0</c:formatCode>
                      <c:ptCount val="20"/>
                      <c:pt idx="0">
                        <c:v>0</c:v>
                      </c:pt>
                      <c:pt idx="1">
                        <c:v>0</c:v>
                      </c:pt>
                      <c:pt idx="2">
                        <c:v>0</c:v>
                      </c:pt>
                      <c:pt idx="3">
                        <c:v>0</c:v>
                      </c:pt>
                      <c:pt idx="4">
                        <c:v>0</c:v>
                      </c:pt>
                      <c:pt idx="5">
                        <c:v>78.089996337890597</c:v>
                      </c:pt>
                      <c:pt idx="6">
                        <c:v>78.089996337890597</c:v>
                      </c:pt>
                      <c:pt idx="7">
                        <c:v>0</c:v>
                      </c:pt>
                      <c:pt idx="8">
                        <c:v>0</c:v>
                      </c:pt>
                      <c:pt idx="9">
                        <c:v>0</c:v>
                      </c:pt>
                      <c:pt idx="10">
                        <c:v>0</c:v>
                      </c:pt>
                      <c:pt idx="11">
                        <c:v>0</c:v>
                      </c:pt>
                      <c:pt idx="12">
                        <c:v>0</c:v>
                      </c:pt>
                      <c:pt idx="13">
                        <c:v>0</c:v>
                      </c:pt>
                      <c:pt idx="14">
                        <c:v>0</c:v>
                      </c:pt>
                      <c:pt idx="15">
                        <c:v>0</c:v>
                      </c:pt>
                      <c:pt idx="16">
                        <c:v>70.879997253417997</c:v>
                      </c:pt>
                      <c:pt idx="17">
                        <c:v>0</c:v>
                      </c:pt>
                      <c:pt idx="18">
                        <c:v>0</c:v>
                      </c:pt>
                      <c:pt idx="19">
                        <c:v>73.410003662109403</c:v>
                      </c:pt>
                    </c:numCache>
                  </c:numRef>
                </c:val>
                <c:extLst xmlns:c15="http://schemas.microsoft.com/office/drawing/2012/chart">
                  <c:ext xmlns:c16="http://schemas.microsoft.com/office/drawing/2014/chart" uri="{C3380CC4-5D6E-409C-BE32-E72D297353CC}">
                    <c16:uniqueId val="{00000023-2CD5-419D-A9E9-D66F669F6406}"/>
                  </c:ext>
                </c:extLst>
              </c15:ser>
            </c15:filteredBarSeries>
            <c15:filteredBarSeries>
              <c15:ser>
                <c:idx val="36"/>
                <c:order val="36"/>
                <c:tx>
                  <c:strRef>
                    <c:extLst xmlns:c15="http://schemas.microsoft.com/office/drawing/2012/chart">
                      <c:ext xmlns:c15="http://schemas.microsoft.com/office/drawing/2012/chart" uri="{02D57815-91ED-43cb-92C2-25804820EDAC}">
                        <c15:formulaRef>
                          <c15:sqref>'Data LM'!$A$35</c15:sqref>
                        </c15:formulaRef>
                      </c:ext>
                    </c:extLst>
                    <c:strCache>
                      <c:ptCount val="1"/>
                      <c:pt idx="0">
                        <c:v>Labor force with intermediate education, female (% of female working-age population with intermediate education)</c:v>
                      </c:pt>
                    </c:strCache>
                  </c:strRef>
                </c:tx>
                <c:spPr>
                  <a:solidFill>
                    <a:schemeClr val="accent1">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LM'!$C$35:$V$35</c15:sqref>
                        </c15:formulaRef>
                      </c:ext>
                    </c:extLst>
                    <c:numCache>
                      <c:formatCode>0.0</c:formatCode>
                      <c:ptCount val="20"/>
                      <c:pt idx="0">
                        <c:v>0</c:v>
                      </c:pt>
                      <c:pt idx="1">
                        <c:v>0</c:v>
                      </c:pt>
                      <c:pt idx="2">
                        <c:v>0</c:v>
                      </c:pt>
                      <c:pt idx="3">
                        <c:v>0</c:v>
                      </c:pt>
                      <c:pt idx="4">
                        <c:v>0</c:v>
                      </c:pt>
                      <c:pt idx="5">
                        <c:v>70.930000305175795</c:v>
                      </c:pt>
                      <c:pt idx="6">
                        <c:v>70.930000305175795</c:v>
                      </c:pt>
                      <c:pt idx="7">
                        <c:v>0</c:v>
                      </c:pt>
                      <c:pt idx="8">
                        <c:v>0</c:v>
                      </c:pt>
                      <c:pt idx="9">
                        <c:v>0</c:v>
                      </c:pt>
                      <c:pt idx="10">
                        <c:v>0</c:v>
                      </c:pt>
                      <c:pt idx="11">
                        <c:v>0</c:v>
                      </c:pt>
                      <c:pt idx="12">
                        <c:v>0</c:v>
                      </c:pt>
                      <c:pt idx="13">
                        <c:v>0</c:v>
                      </c:pt>
                      <c:pt idx="14">
                        <c:v>0</c:v>
                      </c:pt>
                      <c:pt idx="15">
                        <c:v>0</c:v>
                      </c:pt>
                      <c:pt idx="16">
                        <c:v>66.470001220703097</c:v>
                      </c:pt>
                      <c:pt idx="17">
                        <c:v>0</c:v>
                      </c:pt>
                      <c:pt idx="18">
                        <c:v>0</c:v>
                      </c:pt>
                      <c:pt idx="19">
                        <c:v>64.809997558593807</c:v>
                      </c:pt>
                    </c:numCache>
                  </c:numRef>
                </c:val>
                <c:extLst xmlns:c15="http://schemas.microsoft.com/office/drawing/2012/chart">
                  <c:ext xmlns:c16="http://schemas.microsoft.com/office/drawing/2014/chart" uri="{C3380CC4-5D6E-409C-BE32-E72D297353CC}">
                    <c16:uniqueId val="{00000024-2CD5-419D-A9E9-D66F669F6406}"/>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'Data LM'!$A$36</c15:sqref>
                        </c15:formulaRef>
                      </c:ext>
                    </c:extLst>
                    <c:strCache>
                      <c:ptCount val="1"/>
                      <c:pt idx="0">
                        <c:v>Labor force with intermediate education, male (% of male working-age population with intermediate education)</c:v>
                      </c:pt>
                    </c:strCache>
                  </c:strRef>
                </c:tx>
                <c:spPr>
                  <a:solidFill>
                    <a:schemeClr val="accent2">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LM'!$C$36:$V$36</c15:sqref>
                        </c15:formulaRef>
                      </c:ext>
                    </c:extLst>
                    <c:numCache>
                      <c:formatCode>0.0</c:formatCode>
                      <c:ptCount val="20"/>
                      <c:pt idx="0">
                        <c:v>0</c:v>
                      </c:pt>
                      <c:pt idx="1">
                        <c:v>0</c:v>
                      </c:pt>
                      <c:pt idx="2">
                        <c:v>0</c:v>
                      </c:pt>
                      <c:pt idx="3">
                        <c:v>0</c:v>
                      </c:pt>
                      <c:pt idx="4">
                        <c:v>0</c:v>
                      </c:pt>
                      <c:pt idx="5">
                        <c:v>83.569999694824205</c:v>
                      </c:pt>
                      <c:pt idx="6">
                        <c:v>83.569999694824205</c:v>
                      </c:pt>
                      <c:pt idx="7">
                        <c:v>0</c:v>
                      </c:pt>
                      <c:pt idx="8">
                        <c:v>0</c:v>
                      </c:pt>
                      <c:pt idx="9">
                        <c:v>0</c:v>
                      </c:pt>
                      <c:pt idx="10">
                        <c:v>0</c:v>
                      </c:pt>
                      <c:pt idx="11">
                        <c:v>0</c:v>
                      </c:pt>
                      <c:pt idx="12">
                        <c:v>0</c:v>
                      </c:pt>
                      <c:pt idx="13">
                        <c:v>0</c:v>
                      </c:pt>
                      <c:pt idx="14">
                        <c:v>0</c:v>
                      </c:pt>
                      <c:pt idx="15">
                        <c:v>0</c:v>
                      </c:pt>
                      <c:pt idx="16">
                        <c:v>74.989997863769503</c:v>
                      </c:pt>
                      <c:pt idx="17">
                        <c:v>0</c:v>
                      </c:pt>
                      <c:pt idx="18">
                        <c:v>0</c:v>
                      </c:pt>
                      <c:pt idx="19">
                        <c:v>79.940002441406307</c:v>
                      </c:pt>
                    </c:numCache>
                  </c:numRef>
                </c:val>
                <c:extLst xmlns:c15="http://schemas.microsoft.com/office/drawing/2012/chart">
                  <c:ext xmlns:c16="http://schemas.microsoft.com/office/drawing/2014/chart" uri="{C3380CC4-5D6E-409C-BE32-E72D297353CC}">
                    <c16:uniqueId val="{00000025-2CD5-419D-A9E9-D66F669F6406}"/>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'Data LM'!$A$37</c15:sqref>
                        </c15:formulaRef>
                      </c:ext>
                    </c:extLst>
                    <c:strCache>
                      <c:ptCount val="1"/>
                      <c:pt idx="0">
                        <c:v>Labor force, female (% of total labor force)</c:v>
                      </c:pt>
                    </c:strCache>
                  </c:strRef>
                </c:tx>
                <c:spPr>
                  <a:solidFill>
                    <a:schemeClr val="accent3">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LM'!$C$37:$V$37</c15:sqref>
                        </c15:formulaRef>
                      </c:ext>
                    </c:extLst>
                    <c:numCache>
                      <c:formatCode>0.0</c:formatCode>
                      <c:ptCount val="20"/>
                      <c:pt idx="0">
                        <c:v>49.44905113837391</c:v>
                      </c:pt>
                      <c:pt idx="1">
                        <c:v>49.419118473876118</c:v>
                      </c:pt>
                      <c:pt idx="2">
                        <c:v>49.385341912071013</c:v>
                      </c:pt>
                      <c:pt idx="3">
                        <c:v>49.348688481543284</c:v>
                      </c:pt>
                      <c:pt idx="4">
                        <c:v>49.309857659369641</c:v>
                      </c:pt>
                      <c:pt idx="5">
                        <c:v>49.271817649043101</c:v>
                      </c:pt>
                      <c:pt idx="6">
                        <c:v>49.235928643255825</c:v>
                      </c:pt>
                      <c:pt idx="7">
                        <c:v>49.200012757638021</c:v>
                      </c:pt>
                      <c:pt idx="8">
                        <c:v>49.162796540594336</c:v>
                      </c:pt>
                      <c:pt idx="9">
                        <c:v>49.123351250448636</c:v>
                      </c:pt>
                      <c:pt idx="10">
                        <c:v>49.080251544128657</c:v>
                      </c:pt>
                      <c:pt idx="11">
                        <c:v>49.036485294882731</c:v>
                      </c:pt>
                      <c:pt idx="12">
                        <c:v>48.98793845742086</c:v>
                      </c:pt>
                      <c:pt idx="13">
                        <c:v>48.935622203539381</c:v>
                      </c:pt>
                      <c:pt idx="14">
                        <c:v>48.88403570059662</c:v>
                      </c:pt>
                      <c:pt idx="15">
                        <c:v>48.832268867347736</c:v>
                      </c:pt>
                      <c:pt idx="16">
                        <c:v>48.783468523586691</c:v>
                      </c:pt>
                      <c:pt idx="17">
                        <c:v>48.998449127471297</c:v>
                      </c:pt>
                      <c:pt idx="18">
                        <c:v>49.226604338347698</c:v>
                      </c:pt>
                      <c:pt idx="19">
                        <c:v>49.464802908239527</c:v>
                      </c:pt>
                    </c:numCache>
                  </c:numRef>
                </c:val>
                <c:extLst xmlns:c15="http://schemas.microsoft.com/office/drawing/2012/chart">
                  <c:ext xmlns:c16="http://schemas.microsoft.com/office/drawing/2014/chart" uri="{C3380CC4-5D6E-409C-BE32-E72D297353CC}">
                    <c16:uniqueId val="{00000026-2CD5-419D-A9E9-D66F669F6406}"/>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'Data LM'!$A$38</c15:sqref>
                        </c15:formulaRef>
                      </c:ext>
                    </c:extLst>
                    <c:strCache>
                      <c:ptCount val="1"/>
                      <c:pt idx="0">
                        <c:v>Self-employed, female (% of female employment) (modeled ILO estimate)</c:v>
                      </c:pt>
                    </c:strCache>
                  </c:strRef>
                </c:tx>
                <c:spPr>
                  <a:solidFill>
                    <a:schemeClr val="accent4">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LM'!$C$38:$V$38</c15:sqref>
                        </c15:formulaRef>
                      </c:ext>
                    </c:extLst>
                    <c:numCache>
                      <c:formatCode>0.0</c:formatCode>
                      <c:ptCount val="20"/>
                      <c:pt idx="0">
                        <c:v>79.559997558593807</c:v>
                      </c:pt>
                      <c:pt idx="1">
                        <c:v>79.319999694824205</c:v>
                      </c:pt>
                      <c:pt idx="2">
                        <c:v>79.010002136230497</c:v>
                      </c:pt>
                      <c:pt idx="3">
                        <c:v>78.900001525878906</c:v>
                      </c:pt>
                      <c:pt idx="4">
                        <c:v>78.610000610351605</c:v>
                      </c:pt>
                      <c:pt idx="5">
                        <c:v>78.410003662109403</c:v>
                      </c:pt>
                      <c:pt idx="6">
                        <c:v>78.449996948242202</c:v>
                      </c:pt>
                      <c:pt idx="7">
                        <c:v>76.540000915527301</c:v>
                      </c:pt>
                      <c:pt idx="8">
                        <c:v>74.910003662109403</c:v>
                      </c:pt>
                      <c:pt idx="9">
                        <c:v>73.080001831054702</c:v>
                      </c:pt>
                      <c:pt idx="10">
                        <c:v>71.180000305175795</c:v>
                      </c:pt>
                      <c:pt idx="11">
                        <c:v>69.190002441406307</c:v>
                      </c:pt>
                      <c:pt idx="12">
                        <c:v>67.360000610351605</c:v>
                      </c:pt>
                      <c:pt idx="13">
                        <c:v>65.589996337890597</c:v>
                      </c:pt>
                      <c:pt idx="14">
                        <c:v>63.900001525878899</c:v>
                      </c:pt>
                      <c:pt idx="15">
                        <c:v>62.209999084472699</c:v>
                      </c:pt>
                      <c:pt idx="16">
                        <c:v>60.610000610351598</c:v>
                      </c:pt>
                      <c:pt idx="17">
                        <c:v>59.459999084472699</c:v>
                      </c:pt>
                      <c:pt idx="18">
                        <c:v>58.340000152587898</c:v>
                      </c:pt>
                      <c:pt idx="19">
                        <c:v>57.2299995422363</c:v>
                      </c:pt>
                    </c:numCache>
                  </c:numRef>
                </c:val>
                <c:extLst xmlns:c15="http://schemas.microsoft.com/office/drawing/2012/chart">
                  <c:ext xmlns:c16="http://schemas.microsoft.com/office/drawing/2014/chart" uri="{C3380CC4-5D6E-409C-BE32-E72D297353CC}">
                    <c16:uniqueId val="{00000027-2CD5-419D-A9E9-D66F669F6406}"/>
                  </c:ext>
                </c:extLst>
              </c15:ser>
            </c15:filteredBarSeries>
            <c15:filteredBarSeries>
              <c15:ser>
                <c:idx val="40"/>
                <c:order val="40"/>
                <c:tx>
                  <c:strRef>
                    <c:extLst xmlns:c15="http://schemas.microsoft.com/office/drawing/2012/chart">
                      <c:ext xmlns:c15="http://schemas.microsoft.com/office/drawing/2012/chart" uri="{02D57815-91ED-43cb-92C2-25804820EDAC}">
                        <c15:formulaRef>
                          <c15:sqref>'Data LM'!$A$39</c15:sqref>
                        </c15:formulaRef>
                      </c:ext>
                    </c:extLst>
                    <c:strCache>
                      <c:ptCount val="1"/>
                      <c:pt idx="0">
                        <c:v>Self-employed, male (% of male employment) (modeled ILO estimate)</c:v>
                      </c:pt>
                    </c:strCache>
                  </c:strRef>
                </c:tx>
                <c:spPr>
                  <a:solidFill>
                    <a:schemeClr val="accent5">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LM'!$C$39:$V$39</c15:sqref>
                        </c15:formulaRef>
                      </c:ext>
                    </c:extLst>
                    <c:numCache>
                      <c:formatCode>0.0</c:formatCode>
                      <c:ptCount val="20"/>
                      <c:pt idx="0">
                        <c:v>53.470001220703097</c:v>
                      </c:pt>
                      <c:pt idx="1">
                        <c:v>54.75</c:v>
                      </c:pt>
                      <c:pt idx="2">
                        <c:v>56.159999847412102</c:v>
                      </c:pt>
                      <c:pt idx="3">
                        <c:v>57.490001678466797</c:v>
                      </c:pt>
                      <c:pt idx="4">
                        <c:v>58.189998626708999</c:v>
                      </c:pt>
                      <c:pt idx="5">
                        <c:v>58.740001678466797</c:v>
                      </c:pt>
                      <c:pt idx="6">
                        <c:v>59.650001525878899</c:v>
                      </c:pt>
                      <c:pt idx="7">
                        <c:v>57.450000762939503</c:v>
                      </c:pt>
                      <c:pt idx="8">
                        <c:v>56.430000305175803</c:v>
                      </c:pt>
                      <c:pt idx="9">
                        <c:v>54.900001525878899</c:v>
                      </c:pt>
                      <c:pt idx="10">
                        <c:v>52.869998931884801</c:v>
                      </c:pt>
                      <c:pt idx="11">
                        <c:v>51.0200004577637</c:v>
                      </c:pt>
                      <c:pt idx="12">
                        <c:v>49.580001831054702</c:v>
                      </c:pt>
                      <c:pt idx="13">
                        <c:v>48.150001525878899</c:v>
                      </c:pt>
                      <c:pt idx="14">
                        <c:v>46.849998474121101</c:v>
                      </c:pt>
                      <c:pt idx="15">
                        <c:v>45.580001831054702</c:v>
                      </c:pt>
                      <c:pt idx="16">
                        <c:v>44.459999084472699</c:v>
                      </c:pt>
                      <c:pt idx="17">
                        <c:v>43.590000152587898</c:v>
                      </c:pt>
                      <c:pt idx="18">
                        <c:v>42.580001831054702</c:v>
                      </c:pt>
                      <c:pt idx="19">
                        <c:v>41.630001068115199</c:v>
                      </c:pt>
                    </c:numCache>
                  </c:numRef>
                </c:val>
                <c:extLst xmlns:c15="http://schemas.microsoft.com/office/drawing/2012/chart">
                  <c:ext xmlns:c16="http://schemas.microsoft.com/office/drawing/2014/chart" uri="{C3380CC4-5D6E-409C-BE32-E72D297353CC}">
                    <c16:uniqueId val="{00000028-2CD5-419D-A9E9-D66F669F6406}"/>
                  </c:ext>
                </c:extLst>
              </c15:ser>
            </c15:filteredBarSeries>
            <c15:filteredBarSeries>
              <c15:ser>
                <c:idx val="41"/>
                <c:order val="41"/>
                <c:tx>
                  <c:strRef>
                    <c:extLst xmlns:c15="http://schemas.microsoft.com/office/drawing/2012/chart">
                      <c:ext xmlns:c15="http://schemas.microsoft.com/office/drawing/2012/chart" uri="{02D57815-91ED-43cb-92C2-25804820EDAC}">
                        <c15:formulaRef>
                          <c15:sqref>'Data LM'!$A$40</c15:sqref>
                        </c15:formulaRef>
                      </c:ext>
                    </c:extLst>
                    <c:strCache>
                      <c:ptCount val="1"/>
                      <c:pt idx="0">
                        <c:v>Self-employed, total (% of total employment) (modeled ILO estimate)</c:v>
                      </c:pt>
                    </c:strCache>
                  </c:strRef>
                </c:tx>
                <c:spPr>
                  <a:solidFill>
                    <a:schemeClr val="accent6">
                      <a:lumMod val="70000"/>
                      <a:lumOff val="3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LM'!$C$40:$V$40</c15:sqref>
                        </c15:formulaRef>
                      </c:ext>
                    </c:extLst>
                    <c:numCache>
                      <c:formatCode>0.0</c:formatCode>
                      <c:ptCount val="20"/>
                      <c:pt idx="0">
                        <c:v>66.300003051757798</c:v>
                      </c:pt>
                      <c:pt idx="1">
                        <c:v>66.730003356933594</c:v>
                      </c:pt>
                      <c:pt idx="2">
                        <c:v>67.220001220703097</c:v>
                      </c:pt>
                      <c:pt idx="3">
                        <c:v>67.760002136230497</c:v>
                      </c:pt>
                      <c:pt idx="4">
                        <c:v>67.889999389648395</c:v>
                      </c:pt>
                      <c:pt idx="5">
                        <c:v>67.989997863769503</c:v>
                      </c:pt>
                      <c:pt idx="6">
                        <c:v>68.519996643066406</c:v>
                      </c:pt>
                      <c:pt idx="7">
                        <c:v>66.480003356933594</c:v>
                      </c:pt>
                      <c:pt idx="8">
                        <c:v>65.209999084472699</c:v>
                      </c:pt>
                      <c:pt idx="9">
                        <c:v>63.560001373291001</c:v>
                      </c:pt>
                      <c:pt idx="10">
                        <c:v>61.610000610351598</c:v>
                      </c:pt>
                      <c:pt idx="11">
                        <c:v>59.720001220703097</c:v>
                      </c:pt>
                      <c:pt idx="12">
                        <c:v>58.119998931884801</c:v>
                      </c:pt>
                      <c:pt idx="13">
                        <c:v>56.549999237060497</c:v>
                      </c:pt>
                      <c:pt idx="14">
                        <c:v>55.080001831054702</c:v>
                      </c:pt>
                      <c:pt idx="15">
                        <c:v>53.630001068115199</c:v>
                      </c:pt>
                      <c:pt idx="16">
                        <c:v>52.290000915527301</c:v>
                      </c:pt>
                      <c:pt idx="17">
                        <c:v>51.330001831054702</c:v>
                      </c:pt>
                      <c:pt idx="18">
                        <c:v>50.290000915527301</c:v>
                      </c:pt>
                      <c:pt idx="19">
                        <c:v>49.2700004577637</c:v>
                      </c:pt>
                    </c:numCache>
                  </c:numRef>
                </c:val>
                <c:extLst xmlns:c15="http://schemas.microsoft.com/office/drawing/2012/chart">
                  <c:ext xmlns:c16="http://schemas.microsoft.com/office/drawing/2014/chart" uri="{C3380CC4-5D6E-409C-BE32-E72D297353CC}">
                    <c16:uniqueId val="{00000029-2CD5-419D-A9E9-D66F669F6406}"/>
                  </c:ext>
                </c:extLst>
              </c15:ser>
            </c15:filteredBarSeries>
            <c15:filteredBarSeries>
              <c15:ser>
                <c:idx val="42"/>
                <c:order val="42"/>
                <c:tx>
                  <c:strRef>
                    <c:extLst xmlns:c15="http://schemas.microsoft.com/office/drawing/2012/chart">
                      <c:ext xmlns:c15="http://schemas.microsoft.com/office/drawing/2012/chart" uri="{02D57815-91ED-43cb-92C2-25804820EDAC}">
                        <c15:formulaRef>
                          <c15:sqref>'Data LM'!$A$41</c15:sqref>
                        </c15:formulaRef>
                      </c:ext>
                    </c:extLst>
                    <c:strCache>
                      <c:ptCount val="1"/>
                      <c:pt idx="0">
                        <c:v>Unemployment with advanced education (% of total labor force with advanced education)</c:v>
                      </c:pt>
                    </c:strCache>
                  </c:strRef>
                </c:tx>
                <c:spPr>
                  <a:solidFill>
                    <a:schemeClr val="accent1">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LM'!$C$41:$V$41</c15:sqref>
                        </c15:formulaRef>
                      </c:ext>
                    </c:extLst>
                    <c:numCache>
                      <c:formatCode>0.0</c:formatCode>
                      <c:ptCount val="20"/>
                      <c:pt idx="0">
                        <c:v>0</c:v>
                      </c:pt>
                      <c:pt idx="1">
                        <c:v>0</c:v>
                      </c:pt>
                      <c:pt idx="2">
                        <c:v>0</c:v>
                      </c:pt>
                      <c:pt idx="3">
                        <c:v>0</c:v>
                      </c:pt>
                      <c:pt idx="4">
                        <c:v>0</c:v>
                      </c:pt>
                      <c:pt idx="5">
                        <c:v>9.0900001525878906</c:v>
                      </c:pt>
                      <c:pt idx="6">
                        <c:v>9.0900001525878906</c:v>
                      </c:pt>
                      <c:pt idx="7">
                        <c:v>0</c:v>
                      </c:pt>
                      <c:pt idx="8">
                        <c:v>0</c:v>
                      </c:pt>
                      <c:pt idx="9">
                        <c:v>0</c:v>
                      </c:pt>
                      <c:pt idx="10">
                        <c:v>0</c:v>
                      </c:pt>
                      <c:pt idx="11">
                        <c:v>0</c:v>
                      </c:pt>
                      <c:pt idx="12">
                        <c:v>0</c:v>
                      </c:pt>
                      <c:pt idx="13">
                        <c:v>0</c:v>
                      </c:pt>
                      <c:pt idx="14">
                        <c:v>0</c:v>
                      </c:pt>
                      <c:pt idx="15">
                        <c:v>0</c:v>
                      </c:pt>
                      <c:pt idx="16">
                        <c:v>7.8200001716613796</c:v>
                      </c:pt>
                      <c:pt idx="17">
                        <c:v>0</c:v>
                      </c:pt>
                      <c:pt idx="18">
                        <c:v>0</c:v>
                      </c:pt>
                      <c:pt idx="19">
                        <c:v>12.329999923706101</c:v>
                      </c:pt>
                    </c:numCache>
                  </c:numRef>
                </c:val>
                <c:extLst xmlns:c15="http://schemas.microsoft.com/office/drawing/2012/chart">
                  <c:ext xmlns:c16="http://schemas.microsoft.com/office/drawing/2014/chart" uri="{C3380CC4-5D6E-409C-BE32-E72D297353CC}">
                    <c16:uniqueId val="{0000002A-2CD5-419D-A9E9-D66F669F6406}"/>
                  </c:ext>
                </c:extLst>
              </c15:ser>
            </c15:filteredBarSeries>
            <c15:filteredBarSeries>
              <c15:ser>
                <c:idx val="43"/>
                <c:order val="43"/>
                <c:tx>
                  <c:strRef>
                    <c:extLst xmlns:c15="http://schemas.microsoft.com/office/drawing/2012/chart">
                      <c:ext xmlns:c15="http://schemas.microsoft.com/office/drawing/2012/chart" uri="{02D57815-91ED-43cb-92C2-25804820EDAC}">
                        <c15:formulaRef>
                          <c15:sqref>'Data LM'!$A$42</c15:sqref>
                        </c15:formulaRef>
                      </c:ext>
                    </c:extLst>
                    <c:strCache>
                      <c:ptCount val="1"/>
                      <c:pt idx="0">
                        <c:v>Unemployment with advanced education, female (% of female labor force with advanced education)</c:v>
                      </c:pt>
                    </c:strCache>
                  </c:strRef>
                </c:tx>
                <c:spPr>
                  <a:solidFill>
                    <a:schemeClr val="accent2">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LM'!$C$42:$V$42</c15:sqref>
                        </c15:formulaRef>
                      </c:ext>
                    </c:extLst>
                    <c:numCache>
                      <c:formatCode>0.0</c:formatCode>
                      <c:ptCount val="20"/>
                      <c:pt idx="0">
                        <c:v>0</c:v>
                      </c:pt>
                      <c:pt idx="1">
                        <c:v>0</c:v>
                      </c:pt>
                      <c:pt idx="2">
                        <c:v>0</c:v>
                      </c:pt>
                      <c:pt idx="3">
                        <c:v>0</c:v>
                      </c:pt>
                      <c:pt idx="4">
                        <c:v>0</c:v>
                      </c:pt>
                      <c:pt idx="5">
                        <c:v>13.810000419616699</c:v>
                      </c:pt>
                      <c:pt idx="6">
                        <c:v>13.810000419616699</c:v>
                      </c:pt>
                      <c:pt idx="7">
                        <c:v>0</c:v>
                      </c:pt>
                      <c:pt idx="8">
                        <c:v>0</c:v>
                      </c:pt>
                      <c:pt idx="9">
                        <c:v>0</c:v>
                      </c:pt>
                      <c:pt idx="10">
                        <c:v>0</c:v>
                      </c:pt>
                      <c:pt idx="11">
                        <c:v>0</c:v>
                      </c:pt>
                      <c:pt idx="12">
                        <c:v>0</c:v>
                      </c:pt>
                      <c:pt idx="13">
                        <c:v>0</c:v>
                      </c:pt>
                      <c:pt idx="14">
                        <c:v>0</c:v>
                      </c:pt>
                      <c:pt idx="15">
                        <c:v>0</c:v>
                      </c:pt>
                      <c:pt idx="16">
                        <c:v>10.0299997329712</c:v>
                      </c:pt>
                      <c:pt idx="17">
                        <c:v>0</c:v>
                      </c:pt>
                      <c:pt idx="18">
                        <c:v>0</c:v>
                      </c:pt>
                      <c:pt idx="19">
                        <c:v>14.2799997329712</c:v>
                      </c:pt>
                    </c:numCache>
                  </c:numRef>
                </c:val>
                <c:extLst xmlns:c15="http://schemas.microsoft.com/office/drawing/2012/chart">
                  <c:ext xmlns:c16="http://schemas.microsoft.com/office/drawing/2014/chart" uri="{C3380CC4-5D6E-409C-BE32-E72D297353CC}">
                    <c16:uniqueId val="{0000002B-2CD5-419D-A9E9-D66F669F6406}"/>
                  </c:ext>
                </c:extLst>
              </c15:ser>
            </c15:filteredBarSeries>
            <c15:filteredBarSeries>
              <c15:ser>
                <c:idx val="44"/>
                <c:order val="44"/>
                <c:tx>
                  <c:strRef>
                    <c:extLst xmlns:c15="http://schemas.microsoft.com/office/drawing/2012/chart">
                      <c:ext xmlns:c15="http://schemas.microsoft.com/office/drawing/2012/chart" uri="{02D57815-91ED-43cb-92C2-25804820EDAC}">
                        <c15:formulaRef>
                          <c15:sqref>'Data LM'!$A$43</c15:sqref>
                        </c15:formulaRef>
                      </c:ext>
                    </c:extLst>
                    <c:strCache>
                      <c:ptCount val="1"/>
                      <c:pt idx="0">
                        <c:v>Unemployment with advanced education, male (% of male labor force with advanced education)</c:v>
                      </c:pt>
                    </c:strCache>
                  </c:strRef>
                </c:tx>
                <c:spPr>
                  <a:solidFill>
                    <a:schemeClr val="accent3">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LM'!$C$43:$V$43</c15:sqref>
                        </c15:formulaRef>
                      </c:ext>
                    </c:extLst>
                    <c:numCache>
                      <c:formatCode>0.0</c:formatCode>
                      <c:ptCount val="20"/>
                      <c:pt idx="0">
                        <c:v>0</c:v>
                      </c:pt>
                      <c:pt idx="1">
                        <c:v>0</c:v>
                      </c:pt>
                      <c:pt idx="2">
                        <c:v>0</c:v>
                      </c:pt>
                      <c:pt idx="3">
                        <c:v>0</c:v>
                      </c:pt>
                      <c:pt idx="4">
                        <c:v>0</c:v>
                      </c:pt>
                      <c:pt idx="5">
                        <c:v>7.3099999427795401</c:v>
                      </c:pt>
                      <c:pt idx="6">
                        <c:v>7.3099999427795401</c:v>
                      </c:pt>
                      <c:pt idx="7">
                        <c:v>0</c:v>
                      </c:pt>
                      <c:pt idx="8">
                        <c:v>0</c:v>
                      </c:pt>
                      <c:pt idx="9">
                        <c:v>0</c:v>
                      </c:pt>
                      <c:pt idx="10">
                        <c:v>0</c:v>
                      </c:pt>
                      <c:pt idx="11">
                        <c:v>0</c:v>
                      </c:pt>
                      <c:pt idx="12">
                        <c:v>0</c:v>
                      </c:pt>
                      <c:pt idx="13">
                        <c:v>0</c:v>
                      </c:pt>
                      <c:pt idx="14">
                        <c:v>0</c:v>
                      </c:pt>
                      <c:pt idx="15">
                        <c:v>0</c:v>
                      </c:pt>
                      <c:pt idx="16">
                        <c:v>6.3499999046325701</c:v>
                      </c:pt>
                      <c:pt idx="17">
                        <c:v>0</c:v>
                      </c:pt>
                      <c:pt idx="18">
                        <c:v>0</c:v>
                      </c:pt>
                      <c:pt idx="19">
                        <c:v>11.0900001525879</c:v>
                      </c:pt>
                    </c:numCache>
                  </c:numRef>
                </c:val>
                <c:extLst xmlns:c15="http://schemas.microsoft.com/office/drawing/2012/chart">
                  <c:ext xmlns:c16="http://schemas.microsoft.com/office/drawing/2014/chart" uri="{C3380CC4-5D6E-409C-BE32-E72D297353CC}">
                    <c16:uniqueId val="{0000002C-2CD5-419D-A9E9-D66F669F6406}"/>
                  </c:ext>
                </c:extLst>
              </c15:ser>
            </c15:filteredBarSeries>
            <c15:filteredBarSeries>
              <c15:ser>
                <c:idx val="45"/>
                <c:order val="45"/>
                <c:tx>
                  <c:strRef>
                    <c:extLst xmlns:c15="http://schemas.microsoft.com/office/drawing/2012/chart">
                      <c:ext xmlns:c15="http://schemas.microsoft.com/office/drawing/2012/chart" uri="{02D57815-91ED-43cb-92C2-25804820EDAC}">
                        <c15:formulaRef>
                          <c15:sqref>'Data LM'!$A$44</c15:sqref>
                        </c15:formulaRef>
                      </c:ext>
                    </c:extLst>
                    <c:strCache>
                      <c:ptCount val="1"/>
                      <c:pt idx="0">
                        <c:v>Unemployment with basic education (% of total labor force with basic education)</c:v>
                      </c:pt>
                    </c:strCache>
                  </c:strRef>
                </c:tx>
                <c:spPr>
                  <a:solidFill>
                    <a:schemeClr val="accent4">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LM'!$C$44:$V$44</c15:sqref>
                        </c15:formulaRef>
                      </c:ext>
                    </c:extLst>
                    <c:numCache>
                      <c:formatCode>0.0</c:formatCode>
                      <c:ptCount val="20"/>
                      <c:pt idx="0">
                        <c:v>0</c:v>
                      </c:pt>
                      <c:pt idx="1">
                        <c:v>0</c:v>
                      </c:pt>
                      <c:pt idx="2">
                        <c:v>0</c:v>
                      </c:pt>
                      <c:pt idx="3">
                        <c:v>0</c:v>
                      </c:pt>
                      <c:pt idx="4">
                        <c:v>0</c:v>
                      </c:pt>
                      <c:pt idx="5">
                        <c:v>9.3100004196166992</c:v>
                      </c:pt>
                      <c:pt idx="6">
                        <c:v>9.3100004196166992</c:v>
                      </c:pt>
                      <c:pt idx="7">
                        <c:v>0</c:v>
                      </c:pt>
                      <c:pt idx="8">
                        <c:v>0</c:v>
                      </c:pt>
                      <c:pt idx="9">
                        <c:v>0</c:v>
                      </c:pt>
                      <c:pt idx="10">
                        <c:v>0</c:v>
                      </c:pt>
                      <c:pt idx="11">
                        <c:v>0</c:v>
                      </c:pt>
                      <c:pt idx="12">
                        <c:v>0</c:v>
                      </c:pt>
                      <c:pt idx="13">
                        <c:v>0</c:v>
                      </c:pt>
                      <c:pt idx="14">
                        <c:v>0</c:v>
                      </c:pt>
                      <c:pt idx="15">
                        <c:v>0</c:v>
                      </c:pt>
                      <c:pt idx="16">
                        <c:v>1.5900000333786</c:v>
                      </c:pt>
                      <c:pt idx="17">
                        <c:v>0</c:v>
                      </c:pt>
                      <c:pt idx="18">
                        <c:v>0</c:v>
                      </c:pt>
                      <c:pt idx="19">
                        <c:v>4.1399998664856001</c:v>
                      </c:pt>
                    </c:numCache>
                  </c:numRef>
                </c:val>
                <c:extLst xmlns:c15="http://schemas.microsoft.com/office/drawing/2012/chart">
                  <c:ext xmlns:c16="http://schemas.microsoft.com/office/drawing/2014/chart" uri="{C3380CC4-5D6E-409C-BE32-E72D297353CC}">
                    <c16:uniqueId val="{0000002D-2CD5-419D-A9E9-D66F669F6406}"/>
                  </c:ext>
                </c:extLst>
              </c15:ser>
            </c15:filteredBarSeries>
            <c15:filteredBarSeries>
              <c15:ser>
                <c:idx val="46"/>
                <c:order val="46"/>
                <c:tx>
                  <c:strRef>
                    <c:extLst xmlns:c15="http://schemas.microsoft.com/office/drawing/2012/chart">
                      <c:ext xmlns:c15="http://schemas.microsoft.com/office/drawing/2012/chart" uri="{02D57815-91ED-43cb-92C2-25804820EDAC}">
                        <c15:formulaRef>
                          <c15:sqref>'Data LM'!$A$45</c15:sqref>
                        </c15:formulaRef>
                      </c:ext>
                    </c:extLst>
                    <c:strCache>
                      <c:ptCount val="1"/>
                      <c:pt idx="0">
                        <c:v>Unemployment with basic education, female (% of female labor force with basic education)</c:v>
                      </c:pt>
                    </c:strCache>
                  </c:strRef>
                </c:tx>
                <c:spPr>
                  <a:solidFill>
                    <a:schemeClr val="accent5">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LM'!$C$45:$V$45</c15:sqref>
                        </c15:formulaRef>
                      </c:ext>
                    </c:extLst>
                    <c:numCache>
                      <c:formatCode>0.0</c:formatCode>
                      <c:ptCount val="20"/>
                      <c:pt idx="0">
                        <c:v>0</c:v>
                      </c:pt>
                      <c:pt idx="1">
                        <c:v>0</c:v>
                      </c:pt>
                      <c:pt idx="2">
                        <c:v>0</c:v>
                      </c:pt>
                      <c:pt idx="3">
                        <c:v>0</c:v>
                      </c:pt>
                      <c:pt idx="4">
                        <c:v>0</c:v>
                      </c:pt>
                      <c:pt idx="5">
                        <c:v>9.0799999237060494</c:v>
                      </c:pt>
                      <c:pt idx="6">
                        <c:v>9.0799999237060494</c:v>
                      </c:pt>
                      <c:pt idx="7">
                        <c:v>0</c:v>
                      </c:pt>
                      <c:pt idx="8">
                        <c:v>0</c:v>
                      </c:pt>
                      <c:pt idx="9">
                        <c:v>0</c:v>
                      </c:pt>
                      <c:pt idx="10">
                        <c:v>0</c:v>
                      </c:pt>
                      <c:pt idx="11">
                        <c:v>0</c:v>
                      </c:pt>
                      <c:pt idx="12">
                        <c:v>0</c:v>
                      </c:pt>
                      <c:pt idx="13">
                        <c:v>0</c:v>
                      </c:pt>
                      <c:pt idx="14">
                        <c:v>0</c:v>
                      </c:pt>
                      <c:pt idx="15">
                        <c:v>0</c:v>
                      </c:pt>
                      <c:pt idx="16">
                        <c:v>1.7799999713897701</c:v>
                      </c:pt>
                      <c:pt idx="17">
                        <c:v>0</c:v>
                      </c:pt>
                      <c:pt idx="18">
                        <c:v>0</c:v>
                      </c:pt>
                      <c:pt idx="19">
                        <c:v>4.2300000190734899</c:v>
                      </c:pt>
                    </c:numCache>
                  </c:numRef>
                </c:val>
                <c:extLst xmlns:c15="http://schemas.microsoft.com/office/drawing/2012/chart">
                  <c:ext xmlns:c16="http://schemas.microsoft.com/office/drawing/2014/chart" uri="{C3380CC4-5D6E-409C-BE32-E72D297353CC}">
                    <c16:uniqueId val="{0000002E-2CD5-419D-A9E9-D66F669F6406}"/>
                  </c:ext>
                </c:extLst>
              </c15:ser>
            </c15:filteredBarSeries>
            <c15:filteredBarSeries>
              <c15:ser>
                <c:idx val="47"/>
                <c:order val="47"/>
                <c:tx>
                  <c:strRef>
                    <c:extLst xmlns:c15="http://schemas.microsoft.com/office/drawing/2012/chart">
                      <c:ext xmlns:c15="http://schemas.microsoft.com/office/drawing/2012/chart" uri="{02D57815-91ED-43cb-92C2-25804820EDAC}">
                        <c15:formulaRef>
                          <c15:sqref>'Data LM'!$A$46</c15:sqref>
                        </c15:formulaRef>
                      </c:ext>
                    </c:extLst>
                    <c:strCache>
                      <c:ptCount val="1"/>
                      <c:pt idx="0">
                        <c:v>Unemployment with basic education, male (% of male labor force with basic education)</c:v>
                      </c:pt>
                    </c:strCache>
                  </c:strRef>
                </c:tx>
                <c:spPr>
                  <a:solidFill>
                    <a:schemeClr val="accent6">
                      <a:lumMod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LM'!$C$46:$V$46</c15:sqref>
                        </c15:formulaRef>
                      </c:ext>
                    </c:extLst>
                    <c:numCache>
                      <c:formatCode>0.0</c:formatCode>
                      <c:ptCount val="20"/>
                      <c:pt idx="0">
                        <c:v>0</c:v>
                      </c:pt>
                      <c:pt idx="1">
                        <c:v>0</c:v>
                      </c:pt>
                      <c:pt idx="2">
                        <c:v>0</c:v>
                      </c:pt>
                      <c:pt idx="3">
                        <c:v>0</c:v>
                      </c:pt>
                      <c:pt idx="4">
                        <c:v>0</c:v>
                      </c:pt>
                      <c:pt idx="5">
                        <c:v>9.5</c:v>
                      </c:pt>
                      <c:pt idx="6">
                        <c:v>9.5</c:v>
                      </c:pt>
                      <c:pt idx="7">
                        <c:v>0</c:v>
                      </c:pt>
                      <c:pt idx="8">
                        <c:v>0</c:v>
                      </c:pt>
                      <c:pt idx="9">
                        <c:v>0</c:v>
                      </c:pt>
                      <c:pt idx="10">
                        <c:v>0</c:v>
                      </c:pt>
                      <c:pt idx="11">
                        <c:v>0</c:v>
                      </c:pt>
                      <c:pt idx="12">
                        <c:v>0</c:v>
                      </c:pt>
                      <c:pt idx="13">
                        <c:v>0</c:v>
                      </c:pt>
                      <c:pt idx="14">
                        <c:v>0</c:v>
                      </c:pt>
                      <c:pt idx="15">
                        <c:v>0</c:v>
                      </c:pt>
                      <c:pt idx="16">
                        <c:v>1.3999999761581401</c:v>
                      </c:pt>
                      <c:pt idx="17">
                        <c:v>0</c:v>
                      </c:pt>
                      <c:pt idx="18">
                        <c:v>0</c:v>
                      </c:pt>
                      <c:pt idx="19">
                        <c:v>4.0599999427795401</c:v>
                      </c:pt>
                    </c:numCache>
                  </c:numRef>
                </c:val>
                <c:extLst xmlns:c15="http://schemas.microsoft.com/office/drawing/2012/chart">
                  <c:ext xmlns:c16="http://schemas.microsoft.com/office/drawing/2014/chart" uri="{C3380CC4-5D6E-409C-BE32-E72D297353CC}">
                    <c16:uniqueId val="{0000002F-2CD5-419D-A9E9-D66F669F6406}"/>
                  </c:ext>
                </c:extLst>
              </c15:ser>
            </c15:filteredBarSeries>
            <c15:filteredBarSeries>
              <c15:ser>
                <c:idx val="48"/>
                <c:order val="48"/>
                <c:tx>
                  <c:strRef>
                    <c:extLst xmlns:c15="http://schemas.microsoft.com/office/drawing/2012/chart">
                      <c:ext xmlns:c15="http://schemas.microsoft.com/office/drawing/2012/chart" uri="{02D57815-91ED-43cb-92C2-25804820EDAC}">
                        <c15:formulaRef>
                          <c15:sqref>'Data LM'!$A$47</c15:sqref>
                        </c15:formulaRef>
                      </c:ext>
                    </c:extLst>
                    <c:strCache>
                      <c:ptCount val="1"/>
                      <c:pt idx="0">
                        <c:v>Unemployment with intermediate education (% of total labor force with intermediate education)</c:v>
                      </c:pt>
                    </c:strCache>
                  </c:strRef>
                </c:tx>
                <c:spPr>
                  <a:solidFill>
                    <a:schemeClr val="accent1">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LM'!$C$47:$V$47</c15:sqref>
                        </c15:formulaRef>
                      </c:ext>
                    </c:extLst>
                    <c:numCache>
                      <c:formatCode>0.0</c:formatCode>
                      <c:ptCount val="20"/>
                      <c:pt idx="0">
                        <c:v>0</c:v>
                      </c:pt>
                      <c:pt idx="1">
                        <c:v>0</c:v>
                      </c:pt>
                      <c:pt idx="2">
                        <c:v>0</c:v>
                      </c:pt>
                      <c:pt idx="3">
                        <c:v>0</c:v>
                      </c:pt>
                      <c:pt idx="4">
                        <c:v>0</c:v>
                      </c:pt>
                      <c:pt idx="5">
                        <c:v>12.3400001525879</c:v>
                      </c:pt>
                      <c:pt idx="6">
                        <c:v>12.3400001525879</c:v>
                      </c:pt>
                      <c:pt idx="7">
                        <c:v>0</c:v>
                      </c:pt>
                      <c:pt idx="8">
                        <c:v>0</c:v>
                      </c:pt>
                      <c:pt idx="9">
                        <c:v>0</c:v>
                      </c:pt>
                      <c:pt idx="10">
                        <c:v>0</c:v>
                      </c:pt>
                      <c:pt idx="11">
                        <c:v>0</c:v>
                      </c:pt>
                      <c:pt idx="12">
                        <c:v>0</c:v>
                      </c:pt>
                      <c:pt idx="13">
                        <c:v>0</c:v>
                      </c:pt>
                      <c:pt idx="14">
                        <c:v>0</c:v>
                      </c:pt>
                      <c:pt idx="15">
                        <c:v>0</c:v>
                      </c:pt>
                      <c:pt idx="16">
                        <c:v>4.1700000762939498</c:v>
                      </c:pt>
                      <c:pt idx="17">
                        <c:v>0</c:v>
                      </c:pt>
                      <c:pt idx="18">
                        <c:v>0</c:v>
                      </c:pt>
                      <c:pt idx="19">
                        <c:v>8.1400003433227504</c:v>
                      </c:pt>
                    </c:numCache>
                  </c:numRef>
                </c:val>
                <c:extLst xmlns:c15="http://schemas.microsoft.com/office/drawing/2012/chart">
                  <c:ext xmlns:c16="http://schemas.microsoft.com/office/drawing/2014/chart" uri="{C3380CC4-5D6E-409C-BE32-E72D297353CC}">
                    <c16:uniqueId val="{00000030-2CD5-419D-A9E9-D66F669F6406}"/>
                  </c:ext>
                </c:extLst>
              </c15:ser>
            </c15:filteredBarSeries>
            <c15:filteredBarSeries>
              <c15:ser>
                <c:idx val="49"/>
                <c:order val="49"/>
                <c:tx>
                  <c:strRef>
                    <c:extLst xmlns:c15="http://schemas.microsoft.com/office/drawing/2012/chart">
                      <c:ext xmlns:c15="http://schemas.microsoft.com/office/drawing/2012/chart" uri="{02D57815-91ED-43cb-92C2-25804820EDAC}">
                        <c15:formulaRef>
                          <c15:sqref>'Data LM'!$A$48</c15:sqref>
                        </c15:formulaRef>
                      </c:ext>
                    </c:extLst>
                    <c:strCache>
                      <c:ptCount val="1"/>
                      <c:pt idx="0">
                        <c:v>Unemployment with intermediate education, female (% of female labor force with intermediate education)</c:v>
                      </c:pt>
                    </c:strCache>
                  </c:strRef>
                </c:tx>
                <c:spPr>
                  <a:solidFill>
                    <a:schemeClr val="accent2">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LM'!$C$48:$V$48</c15:sqref>
                        </c15:formulaRef>
                      </c:ext>
                    </c:extLst>
                    <c:numCache>
                      <c:formatCode>0.0</c:formatCode>
                      <c:ptCount val="20"/>
                      <c:pt idx="0">
                        <c:v>0</c:v>
                      </c:pt>
                      <c:pt idx="1">
                        <c:v>0</c:v>
                      </c:pt>
                      <c:pt idx="2">
                        <c:v>0</c:v>
                      </c:pt>
                      <c:pt idx="3">
                        <c:v>0</c:v>
                      </c:pt>
                      <c:pt idx="4">
                        <c:v>0</c:v>
                      </c:pt>
                      <c:pt idx="5">
                        <c:v>16.340000152587901</c:v>
                      </c:pt>
                      <c:pt idx="6">
                        <c:v>16.340000152587901</c:v>
                      </c:pt>
                      <c:pt idx="7">
                        <c:v>0</c:v>
                      </c:pt>
                      <c:pt idx="8">
                        <c:v>0</c:v>
                      </c:pt>
                      <c:pt idx="9">
                        <c:v>0</c:v>
                      </c:pt>
                      <c:pt idx="10">
                        <c:v>0</c:v>
                      </c:pt>
                      <c:pt idx="11">
                        <c:v>0</c:v>
                      </c:pt>
                      <c:pt idx="12">
                        <c:v>0</c:v>
                      </c:pt>
                      <c:pt idx="13">
                        <c:v>0</c:v>
                      </c:pt>
                      <c:pt idx="14">
                        <c:v>0</c:v>
                      </c:pt>
                      <c:pt idx="15">
                        <c:v>0</c:v>
                      </c:pt>
                      <c:pt idx="16">
                        <c:v>4.8099999427795401</c:v>
                      </c:pt>
                      <c:pt idx="17">
                        <c:v>0</c:v>
                      </c:pt>
                      <c:pt idx="18">
                        <c:v>0</c:v>
                      </c:pt>
                      <c:pt idx="19">
                        <c:v>10.680000305175801</c:v>
                      </c:pt>
                    </c:numCache>
                  </c:numRef>
                </c:val>
                <c:extLst xmlns:c15="http://schemas.microsoft.com/office/drawing/2012/chart">
                  <c:ext xmlns:c16="http://schemas.microsoft.com/office/drawing/2014/chart" uri="{C3380CC4-5D6E-409C-BE32-E72D297353CC}">
                    <c16:uniqueId val="{00000031-2CD5-419D-A9E9-D66F669F6406}"/>
                  </c:ext>
                </c:extLst>
              </c15:ser>
            </c15:filteredBarSeries>
            <c15:filteredBarSeries>
              <c15:ser>
                <c:idx val="50"/>
                <c:order val="50"/>
                <c:tx>
                  <c:strRef>
                    <c:extLst xmlns:c15="http://schemas.microsoft.com/office/drawing/2012/chart">
                      <c:ext xmlns:c15="http://schemas.microsoft.com/office/drawing/2012/chart" uri="{02D57815-91ED-43cb-92C2-25804820EDAC}">
                        <c15:formulaRef>
                          <c15:sqref>'Data LM'!$A$49</c15:sqref>
                        </c15:formulaRef>
                      </c:ext>
                    </c:extLst>
                    <c:strCache>
                      <c:ptCount val="1"/>
                      <c:pt idx="0">
                        <c:v>Unemployment with intermediate education, male (% of male labor force with intermediate education)</c:v>
                      </c:pt>
                    </c:strCache>
                  </c:strRef>
                </c:tx>
                <c:spPr>
                  <a:solidFill>
                    <a:schemeClr val="accent3">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LM'!$C$49:$V$49</c15:sqref>
                        </c15:formulaRef>
                      </c:ext>
                    </c:extLst>
                    <c:numCache>
                      <c:formatCode>0.0</c:formatCode>
                      <c:ptCount val="20"/>
                      <c:pt idx="0">
                        <c:v>0</c:v>
                      </c:pt>
                      <c:pt idx="1">
                        <c:v>0</c:v>
                      </c:pt>
                      <c:pt idx="2">
                        <c:v>0</c:v>
                      </c:pt>
                      <c:pt idx="3">
                        <c:v>0</c:v>
                      </c:pt>
                      <c:pt idx="4">
                        <c:v>0</c:v>
                      </c:pt>
                      <c:pt idx="5">
                        <c:v>9.7399997711181605</c:v>
                      </c:pt>
                      <c:pt idx="6">
                        <c:v>9.7399997711181605</c:v>
                      </c:pt>
                      <c:pt idx="7">
                        <c:v>0</c:v>
                      </c:pt>
                      <c:pt idx="8">
                        <c:v>0</c:v>
                      </c:pt>
                      <c:pt idx="9">
                        <c:v>0</c:v>
                      </c:pt>
                      <c:pt idx="10">
                        <c:v>0</c:v>
                      </c:pt>
                      <c:pt idx="11">
                        <c:v>0</c:v>
                      </c:pt>
                      <c:pt idx="12">
                        <c:v>0</c:v>
                      </c:pt>
                      <c:pt idx="13">
                        <c:v>0</c:v>
                      </c:pt>
                      <c:pt idx="14">
                        <c:v>0</c:v>
                      </c:pt>
                      <c:pt idx="15">
                        <c:v>0</c:v>
                      </c:pt>
                      <c:pt idx="16">
                        <c:v>3.6500000953674299</c:v>
                      </c:pt>
                      <c:pt idx="17">
                        <c:v>0</c:v>
                      </c:pt>
                      <c:pt idx="18">
                        <c:v>0</c:v>
                      </c:pt>
                      <c:pt idx="19">
                        <c:v>6.5700001716613796</c:v>
                      </c:pt>
                    </c:numCache>
                  </c:numRef>
                </c:val>
                <c:extLst xmlns:c15="http://schemas.microsoft.com/office/drawing/2012/chart">
                  <c:ext xmlns:c16="http://schemas.microsoft.com/office/drawing/2014/chart" uri="{C3380CC4-5D6E-409C-BE32-E72D297353CC}">
                    <c16:uniqueId val="{00000032-2CD5-419D-A9E9-D66F669F6406}"/>
                  </c:ext>
                </c:extLst>
              </c15:ser>
            </c15:filteredBarSeries>
            <c15:filteredBarSeries>
              <c15:ser>
                <c:idx val="51"/>
                <c:order val="51"/>
                <c:tx>
                  <c:strRef>
                    <c:extLst xmlns:c15="http://schemas.microsoft.com/office/drawing/2012/chart">
                      <c:ext xmlns:c15="http://schemas.microsoft.com/office/drawing/2012/chart" uri="{02D57815-91ED-43cb-92C2-25804820EDAC}">
                        <c15:formulaRef>
                          <c15:sqref>'Data LM'!$A$50</c15:sqref>
                        </c15:formulaRef>
                      </c:ext>
                    </c:extLst>
                    <c:strCache>
                      <c:ptCount val="1"/>
                      <c:pt idx="0">
                        <c:v>Unemployment, female (% of female labor force) (modeled ILO estimate)</c:v>
                      </c:pt>
                    </c:strCache>
                  </c:strRef>
                </c:tx>
                <c:spPr>
                  <a:solidFill>
                    <a:schemeClr val="accent4">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LM'!$C$50:$V$50</c15:sqref>
                        </c15:formulaRef>
                      </c:ext>
                    </c:extLst>
                    <c:numCache>
                      <c:formatCode>0.0</c:formatCode>
                      <c:ptCount val="20"/>
                      <c:pt idx="0">
                        <c:v>3.2809998989105198</c:v>
                      </c:pt>
                      <c:pt idx="1">
                        <c:v>3.2439999580383301</c:v>
                      </c:pt>
                      <c:pt idx="2">
                        <c:v>3.2469999790191699</c:v>
                      </c:pt>
                      <c:pt idx="3">
                        <c:v>3.2149999141693102</c:v>
                      </c:pt>
                      <c:pt idx="4">
                        <c:v>3.1849999427795401</c:v>
                      </c:pt>
                      <c:pt idx="5">
                        <c:v>3.1619999408721902</c:v>
                      </c:pt>
                      <c:pt idx="6">
                        <c:v>3.1400001049041699</c:v>
                      </c:pt>
                      <c:pt idx="7">
                        <c:v>3.1199998855590798</c:v>
                      </c:pt>
                      <c:pt idx="8">
                        <c:v>3.1400001049041699</c:v>
                      </c:pt>
                      <c:pt idx="9">
                        <c:v>3.1029999256134002</c:v>
                      </c:pt>
                      <c:pt idx="10">
                        <c:v>3.05299997329712</c:v>
                      </c:pt>
                      <c:pt idx="11">
                        <c:v>3.0469999313354501</c:v>
                      </c:pt>
                      <c:pt idx="12">
                        <c:v>3.03600001335144</c:v>
                      </c:pt>
                      <c:pt idx="13">
                        <c:v>3.0079998970031698</c:v>
                      </c:pt>
                      <c:pt idx="14">
                        <c:v>2.9900000095367401</c:v>
                      </c:pt>
                      <c:pt idx="15">
                        <c:v>2.9670000076293901</c:v>
                      </c:pt>
                      <c:pt idx="16">
                        <c:v>2.9449999332428001</c:v>
                      </c:pt>
                      <c:pt idx="17">
                        <c:v>3.7170000076293901</c:v>
                      </c:pt>
                      <c:pt idx="18">
                        <c:v>4.47300004959106</c:v>
                      </c:pt>
                      <c:pt idx="19">
                        <c:v>5.2519998550415004</c:v>
                      </c:pt>
                    </c:numCache>
                  </c:numRef>
                </c:val>
                <c:extLst xmlns:c15="http://schemas.microsoft.com/office/drawing/2012/chart">
                  <c:ext xmlns:c16="http://schemas.microsoft.com/office/drawing/2014/chart" uri="{C3380CC4-5D6E-409C-BE32-E72D297353CC}">
                    <c16:uniqueId val="{00000033-2CD5-419D-A9E9-D66F669F6406}"/>
                  </c:ext>
                </c:extLst>
              </c15:ser>
            </c15:filteredBarSeries>
            <c15:filteredBarSeries>
              <c15:ser>
                <c:idx val="52"/>
                <c:order val="52"/>
                <c:tx>
                  <c:strRef>
                    <c:extLst xmlns:c15="http://schemas.microsoft.com/office/drawing/2012/chart">
                      <c:ext xmlns:c15="http://schemas.microsoft.com/office/drawing/2012/chart" uri="{02D57815-91ED-43cb-92C2-25804820EDAC}">
                        <c15:formulaRef>
                          <c15:sqref>'Data LM'!$A$51</c15:sqref>
                        </c15:formulaRef>
                      </c:ext>
                    </c:extLst>
                    <c:strCache>
                      <c:ptCount val="1"/>
                      <c:pt idx="0">
                        <c:v>Unemployment, female (% of female labor force) (national estimate)</c:v>
                      </c:pt>
                    </c:strCache>
                  </c:strRef>
                </c:tx>
                <c:spPr>
                  <a:solidFill>
                    <a:schemeClr val="accent5">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LM'!$C$51:$V$51</c15:sqref>
                        </c15:formulaRef>
                      </c:ext>
                    </c:extLst>
                    <c:numCache>
                      <c:formatCode>0.0</c:formatCode>
                      <c:ptCount val="20"/>
                      <c:pt idx="0">
                        <c:v>0</c:v>
                      </c:pt>
                      <c:pt idx="1">
                        <c:v>0</c:v>
                      </c:pt>
                      <c:pt idx="2">
                        <c:v>0</c:v>
                      </c:pt>
                      <c:pt idx="3">
                        <c:v>0</c:v>
                      </c:pt>
                      <c:pt idx="4">
                        <c:v>0</c:v>
                      </c:pt>
                      <c:pt idx="5">
                        <c:v>10.1300001144409</c:v>
                      </c:pt>
                      <c:pt idx="6">
                        <c:v>10.1300001144409</c:v>
                      </c:pt>
                      <c:pt idx="7">
                        <c:v>0</c:v>
                      </c:pt>
                      <c:pt idx="8">
                        <c:v>0</c:v>
                      </c:pt>
                      <c:pt idx="9">
                        <c:v>9.3999996185302699</c:v>
                      </c:pt>
                      <c:pt idx="10">
                        <c:v>0</c:v>
                      </c:pt>
                      <c:pt idx="11">
                        <c:v>0</c:v>
                      </c:pt>
                      <c:pt idx="12">
                        <c:v>0</c:v>
                      </c:pt>
                      <c:pt idx="13">
                        <c:v>0</c:v>
                      </c:pt>
                      <c:pt idx="14">
                        <c:v>0</c:v>
                      </c:pt>
                      <c:pt idx="15">
                        <c:v>0</c:v>
                      </c:pt>
                      <c:pt idx="16">
                        <c:v>2.9400000572204599</c:v>
                      </c:pt>
                      <c:pt idx="17">
                        <c:v>0</c:v>
                      </c:pt>
                      <c:pt idx="18">
                        <c:v>0</c:v>
                      </c:pt>
                      <c:pt idx="19">
                        <c:v>5.2600002288818404</c:v>
                      </c:pt>
                    </c:numCache>
                  </c:numRef>
                </c:val>
                <c:extLst xmlns:c15="http://schemas.microsoft.com/office/drawing/2012/chart">
                  <c:ext xmlns:c16="http://schemas.microsoft.com/office/drawing/2014/chart" uri="{C3380CC4-5D6E-409C-BE32-E72D297353CC}">
                    <c16:uniqueId val="{00000034-2CD5-419D-A9E9-D66F669F6406}"/>
                  </c:ext>
                </c:extLst>
              </c15:ser>
            </c15:filteredBarSeries>
            <c15:filteredBarSeries>
              <c15:ser>
                <c:idx val="53"/>
                <c:order val="53"/>
                <c:tx>
                  <c:strRef>
                    <c:extLst xmlns:c15="http://schemas.microsoft.com/office/drawing/2012/chart">
                      <c:ext xmlns:c15="http://schemas.microsoft.com/office/drawing/2012/chart" uri="{02D57815-91ED-43cb-92C2-25804820EDAC}">
                        <c15:formulaRef>
                          <c15:sqref>'Data LM'!$A$52</c15:sqref>
                        </c15:formulaRef>
                      </c:ext>
                    </c:extLst>
                    <c:strCache>
                      <c:ptCount val="1"/>
                      <c:pt idx="0">
                        <c:v>Unemployment, male (% of male labor force) (modeled ILO estimate)</c:v>
                      </c:pt>
                    </c:strCache>
                  </c:strRef>
                </c:tx>
                <c:spPr>
                  <a:solidFill>
                    <a:schemeClr val="accent6">
                      <a:lumMod val="50000"/>
                      <a:lumOff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LM'!$C$52:$V$52</c15:sqref>
                        </c15:formulaRef>
                      </c:ext>
                    </c:extLst>
                    <c:numCache>
                      <c:formatCode>0.0</c:formatCode>
                      <c:ptCount val="20"/>
                      <c:pt idx="0">
                        <c:v>2.7660000324249299</c:v>
                      </c:pt>
                      <c:pt idx="1">
                        <c:v>2.7390000820159899</c:v>
                      </c:pt>
                      <c:pt idx="2">
                        <c:v>2.7509999275207502</c:v>
                      </c:pt>
                      <c:pt idx="3">
                        <c:v>2.7279999256134002</c:v>
                      </c:pt>
                      <c:pt idx="4">
                        <c:v>2.7070000171661399</c:v>
                      </c:pt>
                      <c:pt idx="5">
                        <c:v>2.6930000782012899</c:v>
                      </c:pt>
                      <c:pt idx="6">
                        <c:v>2.6809999942779501</c:v>
                      </c:pt>
                      <c:pt idx="7">
                        <c:v>2.6700000762939502</c:v>
                      </c:pt>
                      <c:pt idx="8">
                        <c:v>2.6989998817443799</c:v>
                      </c:pt>
                      <c:pt idx="9">
                        <c:v>2.6719999313354501</c:v>
                      </c:pt>
                      <c:pt idx="10">
                        <c:v>2.6329998970031698</c:v>
                      </c:pt>
                      <c:pt idx="11">
                        <c:v>2.6359999179840101</c:v>
                      </c:pt>
                      <c:pt idx="12">
                        <c:v>2.6340000629425</c:v>
                      </c:pt>
                      <c:pt idx="13">
                        <c:v>2.6170001029968302</c:v>
                      </c:pt>
                      <c:pt idx="14">
                        <c:v>2.6089999675750701</c:v>
                      </c:pt>
                      <c:pt idx="15">
                        <c:v>2.5959999561309801</c:v>
                      </c:pt>
                      <c:pt idx="16">
                        <c:v>2.5840001106262198</c:v>
                      </c:pt>
                      <c:pt idx="17">
                        <c:v>3.31599998474121</c:v>
                      </c:pt>
                      <c:pt idx="18">
                        <c:v>4.0329999923706099</c:v>
                      </c:pt>
                      <c:pt idx="19">
                        <c:v>4.7729997634887704</c:v>
                      </c:pt>
                    </c:numCache>
                  </c:numRef>
                </c:val>
                <c:extLst xmlns:c15="http://schemas.microsoft.com/office/drawing/2012/chart">
                  <c:ext xmlns:c16="http://schemas.microsoft.com/office/drawing/2014/chart" uri="{C3380CC4-5D6E-409C-BE32-E72D297353CC}">
                    <c16:uniqueId val="{00000035-2CD5-419D-A9E9-D66F669F6406}"/>
                  </c:ext>
                </c:extLst>
              </c15:ser>
            </c15:filteredBarSeries>
            <c15:filteredBarSeries>
              <c15:ser>
                <c:idx val="54"/>
                <c:order val="54"/>
                <c:tx>
                  <c:strRef>
                    <c:extLst xmlns:c15="http://schemas.microsoft.com/office/drawing/2012/chart">
                      <c:ext xmlns:c15="http://schemas.microsoft.com/office/drawing/2012/chart" uri="{02D57815-91ED-43cb-92C2-25804820EDAC}">
                        <c15:formulaRef>
                          <c15:sqref>'Data LM'!$A$53</c15:sqref>
                        </c15:formulaRef>
                      </c:ext>
                    </c:extLst>
                    <c:strCache>
                      <c:ptCount val="1"/>
                      <c:pt idx="0">
                        <c:v>Unemployment, male (% of male labor force) (national estimate)</c:v>
                      </c:pt>
                    </c:strCache>
                  </c:strRef>
                </c:tx>
                <c:spPr>
                  <a:solidFill>
                    <a:schemeClr val="accent1"/>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LM'!$C$53:$V$53</c15:sqref>
                        </c15:formulaRef>
                      </c:ext>
                    </c:extLst>
                    <c:numCache>
                      <c:formatCode>0.0</c:formatCode>
                      <c:ptCount val="20"/>
                      <c:pt idx="0">
                        <c:v>0</c:v>
                      </c:pt>
                      <c:pt idx="1">
                        <c:v>0</c:v>
                      </c:pt>
                      <c:pt idx="2">
                        <c:v>0</c:v>
                      </c:pt>
                      <c:pt idx="3">
                        <c:v>0</c:v>
                      </c:pt>
                      <c:pt idx="4">
                        <c:v>0</c:v>
                      </c:pt>
                      <c:pt idx="5">
                        <c:v>9.8100004196166992</c:v>
                      </c:pt>
                      <c:pt idx="6">
                        <c:v>9.8100004196166992</c:v>
                      </c:pt>
                      <c:pt idx="7">
                        <c:v>0</c:v>
                      </c:pt>
                      <c:pt idx="8">
                        <c:v>0</c:v>
                      </c:pt>
                      <c:pt idx="9">
                        <c:v>9.8999996185302699</c:v>
                      </c:pt>
                      <c:pt idx="10">
                        <c:v>0</c:v>
                      </c:pt>
                      <c:pt idx="11">
                        <c:v>0</c:v>
                      </c:pt>
                      <c:pt idx="12">
                        <c:v>0</c:v>
                      </c:pt>
                      <c:pt idx="13">
                        <c:v>0</c:v>
                      </c:pt>
                      <c:pt idx="14">
                        <c:v>0</c:v>
                      </c:pt>
                      <c:pt idx="15">
                        <c:v>0</c:v>
                      </c:pt>
                      <c:pt idx="16">
                        <c:v>2.5799999237060498</c:v>
                      </c:pt>
                      <c:pt idx="17">
                        <c:v>0</c:v>
                      </c:pt>
                      <c:pt idx="18">
                        <c:v>0</c:v>
                      </c:pt>
                      <c:pt idx="19">
                        <c:v>4.7800002098083496</c:v>
                      </c:pt>
                    </c:numCache>
                  </c:numRef>
                </c:val>
                <c:extLst xmlns:c15="http://schemas.microsoft.com/office/drawing/2012/chart">
                  <c:ext xmlns:c16="http://schemas.microsoft.com/office/drawing/2014/chart" uri="{C3380CC4-5D6E-409C-BE32-E72D297353CC}">
                    <c16:uniqueId val="{00000036-2CD5-419D-A9E9-D66F669F6406}"/>
                  </c:ext>
                </c:extLst>
              </c15:ser>
            </c15:filteredBarSeries>
            <c15:filteredBarSeries>
              <c15:ser>
                <c:idx val="55"/>
                <c:order val="55"/>
                <c:tx>
                  <c:strRef>
                    <c:extLst xmlns:c15="http://schemas.microsoft.com/office/drawing/2012/chart">
                      <c:ext xmlns:c15="http://schemas.microsoft.com/office/drawing/2012/chart" uri="{02D57815-91ED-43cb-92C2-25804820EDAC}">
                        <c15:formulaRef>
                          <c15:sqref>'Data LM'!$A$54</c15:sqref>
                        </c15:formulaRef>
                      </c:ext>
                    </c:extLst>
                    <c:strCache>
                      <c:ptCount val="1"/>
                      <c:pt idx="0">
                        <c:v>Unemployment, total (% of total labor force) (modeled ILO estimate)</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LM'!$C$54:$V$54</c15:sqref>
                        </c15:formulaRef>
                      </c:ext>
                    </c:extLst>
                    <c:numCache>
                      <c:formatCode>0.0</c:formatCode>
                      <c:ptCount val="20"/>
                      <c:pt idx="0">
                        <c:v>3.0209999084472701</c:v>
                      </c:pt>
                      <c:pt idx="1">
                        <c:v>2.9890000820159899</c:v>
                      </c:pt>
                      <c:pt idx="2">
                        <c:v>2.99600005149841</c:v>
                      </c:pt>
                      <c:pt idx="3">
                        <c:v>2.9690001010894802</c:v>
                      </c:pt>
                      <c:pt idx="4">
                        <c:v>2.9419999122619598</c:v>
                      </c:pt>
                      <c:pt idx="5">
                        <c:v>2.92400002479553</c:v>
                      </c:pt>
                      <c:pt idx="6">
                        <c:v>2.90700006484985</c:v>
                      </c:pt>
                      <c:pt idx="7">
                        <c:v>2.8910000324249299</c:v>
                      </c:pt>
                      <c:pt idx="8">
                        <c:v>2.9159998893737802</c:v>
                      </c:pt>
                      <c:pt idx="9">
                        <c:v>2.8840000629425</c:v>
                      </c:pt>
                      <c:pt idx="10">
                        <c:v>2.83899998664856</c:v>
                      </c:pt>
                      <c:pt idx="11">
                        <c:v>2.8369998931884801</c:v>
                      </c:pt>
                      <c:pt idx="12">
                        <c:v>2.8310000896453902</c:v>
                      </c:pt>
                      <c:pt idx="13">
                        <c:v>2.8080000877380402</c:v>
                      </c:pt>
                      <c:pt idx="14">
                        <c:v>2.7950000762939502</c:v>
                      </c:pt>
                      <c:pt idx="15">
                        <c:v>2.77699995040894</c:v>
                      </c:pt>
                      <c:pt idx="16">
                        <c:v>2.7599999904632599</c:v>
                      </c:pt>
                      <c:pt idx="17">
                        <c:v>3.51300001144409</c:v>
                      </c:pt>
                      <c:pt idx="18">
                        <c:v>4.2490000724792498</c:v>
                      </c:pt>
                      <c:pt idx="19">
                        <c:v>5.0100002288818404</c:v>
                      </c:pt>
                    </c:numCache>
                  </c:numRef>
                </c:val>
                <c:extLst xmlns:c15="http://schemas.microsoft.com/office/drawing/2012/chart">
                  <c:ext xmlns:c16="http://schemas.microsoft.com/office/drawing/2014/chart" uri="{C3380CC4-5D6E-409C-BE32-E72D297353CC}">
                    <c16:uniqueId val="{00000037-2CD5-419D-A9E9-D66F669F6406}"/>
                  </c:ext>
                </c:extLst>
              </c15:ser>
            </c15:filteredBarSeries>
            <c15:filteredBarSeries>
              <c15:ser>
                <c:idx val="56"/>
                <c:order val="56"/>
                <c:tx>
                  <c:strRef>
                    <c:extLst xmlns:c15="http://schemas.microsoft.com/office/drawing/2012/chart">
                      <c:ext xmlns:c15="http://schemas.microsoft.com/office/drawing/2012/chart" uri="{02D57815-91ED-43cb-92C2-25804820EDAC}">
                        <c15:formulaRef>
                          <c15:sqref>'Data LM'!$A$55</c15:sqref>
                        </c15:formulaRef>
                      </c:ext>
                    </c:extLst>
                    <c:strCache>
                      <c:ptCount val="1"/>
                      <c:pt idx="0">
                        <c:v>Unemployment, total (% of total labor force) (national estimate)</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LM'!$C$55:$V$55</c15:sqref>
                        </c15:formulaRef>
                      </c:ext>
                    </c:extLst>
                    <c:numCache>
                      <c:formatCode>0.0</c:formatCode>
                      <c:ptCount val="20"/>
                      <c:pt idx="0">
                        <c:v>0</c:v>
                      </c:pt>
                      <c:pt idx="1">
                        <c:v>0</c:v>
                      </c:pt>
                      <c:pt idx="2">
                        <c:v>0</c:v>
                      </c:pt>
                      <c:pt idx="3">
                        <c:v>0</c:v>
                      </c:pt>
                      <c:pt idx="4">
                        <c:v>0</c:v>
                      </c:pt>
                      <c:pt idx="5">
                        <c:v>9.9600000381469709</c:v>
                      </c:pt>
                      <c:pt idx="6">
                        <c:v>9.9600000381469709</c:v>
                      </c:pt>
                      <c:pt idx="7">
                        <c:v>0</c:v>
                      </c:pt>
                      <c:pt idx="8">
                        <c:v>0</c:v>
                      </c:pt>
                      <c:pt idx="9">
                        <c:v>9.6000003814697301</c:v>
                      </c:pt>
                      <c:pt idx="10">
                        <c:v>0</c:v>
                      </c:pt>
                      <c:pt idx="11">
                        <c:v>0</c:v>
                      </c:pt>
                      <c:pt idx="12">
                        <c:v>0</c:v>
                      </c:pt>
                      <c:pt idx="13">
                        <c:v>0</c:v>
                      </c:pt>
                      <c:pt idx="14">
                        <c:v>0</c:v>
                      </c:pt>
                      <c:pt idx="15">
                        <c:v>0</c:v>
                      </c:pt>
                      <c:pt idx="16">
                        <c:v>2.7599999904632599</c:v>
                      </c:pt>
                      <c:pt idx="17">
                        <c:v>0</c:v>
                      </c:pt>
                      <c:pt idx="18">
                        <c:v>0</c:v>
                      </c:pt>
                      <c:pt idx="19">
                        <c:v>5.0100002288818404</c:v>
                      </c:pt>
                    </c:numCache>
                  </c:numRef>
                </c:val>
                <c:extLst xmlns:c15="http://schemas.microsoft.com/office/drawing/2012/chart">
                  <c:ext xmlns:c16="http://schemas.microsoft.com/office/drawing/2014/chart" uri="{C3380CC4-5D6E-409C-BE32-E72D297353CC}">
                    <c16:uniqueId val="{00000038-2CD5-419D-A9E9-D66F669F6406}"/>
                  </c:ext>
                </c:extLst>
              </c15:ser>
            </c15:filteredBarSeries>
            <c15:filteredBarSeries>
              <c15:ser>
                <c:idx val="57"/>
                <c:order val="57"/>
                <c:tx>
                  <c:strRef>
                    <c:extLst xmlns:c15="http://schemas.microsoft.com/office/drawing/2012/chart">
                      <c:ext xmlns:c15="http://schemas.microsoft.com/office/drawing/2012/chart" uri="{02D57815-91ED-43cb-92C2-25804820EDAC}">
                        <c15:formulaRef>
                          <c15:sqref>'Data LM'!$A$56</c15:sqref>
                        </c15:formulaRef>
                      </c:ext>
                    </c:extLst>
                    <c:strCache>
                      <c:ptCount val="1"/>
                      <c:pt idx="0">
                        <c:v>Unemployment, youth female (% of female labor force ages 15-24) (modeled ILO estimate)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LM'!$C$56:$V$56</c15:sqref>
                        </c15:formulaRef>
                      </c:ext>
                    </c:extLst>
                    <c:numCache>
                      <c:formatCode>0.0</c:formatCode>
                      <c:ptCount val="20"/>
                      <c:pt idx="0">
                        <c:v>6.8889999389648402</c:v>
                      </c:pt>
                      <c:pt idx="1">
                        <c:v>6.8670001029968297</c:v>
                      </c:pt>
                      <c:pt idx="2">
                        <c:v>6.9120001792907697</c:v>
                      </c:pt>
                      <c:pt idx="3">
                        <c:v>6.90199995040894</c:v>
                      </c:pt>
                      <c:pt idx="4">
                        <c:v>6.9000000953674299</c:v>
                      </c:pt>
                      <c:pt idx="5">
                        <c:v>6.9219999313354501</c:v>
                      </c:pt>
                      <c:pt idx="6">
                        <c:v>6.9640002250671396</c:v>
                      </c:pt>
                      <c:pt idx="7">
                        <c:v>7.01300001144409</c:v>
                      </c:pt>
                      <c:pt idx="8">
                        <c:v>7.1399998664856001</c:v>
                      </c:pt>
                      <c:pt idx="9">
                        <c:v>7.1609997749328604</c:v>
                      </c:pt>
                      <c:pt idx="10">
                        <c:v>7.1539998054504403</c:v>
                      </c:pt>
                      <c:pt idx="11">
                        <c:v>7.2270002365112296</c:v>
                      </c:pt>
                      <c:pt idx="12">
                        <c:v>7.2870001792907697</c:v>
                      </c:pt>
                      <c:pt idx="13">
                        <c:v>7.3109998703002903</c:v>
                      </c:pt>
                      <c:pt idx="14">
                        <c:v>7.3470001220703098</c:v>
                      </c:pt>
                      <c:pt idx="15">
                        <c:v>7.3649997711181596</c:v>
                      </c:pt>
                      <c:pt idx="16">
                        <c:v>7.3810000419616699</c:v>
                      </c:pt>
                      <c:pt idx="17">
                        <c:v>9.2959995269775408</c:v>
                      </c:pt>
                      <c:pt idx="18">
                        <c:v>11.201000213623001</c:v>
                      </c:pt>
                      <c:pt idx="19">
                        <c:v>13.1759996414185</c:v>
                      </c:pt>
                    </c:numCache>
                  </c:numRef>
                </c:val>
                <c:extLst xmlns:c15="http://schemas.microsoft.com/office/drawing/2012/chart">
                  <c:ext xmlns:c16="http://schemas.microsoft.com/office/drawing/2014/chart" uri="{C3380CC4-5D6E-409C-BE32-E72D297353CC}">
                    <c16:uniqueId val="{00000039-2CD5-419D-A9E9-D66F669F6406}"/>
                  </c:ext>
                </c:extLst>
              </c15:ser>
            </c15:filteredBarSeries>
            <c15:filteredBarSeries>
              <c15:ser>
                <c:idx val="58"/>
                <c:order val="58"/>
                <c:tx>
                  <c:strRef>
                    <c:extLst xmlns:c15="http://schemas.microsoft.com/office/drawing/2012/chart">
                      <c:ext xmlns:c15="http://schemas.microsoft.com/office/drawing/2012/chart" uri="{02D57815-91ED-43cb-92C2-25804820EDAC}">
                        <c15:formulaRef>
                          <c15:sqref>'Data LM'!$A$57</c15:sqref>
                        </c15:formulaRef>
                      </c:ext>
                    </c:extLst>
                    <c:strCache>
                      <c:ptCount val="1"/>
                      <c:pt idx="0">
                        <c:v>Unemployment, youth female (% of female labor force ages 15-24) (national estimate)</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LM'!$C$57:$V$57</c15:sqref>
                        </c15:formulaRef>
                      </c:ext>
                    </c:extLst>
                    <c:numCache>
                      <c:formatCode>0.0</c:formatCode>
                      <c:ptCount val="20"/>
                      <c:pt idx="0">
                        <c:v>0</c:v>
                      </c:pt>
                      <c:pt idx="1">
                        <c:v>0</c:v>
                      </c:pt>
                      <c:pt idx="2">
                        <c:v>0</c:v>
                      </c:pt>
                      <c:pt idx="3">
                        <c:v>0</c:v>
                      </c:pt>
                      <c:pt idx="4">
                        <c:v>0</c:v>
                      </c:pt>
                      <c:pt idx="5">
                        <c:v>20.610000610351602</c:v>
                      </c:pt>
                      <c:pt idx="6">
                        <c:v>20.610000610351602</c:v>
                      </c:pt>
                      <c:pt idx="7">
                        <c:v>0</c:v>
                      </c:pt>
                      <c:pt idx="8">
                        <c:v>0</c:v>
                      </c:pt>
                      <c:pt idx="9">
                        <c:v>0</c:v>
                      </c:pt>
                      <c:pt idx="10">
                        <c:v>0</c:v>
                      </c:pt>
                      <c:pt idx="11">
                        <c:v>0</c:v>
                      </c:pt>
                      <c:pt idx="12">
                        <c:v>0</c:v>
                      </c:pt>
                      <c:pt idx="13">
                        <c:v>0</c:v>
                      </c:pt>
                      <c:pt idx="14">
                        <c:v>0</c:v>
                      </c:pt>
                      <c:pt idx="15">
                        <c:v>0</c:v>
                      </c:pt>
                      <c:pt idx="16">
                        <c:v>7.4299998283386204</c:v>
                      </c:pt>
                      <c:pt idx="17">
                        <c:v>0</c:v>
                      </c:pt>
                      <c:pt idx="18">
                        <c:v>0</c:v>
                      </c:pt>
                      <c:pt idx="19">
                        <c:v>13.8400001525879</c:v>
                      </c:pt>
                    </c:numCache>
                  </c:numRef>
                </c:val>
                <c:extLst xmlns:c15="http://schemas.microsoft.com/office/drawing/2012/chart">
                  <c:ext xmlns:c16="http://schemas.microsoft.com/office/drawing/2014/chart" uri="{C3380CC4-5D6E-409C-BE32-E72D297353CC}">
                    <c16:uniqueId val="{0000003A-2CD5-419D-A9E9-D66F669F6406}"/>
                  </c:ext>
                </c:extLst>
              </c15:ser>
            </c15:filteredBarSeries>
            <c15:filteredBarSeries>
              <c15:ser>
                <c:idx val="59"/>
                <c:order val="59"/>
                <c:tx>
                  <c:strRef>
                    <c:extLst xmlns:c15="http://schemas.microsoft.com/office/drawing/2012/chart">
                      <c:ext xmlns:c15="http://schemas.microsoft.com/office/drawing/2012/chart" uri="{02D57815-91ED-43cb-92C2-25804820EDAC}">
                        <c15:formulaRef>
                          <c15:sqref>'Data LM'!$A$58</c15:sqref>
                        </c15:formulaRef>
                      </c:ext>
                    </c:extLst>
                    <c:strCache>
                      <c:ptCount val="1"/>
                      <c:pt idx="0">
                        <c:v>Unemployment, youth male (% of male labor force ages 15-24) (modeled ILO estimate)</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LM'!$C$58:$V$58</c15:sqref>
                        </c15:formulaRef>
                      </c:ext>
                    </c:extLst>
                    <c:numCache>
                      <c:formatCode>0.0</c:formatCode>
                      <c:ptCount val="20"/>
                      <c:pt idx="0">
                        <c:v>6.67799997329712</c:v>
                      </c:pt>
                      <c:pt idx="1">
                        <c:v>6.6550002098083496</c:v>
                      </c:pt>
                      <c:pt idx="2">
                        <c:v>6.7059998512268102</c:v>
                      </c:pt>
                      <c:pt idx="3">
                        <c:v>6.69700002670288</c:v>
                      </c:pt>
                      <c:pt idx="4">
                        <c:v>6.6979999542236301</c:v>
                      </c:pt>
                      <c:pt idx="5">
                        <c:v>6.7259998321533203</c:v>
                      </c:pt>
                      <c:pt idx="6">
                        <c:v>6.7779998779296902</c:v>
                      </c:pt>
                      <c:pt idx="7">
                        <c:v>6.8390002250671396</c:v>
                      </c:pt>
                      <c:pt idx="8">
                        <c:v>6.9860000610351598</c:v>
                      </c:pt>
                      <c:pt idx="9">
                        <c:v>7.0139999389648402</c:v>
                      </c:pt>
                      <c:pt idx="10">
                        <c:v>7.0100002288818404</c:v>
                      </c:pt>
                      <c:pt idx="11">
                        <c:v>7.0939998626709002</c:v>
                      </c:pt>
                      <c:pt idx="12">
                        <c:v>7.1640000343322798</c:v>
                      </c:pt>
                      <c:pt idx="13">
                        <c:v>7.1919999122619602</c:v>
                      </c:pt>
                      <c:pt idx="14">
                        <c:v>7.2329998016357404</c:v>
                      </c:pt>
                      <c:pt idx="15">
                        <c:v>7.2529997825622603</c:v>
                      </c:pt>
                      <c:pt idx="16">
                        <c:v>7.2699999809265101</c:v>
                      </c:pt>
                      <c:pt idx="17">
                        <c:v>8.6630001068115199</c:v>
                      </c:pt>
                      <c:pt idx="18">
                        <c:v>10.055000305175801</c:v>
                      </c:pt>
                      <c:pt idx="19">
                        <c:v>11.519000053405801</c:v>
                      </c:pt>
                    </c:numCache>
                  </c:numRef>
                </c:val>
                <c:extLst xmlns:c15="http://schemas.microsoft.com/office/drawing/2012/chart">
                  <c:ext xmlns:c16="http://schemas.microsoft.com/office/drawing/2014/chart" uri="{C3380CC4-5D6E-409C-BE32-E72D297353CC}">
                    <c16:uniqueId val="{0000003B-2CD5-419D-A9E9-D66F669F6406}"/>
                  </c:ext>
                </c:extLst>
              </c15:ser>
            </c15:filteredBarSeries>
            <c15:filteredBarSeries>
              <c15:ser>
                <c:idx val="60"/>
                <c:order val="60"/>
                <c:tx>
                  <c:strRef>
                    <c:extLst xmlns:c15="http://schemas.microsoft.com/office/drawing/2012/chart">
                      <c:ext xmlns:c15="http://schemas.microsoft.com/office/drawing/2012/chart" uri="{02D57815-91ED-43cb-92C2-25804820EDAC}">
                        <c15:formulaRef>
                          <c15:sqref>'Data LM'!$A$59</c15:sqref>
                        </c15:formulaRef>
                      </c:ext>
                    </c:extLst>
                    <c:strCache>
                      <c:ptCount val="1"/>
                      <c:pt idx="0">
                        <c:v>Unemployment, youth male (% of male labor force ages 15-24) (national estimate)</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LM'!$C$59:$V$59</c15:sqref>
                        </c15:formulaRef>
                      </c:ext>
                    </c:extLst>
                    <c:numCache>
                      <c:formatCode>0.0</c:formatCode>
                      <c:ptCount val="20"/>
                      <c:pt idx="0">
                        <c:v>0</c:v>
                      </c:pt>
                      <c:pt idx="1">
                        <c:v>0</c:v>
                      </c:pt>
                      <c:pt idx="2">
                        <c:v>0</c:v>
                      </c:pt>
                      <c:pt idx="3">
                        <c:v>0</c:v>
                      </c:pt>
                      <c:pt idx="4">
                        <c:v>0</c:v>
                      </c:pt>
                      <c:pt idx="5">
                        <c:v>18.879999160766602</c:v>
                      </c:pt>
                      <c:pt idx="6">
                        <c:v>18.879999160766602</c:v>
                      </c:pt>
                      <c:pt idx="7">
                        <c:v>0</c:v>
                      </c:pt>
                      <c:pt idx="8">
                        <c:v>0</c:v>
                      </c:pt>
                      <c:pt idx="9">
                        <c:v>0</c:v>
                      </c:pt>
                      <c:pt idx="10">
                        <c:v>0</c:v>
                      </c:pt>
                      <c:pt idx="11">
                        <c:v>0</c:v>
                      </c:pt>
                      <c:pt idx="12">
                        <c:v>0</c:v>
                      </c:pt>
                      <c:pt idx="13">
                        <c:v>0</c:v>
                      </c:pt>
                      <c:pt idx="14">
                        <c:v>0</c:v>
                      </c:pt>
                      <c:pt idx="15">
                        <c:v>0</c:v>
                      </c:pt>
                      <c:pt idx="16">
                        <c:v>7.28999996185303</c:v>
                      </c:pt>
                      <c:pt idx="17">
                        <c:v>0</c:v>
                      </c:pt>
                      <c:pt idx="18">
                        <c:v>0</c:v>
                      </c:pt>
                      <c:pt idx="19">
                        <c:v>11.9799995422363</c:v>
                      </c:pt>
                    </c:numCache>
                  </c:numRef>
                </c:val>
                <c:extLst xmlns:c15="http://schemas.microsoft.com/office/drawing/2012/chart">
                  <c:ext xmlns:c16="http://schemas.microsoft.com/office/drawing/2014/chart" uri="{C3380CC4-5D6E-409C-BE32-E72D297353CC}">
                    <c16:uniqueId val="{0000003C-2CD5-419D-A9E9-D66F669F6406}"/>
                  </c:ext>
                </c:extLst>
              </c15:ser>
            </c15:filteredBarSeries>
            <c15:filteredBarSeries>
              <c15:ser>
                <c:idx val="61"/>
                <c:order val="61"/>
                <c:tx>
                  <c:strRef>
                    <c:extLst xmlns:c15="http://schemas.microsoft.com/office/drawing/2012/chart">
                      <c:ext xmlns:c15="http://schemas.microsoft.com/office/drawing/2012/chart" uri="{02D57815-91ED-43cb-92C2-25804820EDAC}">
                        <c15:formulaRef>
                          <c15:sqref>'Data LM'!$A$60</c15:sqref>
                        </c15:formulaRef>
                      </c:ext>
                    </c:extLst>
                    <c:strCache>
                      <c:ptCount val="1"/>
                      <c:pt idx="0">
                        <c:v>Unemployment, youth total (% of total labor force ages 15-24) (modeled ILO estimate)</c:v>
                      </c:pt>
                    </c:strCache>
                  </c:strRef>
                </c:tx>
                <c:spPr>
                  <a:solidFill>
                    <a:schemeClr val="accent2">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LM'!$C$60:$V$60</c15:sqref>
                        </c15:formulaRef>
                      </c:ext>
                    </c:extLst>
                    <c:numCache>
                      <c:formatCode>0.0</c:formatCode>
                      <c:ptCount val="20"/>
                      <c:pt idx="0">
                        <c:v>6.7880001068115199</c:v>
                      </c:pt>
                      <c:pt idx="1">
                        <c:v>6.7639999389648402</c:v>
                      </c:pt>
                      <c:pt idx="2">
                        <c:v>6.8119997978210396</c:v>
                      </c:pt>
                      <c:pt idx="3">
                        <c:v>6.8020000457763699</c:v>
                      </c:pt>
                      <c:pt idx="4">
                        <c:v>6.8010001182556197</c:v>
                      </c:pt>
                      <c:pt idx="5">
                        <c:v>6.8249998092651403</c:v>
                      </c:pt>
                      <c:pt idx="6">
                        <c:v>6.8720002174377397</c:v>
                      </c:pt>
                      <c:pt idx="7">
                        <c:v>6.9270000457763699</c:v>
                      </c:pt>
                      <c:pt idx="8">
                        <c:v>7.0630002021789604</c:v>
                      </c:pt>
                      <c:pt idx="9">
                        <c:v>7.0869998931884801</c:v>
                      </c:pt>
                      <c:pt idx="10">
                        <c:v>7.0819997787475604</c:v>
                      </c:pt>
                      <c:pt idx="11">
                        <c:v>7.1599998474121103</c:v>
                      </c:pt>
                      <c:pt idx="12">
                        <c:v>7.2249999046325701</c:v>
                      </c:pt>
                      <c:pt idx="13">
                        <c:v>7.25</c:v>
                      </c:pt>
                      <c:pt idx="14">
                        <c:v>7.2880001068115199</c:v>
                      </c:pt>
                      <c:pt idx="15">
                        <c:v>7.3080000877380398</c:v>
                      </c:pt>
                      <c:pt idx="16">
                        <c:v>7.3239998817443803</c:v>
                      </c:pt>
                      <c:pt idx="17">
                        <c:v>8.9709997177124006</c:v>
                      </c:pt>
                      <c:pt idx="18">
                        <c:v>10.616000175476101</c:v>
                      </c:pt>
                      <c:pt idx="19">
                        <c:v>12.3369998931885</c:v>
                      </c:pt>
                    </c:numCache>
                  </c:numRef>
                </c:val>
                <c:extLst xmlns:c15="http://schemas.microsoft.com/office/drawing/2012/chart">
                  <c:ext xmlns:c16="http://schemas.microsoft.com/office/drawing/2014/chart" uri="{C3380CC4-5D6E-409C-BE32-E72D297353CC}">
                    <c16:uniqueId val="{0000003D-2CD5-419D-A9E9-D66F669F6406}"/>
                  </c:ext>
                </c:extLst>
              </c15:ser>
            </c15:filteredBarSeries>
            <c15:filteredBarSeries>
              <c15:ser>
                <c:idx val="62"/>
                <c:order val="62"/>
                <c:tx>
                  <c:strRef>
                    <c:extLst xmlns:c15="http://schemas.microsoft.com/office/drawing/2012/chart">
                      <c:ext xmlns:c15="http://schemas.microsoft.com/office/drawing/2012/chart" uri="{02D57815-91ED-43cb-92C2-25804820EDAC}">
                        <c15:formulaRef>
                          <c15:sqref>'Data LM'!$A$61</c15:sqref>
                        </c15:formulaRef>
                      </c:ext>
                    </c:extLst>
                    <c:strCache>
                      <c:ptCount val="1"/>
                      <c:pt idx="0">
                        <c:v>Unemployment, youth total (% of total labor force ages 15-24) (national estimate)</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LM'!$C$61:$V$61</c15:sqref>
                        </c15:formulaRef>
                      </c:ext>
                    </c:extLst>
                    <c:numCache>
                      <c:formatCode>0.0</c:formatCode>
                      <c:ptCount val="20"/>
                      <c:pt idx="0">
                        <c:v>0</c:v>
                      </c:pt>
                      <c:pt idx="1">
                        <c:v>0</c:v>
                      </c:pt>
                      <c:pt idx="2">
                        <c:v>0</c:v>
                      </c:pt>
                      <c:pt idx="3">
                        <c:v>0</c:v>
                      </c:pt>
                      <c:pt idx="4">
                        <c:v>0</c:v>
                      </c:pt>
                      <c:pt idx="5">
                        <c:v>19.649999618530298</c:v>
                      </c:pt>
                      <c:pt idx="6">
                        <c:v>19.649999618530298</c:v>
                      </c:pt>
                      <c:pt idx="7">
                        <c:v>0</c:v>
                      </c:pt>
                      <c:pt idx="8">
                        <c:v>0</c:v>
                      </c:pt>
                      <c:pt idx="9">
                        <c:v>0</c:v>
                      </c:pt>
                      <c:pt idx="10">
                        <c:v>0</c:v>
                      </c:pt>
                      <c:pt idx="11">
                        <c:v>0</c:v>
                      </c:pt>
                      <c:pt idx="12">
                        <c:v>0</c:v>
                      </c:pt>
                      <c:pt idx="13">
                        <c:v>0</c:v>
                      </c:pt>
                      <c:pt idx="14">
                        <c:v>0</c:v>
                      </c:pt>
                      <c:pt idx="15">
                        <c:v>0</c:v>
                      </c:pt>
                      <c:pt idx="16">
                        <c:v>7.3600001335143999</c:v>
                      </c:pt>
                      <c:pt idx="17">
                        <c:v>0</c:v>
                      </c:pt>
                      <c:pt idx="18">
                        <c:v>0</c:v>
                      </c:pt>
                      <c:pt idx="19">
                        <c:v>12.8500003814697</c:v>
                      </c:pt>
                    </c:numCache>
                  </c:numRef>
                </c:val>
                <c:extLst xmlns:c15="http://schemas.microsoft.com/office/drawing/2012/chart">
                  <c:ext xmlns:c16="http://schemas.microsoft.com/office/drawing/2014/chart" uri="{C3380CC4-5D6E-409C-BE32-E72D297353CC}">
                    <c16:uniqueId val="{0000003E-2CD5-419D-A9E9-D66F669F6406}"/>
                  </c:ext>
                </c:extLst>
              </c15:ser>
            </c15:filteredBarSeries>
            <c15:filteredBarSeries>
              <c15:ser>
                <c:idx val="63"/>
                <c:order val="63"/>
                <c:tx>
                  <c:strRef>
                    <c:extLst xmlns:c15="http://schemas.microsoft.com/office/drawing/2012/chart">
                      <c:ext xmlns:c15="http://schemas.microsoft.com/office/drawing/2012/chart" uri="{02D57815-91ED-43cb-92C2-25804820EDAC}">
                        <c15:formulaRef>
                          <c15:sqref>'Data LM'!$A$62</c15:sqref>
                        </c15:formulaRef>
                      </c:ext>
                    </c:extLst>
                    <c:strCache>
                      <c:ptCount val="1"/>
                      <c:pt idx="0">
                        <c:v>Vulnerable employment, female (% of female employment) (modeled ILO estimate)</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LM'!$C$62:$V$62</c15:sqref>
                        </c15:formulaRef>
                      </c:ext>
                    </c:extLst>
                    <c:numCache>
                      <c:formatCode>0.0</c:formatCode>
                      <c:ptCount val="20"/>
                      <c:pt idx="0">
                        <c:v>73.260000228881808</c:v>
                      </c:pt>
                      <c:pt idx="1">
                        <c:v>74.3399982452393</c:v>
                      </c:pt>
                      <c:pt idx="2">
                        <c:v>75.120000839233398</c:v>
                      </c:pt>
                      <c:pt idx="3">
                        <c:v>75.889999389648509</c:v>
                      </c:pt>
                      <c:pt idx="4">
                        <c:v>76.279998779296903</c:v>
                      </c:pt>
                      <c:pt idx="5">
                        <c:v>76.619998931884695</c:v>
                      </c:pt>
                      <c:pt idx="6">
                        <c:v>77.080001831054602</c:v>
                      </c:pt>
                      <c:pt idx="7">
                        <c:v>75.439998626708999</c:v>
                      </c:pt>
                      <c:pt idx="8">
                        <c:v>74.040000915527301</c:v>
                      </c:pt>
                      <c:pt idx="9">
                        <c:v>72.369998931884695</c:v>
                      </c:pt>
                      <c:pt idx="10">
                        <c:v>70.610002517700195</c:v>
                      </c:pt>
                      <c:pt idx="11">
                        <c:v>68.740001678466797</c:v>
                      </c:pt>
                      <c:pt idx="12">
                        <c:v>67</c:v>
                      </c:pt>
                      <c:pt idx="13">
                        <c:v>65.310001373291001</c:v>
                      </c:pt>
                      <c:pt idx="14">
                        <c:v>63.679999351501394</c:v>
                      </c:pt>
                      <c:pt idx="15">
                        <c:v>62.039999008178697</c:v>
                      </c:pt>
                      <c:pt idx="16">
                        <c:v>60.470000267028801</c:v>
                      </c:pt>
                      <c:pt idx="17">
                        <c:v>59.3400011062622</c:v>
                      </c:pt>
                      <c:pt idx="18">
                        <c:v>58.2299995422363</c:v>
                      </c:pt>
                      <c:pt idx="19">
                        <c:v>57.130001068115199</c:v>
                      </c:pt>
                    </c:numCache>
                  </c:numRef>
                </c:val>
                <c:extLst xmlns:c15="http://schemas.microsoft.com/office/drawing/2012/chart">
                  <c:ext xmlns:c16="http://schemas.microsoft.com/office/drawing/2014/chart" uri="{C3380CC4-5D6E-409C-BE32-E72D297353CC}">
                    <c16:uniqueId val="{0000003F-2CD5-419D-A9E9-D66F669F6406}"/>
                  </c:ext>
                </c:extLst>
              </c15:ser>
            </c15:filteredBarSeries>
            <c15:filteredBarSeries>
              <c15:ser>
                <c:idx val="64"/>
                <c:order val="64"/>
                <c:tx>
                  <c:strRef>
                    <c:extLst xmlns:c15="http://schemas.microsoft.com/office/drawing/2012/chart">
                      <c:ext xmlns:c15="http://schemas.microsoft.com/office/drawing/2012/chart" uri="{02D57815-91ED-43cb-92C2-25804820EDAC}">
                        <c15:formulaRef>
                          <c15:sqref>'Data LM'!$A$63</c15:sqref>
                        </c15:formulaRef>
                      </c:ext>
                    </c:extLst>
                    <c:strCache>
                      <c:ptCount val="1"/>
                      <c:pt idx="0">
                        <c:v>Vulnerable employment, male (% of male employment) (modeled ILO estimate)</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LM'!$C$63:$V$63</c15:sqref>
                        </c15:formulaRef>
                      </c:ext>
                    </c:extLst>
                    <c:numCache>
                      <c:formatCode>0.0</c:formatCode>
                      <c:ptCount val="20"/>
                      <c:pt idx="0">
                        <c:v>47.159999847412095</c:v>
                      </c:pt>
                      <c:pt idx="1">
                        <c:v>49.340000152587905</c:v>
                      </c:pt>
                      <c:pt idx="2">
                        <c:v>51.539999008178697</c:v>
                      </c:pt>
                      <c:pt idx="3">
                        <c:v>53.590000152587805</c:v>
                      </c:pt>
                      <c:pt idx="4">
                        <c:v>54.890001296997099</c:v>
                      </c:pt>
                      <c:pt idx="5">
                        <c:v>55.949998855590898</c:v>
                      </c:pt>
                      <c:pt idx="6">
                        <c:v>57.289999008178704</c:v>
                      </c:pt>
                      <c:pt idx="7">
                        <c:v>55.5</c:v>
                      </c:pt>
                      <c:pt idx="8">
                        <c:v>54.820001602172795</c:v>
                      </c:pt>
                      <c:pt idx="9">
                        <c:v>53.5599975585938</c:v>
                      </c:pt>
                      <c:pt idx="10">
                        <c:v>51.749999046325698</c:v>
                      </c:pt>
                      <c:pt idx="11">
                        <c:v>50.100000381469805</c:v>
                      </c:pt>
                      <c:pt idx="12">
                        <c:v>48.8300008773804</c:v>
                      </c:pt>
                      <c:pt idx="13">
                        <c:v>47.53000164031981</c:v>
                      </c:pt>
                      <c:pt idx="14">
                        <c:v>46.349999427795453</c:v>
                      </c:pt>
                      <c:pt idx="15">
                        <c:v>45.170001983642592</c:v>
                      </c:pt>
                      <c:pt idx="16">
                        <c:v>44.120000362396262</c:v>
                      </c:pt>
                      <c:pt idx="17">
                        <c:v>43.300001621246338</c:v>
                      </c:pt>
                      <c:pt idx="18">
                        <c:v>42.310001850128174</c:v>
                      </c:pt>
                      <c:pt idx="19">
                        <c:v>41.380000114440925</c:v>
                      </c:pt>
                    </c:numCache>
                  </c:numRef>
                </c:val>
                <c:extLst xmlns:c15="http://schemas.microsoft.com/office/drawing/2012/chart">
                  <c:ext xmlns:c16="http://schemas.microsoft.com/office/drawing/2014/chart" uri="{C3380CC4-5D6E-409C-BE32-E72D297353CC}">
                    <c16:uniqueId val="{00000040-2CD5-419D-A9E9-D66F669F6406}"/>
                  </c:ext>
                </c:extLst>
              </c15:ser>
            </c15:filteredBarSeries>
            <c15:filteredBarSeries>
              <c15:ser>
                <c:idx val="65"/>
                <c:order val="65"/>
                <c:tx>
                  <c:strRef>
                    <c:extLst xmlns:c15="http://schemas.microsoft.com/office/drawing/2012/chart">
                      <c:ext xmlns:c15="http://schemas.microsoft.com/office/drawing/2012/chart" uri="{02D57815-91ED-43cb-92C2-25804820EDAC}">
                        <c15:formulaRef>
                          <c15:sqref>'Data LM'!$A$64</c15:sqref>
                        </c15:formulaRef>
                      </c:ext>
                    </c:extLst>
                    <c:strCache>
                      <c:ptCount val="1"/>
                      <c:pt idx="0">
                        <c:v>Vulnerable employment, total (% of total employment) (modeled ILO estimate)</c:v>
                      </c:pt>
                    </c:strCache>
                  </c:strRef>
                </c:tx>
                <c:spPr>
                  <a:solidFill>
                    <a:schemeClr val="accent6">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LM'!$C$64:$V$64</c15:sqref>
                        </c15:formulaRef>
                      </c:ext>
                    </c:extLst>
                    <c:numCache>
                      <c:formatCode>0.0</c:formatCode>
                      <c:ptCount val="20"/>
                      <c:pt idx="0">
                        <c:v>59.989997863769503</c:v>
                      </c:pt>
                      <c:pt idx="1">
                        <c:v>61.530002593994197</c:v>
                      </c:pt>
                      <c:pt idx="2">
                        <c:v>62.960000991821303</c:v>
                      </c:pt>
                      <c:pt idx="3">
                        <c:v>64.280000686645508</c:v>
                      </c:pt>
                      <c:pt idx="4">
                        <c:v>65.049999237060504</c:v>
                      </c:pt>
                      <c:pt idx="5">
                        <c:v>65.670001983642493</c:v>
                      </c:pt>
                      <c:pt idx="6">
                        <c:v>66.640001296997099</c:v>
                      </c:pt>
                      <c:pt idx="7">
                        <c:v>64.93000030517581</c:v>
                      </c:pt>
                      <c:pt idx="8">
                        <c:v>63.950000762939503</c:v>
                      </c:pt>
                      <c:pt idx="9">
                        <c:v>62.510000228881907</c:v>
                      </c:pt>
                      <c:pt idx="10">
                        <c:v>60.75</c:v>
                      </c:pt>
                      <c:pt idx="11">
                        <c:v>59.020000457763601</c:v>
                      </c:pt>
                      <c:pt idx="12">
                        <c:v>57.559999465942298</c:v>
                      </c:pt>
                      <c:pt idx="13">
                        <c:v>56.0900011062622</c:v>
                      </c:pt>
                      <c:pt idx="14">
                        <c:v>54.720001220703097</c:v>
                      </c:pt>
                      <c:pt idx="15">
                        <c:v>53.319999694824226</c:v>
                      </c:pt>
                      <c:pt idx="16">
                        <c:v>52.050001144409144</c:v>
                      </c:pt>
                      <c:pt idx="17">
                        <c:v>51.110000610351591</c:v>
                      </c:pt>
                      <c:pt idx="18">
                        <c:v>50.100000381469741</c:v>
                      </c:pt>
                      <c:pt idx="19">
                        <c:v>49.100001335144015</c:v>
                      </c:pt>
                    </c:numCache>
                  </c:numRef>
                </c:val>
                <c:extLst xmlns:c15="http://schemas.microsoft.com/office/drawing/2012/chart">
                  <c:ext xmlns:c16="http://schemas.microsoft.com/office/drawing/2014/chart" uri="{C3380CC4-5D6E-409C-BE32-E72D297353CC}">
                    <c16:uniqueId val="{00000041-2CD5-419D-A9E9-D66F669F6406}"/>
                  </c:ext>
                </c:extLst>
              </c15:ser>
            </c15:filteredBarSeries>
            <c15:filteredBarSeries>
              <c15:ser>
                <c:idx val="66"/>
                <c:order val="66"/>
                <c:tx>
                  <c:strRef>
                    <c:extLst xmlns:c15="http://schemas.microsoft.com/office/drawing/2012/chart">
                      <c:ext xmlns:c15="http://schemas.microsoft.com/office/drawing/2012/chart" uri="{02D57815-91ED-43cb-92C2-25804820EDAC}">
                        <c15:formulaRef>
                          <c15:sqref>'Data LM'!$A$65</c15:sqref>
                        </c15:formulaRef>
                      </c:ext>
                    </c:extLst>
                    <c:strCache>
                      <c:ptCount val="1"/>
                      <c:pt idx="0">
                        <c:v>Wage and salaried workers, female (% of female employment) (modeled ILO estimate)</c:v>
                      </c:pt>
                    </c:strCache>
                  </c:strRef>
                </c:tx>
                <c:spPr>
                  <a:solidFill>
                    <a:schemeClr val="accent1">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LM'!$C$65:$V$65</c15:sqref>
                        </c15:formulaRef>
                      </c:ext>
                    </c:extLst>
                    <c:numCache>
                      <c:formatCode>0.0</c:formatCode>
                      <c:ptCount val="20"/>
                      <c:pt idx="0">
                        <c:v>20.440000534057599</c:v>
                      </c:pt>
                      <c:pt idx="1">
                        <c:v>20.680000305175799</c:v>
                      </c:pt>
                      <c:pt idx="2">
                        <c:v>20.9899997711182</c:v>
                      </c:pt>
                      <c:pt idx="3">
                        <c:v>21.100000381469702</c:v>
                      </c:pt>
                      <c:pt idx="4">
                        <c:v>21.389999389648398</c:v>
                      </c:pt>
                      <c:pt idx="5">
                        <c:v>21.590000152587901</c:v>
                      </c:pt>
                      <c:pt idx="6">
                        <c:v>21.549999237060501</c:v>
                      </c:pt>
                      <c:pt idx="7">
                        <c:v>23.459999084472699</c:v>
                      </c:pt>
                      <c:pt idx="8">
                        <c:v>25.090000152587901</c:v>
                      </c:pt>
                      <c:pt idx="9">
                        <c:v>26.930000305175799</c:v>
                      </c:pt>
                      <c:pt idx="10">
                        <c:v>28.819999694824201</c:v>
                      </c:pt>
                      <c:pt idx="11">
                        <c:v>30.809999465942401</c:v>
                      </c:pt>
                      <c:pt idx="12">
                        <c:v>32.639999389648402</c:v>
                      </c:pt>
                      <c:pt idx="13">
                        <c:v>34.409999847412102</c:v>
                      </c:pt>
                      <c:pt idx="14">
                        <c:v>36.099998474121101</c:v>
                      </c:pt>
                      <c:pt idx="15">
                        <c:v>37.790000915527301</c:v>
                      </c:pt>
                      <c:pt idx="16">
                        <c:v>39.389999389648402</c:v>
                      </c:pt>
                      <c:pt idx="17">
                        <c:v>40.540000915527301</c:v>
                      </c:pt>
                      <c:pt idx="18">
                        <c:v>41.659999847412102</c:v>
                      </c:pt>
                      <c:pt idx="19">
                        <c:v>42.7700004577637</c:v>
                      </c:pt>
                    </c:numCache>
                  </c:numRef>
                </c:val>
                <c:extLst xmlns:c15="http://schemas.microsoft.com/office/drawing/2012/chart">
                  <c:ext xmlns:c16="http://schemas.microsoft.com/office/drawing/2014/chart" uri="{C3380CC4-5D6E-409C-BE32-E72D297353CC}">
                    <c16:uniqueId val="{00000042-2CD5-419D-A9E9-D66F669F6406}"/>
                  </c:ext>
                </c:extLst>
              </c15:ser>
            </c15:filteredBarSeries>
            <c15:filteredBarSeries>
              <c15:ser>
                <c:idx val="67"/>
                <c:order val="67"/>
                <c:tx>
                  <c:strRef>
                    <c:extLst xmlns:c15="http://schemas.microsoft.com/office/drawing/2012/chart">
                      <c:ext xmlns:c15="http://schemas.microsoft.com/office/drawing/2012/chart" uri="{02D57815-91ED-43cb-92C2-25804820EDAC}">
                        <c15:formulaRef>
                          <c15:sqref>'Data LM'!$A$66</c15:sqref>
                        </c15:formulaRef>
                      </c:ext>
                    </c:extLst>
                    <c:strCache>
                      <c:ptCount val="1"/>
                      <c:pt idx="0">
                        <c:v>Wage and salaried workers, male (% of male employment) (modeled ILO estimate)</c:v>
                      </c:pt>
                    </c:strCache>
                  </c:strRef>
                </c:tx>
                <c:spPr>
                  <a:solidFill>
                    <a:schemeClr val="accent2">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LM'!$C$66:$V$66</c15:sqref>
                        </c15:formulaRef>
                      </c:ext>
                    </c:extLst>
                    <c:numCache>
                      <c:formatCode>0.0</c:formatCode>
                      <c:ptCount val="20"/>
                      <c:pt idx="0">
                        <c:v>46.529998779296903</c:v>
                      </c:pt>
                      <c:pt idx="1">
                        <c:v>45.25</c:v>
                      </c:pt>
                      <c:pt idx="2">
                        <c:v>43.840000152587898</c:v>
                      </c:pt>
                      <c:pt idx="3">
                        <c:v>42.509998321533203</c:v>
                      </c:pt>
                      <c:pt idx="4">
                        <c:v>41.810001373291001</c:v>
                      </c:pt>
                      <c:pt idx="5">
                        <c:v>41.2700004577637</c:v>
                      </c:pt>
                      <c:pt idx="6">
                        <c:v>40.360000610351598</c:v>
                      </c:pt>
                      <c:pt idx="7">
                        <c:v>42.549999237060497</c:v>
                      </c:pt>
                      <c:pt idx="8">
                        <c:v>43.580001831054702</c:v>
                      </c:pt>
                      <c:pt idx="9">
                        <c:v>45.099998474121101</c:v>
                      </c:pt>
                      <c:pt idx="10">
                        <c:v>47.130001068115199</c:v>
                      </c:pt>
                      <c:pt idx="11">
                        <c:v>48.9799995422363</c:v>
                      </c:pt>
                      <c:pt idx="12">
                        <c:v>50.419998168945298</c:v>
                      </c:pt>
                      <c:pt idx="13">
                        <c:v>51.849998474121101</c:v>
                      </c:pt>
                      <c:pt idx="14">
                        <c:v>53.150001525878899</c:v>
                      </c:pt>
                      <c:pt idx="15">
                        <c:v>54.419998168945298</c:v>
                      </c:pt>
                      <c:pt idx="16">
                        <c:v>55.540000915527301</c:v>
                      </c:pt>
                      <c:pt idx="17">
                        <c:v>56.409999847412102</c:v>
                      </c:pt>
                      <c:pt idx="18">
                        <c:v>57.419998168945298</c:v>
                      </c:pt>
                      <c:pt idx="19">
                        <c:v>58.369998931884801</c:v>
                      </c:pt>
                    </c:numCache>
                  </c:numRef>
                </c:val>
                <c:extLst xmlns:c15="http://schemas.microsoft.com/office/drawing/2012/chart">
                  <c:ext xmlns:c16="http://schemas.microsoft.com/office/drawing/2014/chart" uri="{C3380CC4-5D6E-409C-BE32-E72D297353CC}">
                    <c16:uniqueId val="{00000043-2CD5-419D-A9E9-D66F669F6406}"/>
                  </c:ext>
                </c:extLst>
              </c15:ser>
            </c15:filteredBarSeries>
            <c15:filteredBarSeries>
              <c15:ser>
                <c:idx val="68"/>
                <c:order val="68"/>
                <c:tx>
                  <c:strRef>
                    <c:extLst xmlns:c15="http://schemas.microsoft.com/office/drawing/2012/chart">
                      <c:ext xmlns:c15="http://schemas.microsoft.com/office/drawing/2012/chart" uri="{02D57815-91ED-43cb-92C2-25804820EDAC}">
                        <c15:formulaRef>
                          <c15:sqref>'Data LM'!$A$67</c15:sqref>
                        </c15:formulaRef>
                      </c:ext>
                    </c:extLst>
                    <c:strCache>
                      <c:ptCount val="1"/>
                      <c:pt idx="0">
                        <c:v>Wage and salaried workers, total (% of total employment) (modeled ILO estimate)</c:v>
                      </c:pt>
                    </c:strCache>
                  </c:strRef>
                </c:tx>
                <c:spPr>
                  <a:solidFill>
                    <a:schemeClr val="accent3">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LM'!$C$67:$V$67</c15:sqref>
                        </c15:formulaRef>
                      </c:ext>
                    </c:extLst>
                    <c:numCache>
                      <c:formatCode>0.0</c:formatCode>
                      <c:ptCount val="20"/>
                      <c:pt idx="0">
                        <c:v>33.709999084472699</c:v>
                      </c:pt>
                      <c:pt idx="1">
                        <c:v>33.2700004577637</c:v>
                      </c:pt>
                      <c:pt idx="2">
                        <c:v>32.779998779296903</c:v>
                      </c:pt>
                      <c:pt idx="3">
                        <c:v>32.240001678466797</c:v>
                      </c:pt>
                      <c:pt idx="4">
                        <c:v>32.110000610351598</c:v>
                      </c:pt>
                      <c:pt idx="5">
                        <c:v>32.009998321533203</c:v>
                      </c:pt>
                      <c:pt idx="6">
                        <c:v>31.4799995422363</c:v>
                      </c:pt>
                      <c:pt idx="7">
                        <c:v>33.5200004577637</c:v>
                      </c:pt>
                      <c:pt idx="8">
                        <c:v>34.790000915527301</c:v>
                      </c:pt>
                      <c:pt idx="9">
                        <c:v>36.439998626708999</c:v>
                      </c:pt>
                      <c:pt idx="10">
                        <c:v>38.389999389648402</c:v>
                      </c:pt>
                      <c:pt idx="11">
                        <c:v>40.279998779296903</c:v>
                      </c:pt>
                      <c:pt idx="12">
                        <c:v>41.880001068115199</c:v>
                      </c:pt>
                      <c:pt idx="13">
                        <c:v>43.450000762939503</c:v>
                      </c:pt>
                      <c:pt idx="14">
                        <c:v>44.919998168945298</c:v>
                      </c:pt>
                      <c:pt idx="15">
                        <c:v>46.380001068115199</c:v>
                      </c:pt>
                      <c:pt idx="16">
                        <c:v>47.709999084472699</c:v>
                      </c:pt>
                      <c:pt idx="17">
                        <c:v>48.680000305175803</c:v>
                      </c:pt>
                      <c:pt idx="18">
                        <c:v>49.709999084472699</c:v>
                      </c:pt>
                      <c:pt idx="19">
                        <c:v>50.7299995422363</c:v>
                      </c:pt>
                    </c:numCache>
                  </c:numRef>
                </c:val>
                <c:extLst xmlns:c15="http://schemas.microsoft.com/office/drawing/2012/chart">
                  <c:ext xmlns:c16="http://schemas.microsoft.com/office/drawing/2014/chart" uri="{C3380CC4-5D6E-409C-BE32-E72D297353CC}">
                    <c16:uniqueId val="{00000044-2CD5-419D-A9E9-D66F669F6406}"/>
                  </c:ext>
                </c:extLst>
              </c15:ser>
            </c15:filteredBarSeries>
          </c:ext>
        </c:extLst>
      </c:barChart>
      <c:catAx>
        <c:axId val="183984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839858480"/>
        <c:crosses val="autoZero"/>
        <c:auto val="1"/>
        <c:lblAlgn val="ctr"/>
        <c:lblOffset val="100"/>
        <c:noMultiLvlLbl val="0"/>
      </c:catAx>
      <c:valAx>
        <c:axId val="18398584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crossAx val="1839849744"/>
        <c:crosses val="autoZero"/>
        <c:crossBetween val="between"/>
      </c:valAx>
      <c:spPr>
        <a:noFill/>
        <a:ln>
          <a:noFill/>
        </a:ln>
        <a:effectLst/>
      </c:spPr>
    </c:plotArea>
    <c:legend>
      <c:legendPos val="b"/>
      <c:layout>
        <c:manualLayout>
          <c:xMode val="edge"/>
          <c:yMode val="edge"/>
          <c:x val="5.3174675280974491E-2"/>
          <c:y val="0.78804916212396525"/>
          <c:w val="0.89365048118985124"/>
          <c:h val="0.2021421360791439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(a) Labour force participation rates (% of 15+ population)</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lineChart>
        <c:grouping val="standard"/>
        <c:varyColors val="0"/>
        <c:ser>
          <c:idx val="11"/>
          <c:order val="11"/>
          <c:tx>
            <c:strRef>
              <c:f>'Data LM'!#REF!</c:f>
              <c:strCache>
                <c:ptCount val="1"/>
                <c:pt idx="0">
                  <c:v>#REF!</c:v>
                </c:pt>
              </c:strCache>
              <c:extLst xmlns:c15="http://schemas.microsoft.com/office/drawing/2012/chart"/>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D-0DBF-478B-9257-82BEBEB5411F}"/>
            </c:ext>
          </c:extLst>
        </c:ser>
        <c:ser>
          <c:idx val="12"/>
          <c:order val="12"/>
          <c:tx>
            <c:strRef>
              <c:f>'Data LM'!#REF!</c:f>
              <c:strCache>
                <c:ptCount val="1"/>
                <c:pt idx="0">
                  <c:v>#REF!</c:v>
                </c:pt>
              </c:strCache>
              <c:extLst xmlns:c15="http://schemas.microsoft.com/office/drawing/2012/chart"/>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E-0DBF-478B-9257-82BEBEB5411F}"/>
            </c:ext>
          </c:extLst>
        </c:ser>
        <c:ser>
          <c:idx val="13"/>
          <c:order val="13"/>
          <c:tx>
            <c:strRef>
              <c:f>'Data LM'!#REF!</c:f>
              <c:strCache>
                <c:ptCount val="1"/>
                <c:pt idx="0">
                  <c:v>#REF!</c:v>
                </c:pt>
              </c:strCache>
              <c:extLst xmlns:c15="http://schemas.microsoft.com/office/drawing/2012/chart"/>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F-0DBF-478B-9257-82BEBEB5411F}"/>
            </c:ext>
          </c:extLst>
        </c:ser>
        <c:ser>
          <c:idx val="20"/>
          <c:order val="20"/>
          <c:tx>
            <c:strRef>
              <c:f>'Data LM'!$A$19</c:f>
              <c:strCache>
                <c:ptCount val="1"/>
                <c:pt idx="0">
                  <c:v>Labor force participation rate, female (% of female population ages 15+) (modeled ILO estimate)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c:numRef>
          </c:cat>
          <c:val>
            <c:numRef>
              <c:f>'Data LM'!$C$19:$X$19</c:f>
              <c:numCache>
                <c:formatCode>0.0</c:formatCode>
                <c:ptCount val="22"/>
                <c:pt idx="0">
                  <c:v>70.485000610351605</c:v>
                </c:pt>
                <c:pt idx="1">
                  <c:v>70.543998718261705</c:v>
                </c:pt>
                <c:pt idx="2">
                  <c:v>70.603996276855497</c:v>
                </c:pt>
                <c:pt idx="3">
                  <c:v>70.664001464843807</c:v>
                </c:pt>
                <c:pt idx="4">
                  <c:v>70.722999572753906</c:v>
                </c:pt>
                <c:pt idx="5">
                  <c:v>70.782997131347699</c:v>
                </c:pt>
                <c:pt idx="6">
                  <c:v>70.843002319335895</c:v>
                </c:pt>
                <c:pt idx="7">
                  <c:v>70.902999877929702</c:v>
                </c:pt>
                <c:pt idx="8">
                  <c:v>70.962997436523395</c:v>
                </c:pt>
                <c:pt idx="9">
                  <c:v>71.023002624511705</c:v>
                </c:pt>
                <c:pt idx="10">
                  <c:v>71.083000183105497</c:v>
                </c:pt>
                <c:pt idx="11">
                  <c:v>71.141998291015597</c:v>
                </c:pt>
                <c:pt idx="12">
                  <c:v>71.202003479003906</c:v>
                </c:pt>
                <c:pt idx="13">
                  <c:v>71.261001586914105</c:v>
                </c:pt>
                <c:pt idx="14">
                  <c:v>71.320999145507798</c:v>
                </c:pt>
                <c:pt idx="15">
                  <c:v>71.379997253417997</c:v>
                </c:pt>
                <c:pt idx="16">
                  <c:v>71.440002441406307</c:v>
                </c:pt>
                <c:pt idx="17">
                  <c:v>71.643997192382798</c:v>
                </c:pt>
                <c:pt idx="18">
                  <c:v>71.859001159667997</c:v>
                </c:pt>
                <c:pt idx="19">
                  <c:v>72.085998535156307</c:v>
                </c:pt>
                <c:pt idx="20">
                  <c:v>70.845001220703097</c:v>
                </c:pt>
                <c:pt idx="21">
                  <c:v>70.984001159667997</c:v>
                </c:pt>
              </c:numCache>
              <c:extLst/>
            </c:numRef>
          </c:val>
          <c:smooth val="0"/>
          <c:extLst>
            <c:ext xmlns:c16="http://schemas.microsoft.com/office/drawing/2014/chart" uri="{C3380CC4-5D6E-409C-BE32-E72D297353CC}">
              <c16:uniqueId val="{00000000-0DBF-478B-9257-82BEBEB5411F}"/>
            </c:ext>
          </c:extLst>
        </c:ser>
        <c:ser>
          <c:idx val="23"/>
          <c:order val="23"/>
          <c:tx>
            <c:strRef>
              <c:f>'Data LM'!$A$22</c:f>
              <c:strCache>
                <c:ptCount val="1"/>
                <c:pt idx="0">
                  <c:v>Labor force participation rate, male (% of male population ages 15+) (modeled ILO estimate)</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c:numRef>
          </c:cat>
          <c:val>
            <c:numRef>
              <c:f>'Data LM'!$C$22:$X$22</c:f>
              <c:numCache>
                <c:formatCode>0.0</c:formatCode>
                <c:ptCount val="22"/>
                <c:pt idx="0">
                  <c:v>74.610000610351605</c:v>
                </c:pt>
                <c:pt idx="1">
                  <c:v>74.795997619628906</c:v>
                </c:pt>
                <c:pt idx="2">
                  <c:v>74.981002807617202</c:v>
                </c:pt>
                <c:pt idx="3">
                  <c:v>75.165000915527301</c:v>
                </c:pt>
                <c:pt idx="4">
                  <c:v>75.347999572753906</c:v>
                </c:pt>
                <c:pt idx="5">
                  <c:v>75.529998779296903</c:v>
                </c:pt>
                <c:pt idx="6">
                  <c:v>75.711997985839801</c:v>
                </c:pt>
                <c:pt idx="7">
                  <c:v>75.891998291015597</c:v>
                </c:pt>
                <c:pt idx="8">
                  <c:v>76.071998596191406</c:v>
                </c:pt>
                <c:pt idx="9">
                  <c:v>76.250999450683594</c:v>
                </c:pt>
                <c:pt idx="10">
                  <c:v>76.429000854492202</c:v>
                </c:pt>
                <c:pt idx="11">
                  <c:v>76.607002258300795</c:v>
                </c:pt>
                <c:pt idx="12">
                  <c:v>76.782997131347699</c:v>
                </c:pt>
                <c:pt idx="13">
                  <c:v>76.958000183105497</c:v>
                </c:pt>
                <c:pt idx="14">
                  <c:v>77.132003784179702</c:v>
                </c:pt>
                <c:pt idx="15">
                  <c:v>77.305000305175795</c:v>
                </c:pt>
                <c:pt idx="16">
                  <c:v>77.477996826171903</c:v>
                </c:pt>
                <c:pt idx="17">
                  <c:v>77.000999450683594</c:v>
                </c:pt>
                <c:pt idx="18">
                  <c:v>76.505996704101605</c:v>
                </c:pt>
                <c:pt idx="19">
                  <c:v>75.986999511718807</c:v>
                </c:pt>
                <c:pt idx="20">
                  <c:v>75.402999877929702</c:v>
                </c:pt>
                <c:pt idx="21">
                  <c:v>75.564002990722699</c:v>
                </c:pt>
              </c:numCache>
              <c:extLst/>
            </c:numRef>
          </c:val>
          <c:smooth val="0"/>
          <c:extLst>
            <c:ext xmlns:c16="http://schemas.microsoft.com/office/drawing/2014/chart" uri="{C3380CC4-5D6E-409C-BE32-E72D297353CC}">
              <c16:uniqueId val="{00000001-0DBF-478B-9257-82BEBEB5411F}"/>
            </c:ext>
          </c:extLst>
        </c:ser>
        <c:dLbls>
          <c:showLegendKey val="0"/>
          <c:showVal val="0"/>
          <c:showCatName val="0"/>
          <c:showSerName val="0"/>
          <c:showPercent val="0"/>
          <c:showBubbleSize val="0"/>
        </c:dLbls>
        <c:marker val="1"/>
        <c:smooth val="0"/>
        <c:axId val="1839849744"/>
        <c:axId val="1839858480"/>
        <c:extLst>
          <c:ext xmlns:c15="http://schemas.microsoft.com/office/drawing/2012/chart" uri="{02D57815-91ED-43cb-92C2-25804820EDAC}">
            <c15:filteredLineSeries>
              <c15:ser>
                <c:idx val="0"/>
                <c:order val="0"/>
                <c:tx>
                  <c:strRef>
                    <c:extLst>
                      <c:ext uri="{02D57815-91ED-43cb-92C2-25804820EDAC}">
                        <c15:formulaRef>
                          <c15:sqref>'Data LM'!$A$2</c15:sqref>
                        </c15:formulaRef>
                      </c:ext>
                    </c:extLst>
                    <c:strCache>
                      <c:ptCount val="1"/>
                      <c:pt idx="0">
                        <c:v>Employment in agriculture (% of total employment) (modeled ILO estimate)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c:ext uri="{02D57815-91ED-43cb-92C2-25804820EDAC}">
                        <c15:formulaRef>
                          <c15:sqref>'Data LM'!$C$2:$X$2</c15:sqref>
                        </c15:formulaRef>
                      </c:ext>
                    </c:extLst>
                    <c:numCache>
                      <c:formatCode>0.0</c:formatCode>
                      <c:ptCount val="22"/>
                      <c:pt idx="0">
                        <c:v>48.7299995422363</c:v>
                      </c:pt>
                      <c:pt idx="1">
                        <c:v>51.5</c:v>
                      </c:pt>
                      <c:pt idx="2">
                        <c:v>54.279998779296903</c:v>
                      </c:pt>
                      <c:pt idx="3">
                        <c:v>56.759998321533203</c:v>
                      </c:pt>
                      <c:pt idx="4">
                        <c:v>58.930000305175803</c:v>
                      </c:pt>
                      <c:pt idx="5">
                        <c:v>61.060001373291001</c:v>
                      </c:pt>
                      <c:pt idx="6">
                        <c:v>61.139999389648402</c:v>
                      </c:pt>
                      <c:pt idx="7">
                        <c:v>60.970001220703097</c:v>
                      </c:pt>
                      <c:pt idx="8">
                        <c:v>61.110000610351598</c:v>
                      </c:pt>
                      <c:pt idx="9">
                        <c:v>60.939998626708999</c:v>
                      </c:pt>
                      <c:pt idx="10">
                        <c:v>60.319999694824197</c:v>
                      </c:pt>
                      <c:pt idx="11">
                        <c:v>59.740001678466797</c:v>
                      </c:pt>
                      <c:pt idx="12">
                        <c:v>59.220001220703097</c:v>
                      </c:pt>
                      <c:pt idx="13">
                        <c:v>58.590000152587898</c:v>
                      </c:pt>
                      <c:pt idx="14">
                        <c:v>57.939998626708999</c:v>
                      </c:pt>
                      <c:pt idx="15">
                        <c:v>57.259998321533203</c:v>
                      </c:pt>
                      <c:pt idx="16">
                        <c:v>56.529998779296903</c:v>
                      </c:pt>
                      <c:pt idx="17">
                        <c:v>55.860000610351598</c:v>
                      </c:pt>
                      <c:pt idx="18">
                        <c:v>55.080001831054702</c:v>
                      </c:pt>
                      <c:pt idx="19">
                        <c:v>54.340000152587898</c:v>
                      </c:pt>
                      <c:pt idx="20">
                        <c:v>0</c:v>
                      </c:pt>
                      <c:pt idx="21">
                        <c:v>0</c:v>
                      </c:pt>
                    </c:numCache>
                  </c:numRef>
                </c:val>
                <c:smooth val="0"/>
                <c:extLst>
                  <c:ext xmlns:c16="http://schemas.microsoft.com/office/drawing/2014/chart" uri="{C3380CC4-5D6E-409C-BE32-E72D297353CC}">
                    <c16:uniqueId val="{00000002-0DBF-478B-9257-82BEBEB5411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'Data LM'!$A$3</c15:sqref>
                        </c15:formulaRef>
                      </c:ext>
                    </c:extLst>
                    <c:strCache>
                      <c:ptCount val="1"/>
                      <c:pt idx="0">
                        <c:v>Agriculture modeled ILO estimate)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LM'!$C$3:$X$3</c15:sqref>
                        </c15:formulaRef>
                      </c:ext>
                    </c:extLst>
                    <c:numCache>
                      <c:formatCode>0.0</c:formatCode>
                      <c:ptCount val="22"/>
                      <c:pt idx="0">
                        <c:v>57.740001678466797</c:v>
                      </c:pt>
                      <c:pt idx="1">
                        <c:v>60.290000915527301</c:v>
                      </c:pt>
                      <c:pt idx="2">
                        <c:v>62.599998474121101</c:v>
                      </c:pt>
                      <c:pt idx="3">
                        <c:v>64.660003662109403</c:v>
                      </c:pt>
                      <c:pt idx="4">
                        <c:v>66.459999084472699</c:v>
                      </c:pt>
                      <c:pt idx="5">
                        <c:v>68.110000610351605</c:v>
                      </c:pt>
                      <c:pt idx="6">
                        <c:v>68.330001831054702</c:v>
                      </c:pt>
                      <c:pt idx="7">
                        <c:v>68.129997253417997</c:v>
                      </c:pt>
                      <c:pt idx="8">
                        <c:v>67.879997253417997</c:v>
                      </c:pt>
                      <c:pt idx="9">
                        <c:v>67.449996948242202</c:v>
                      </c:pt>
                      <c:pt idx="10">
                        <c:v>66.790000915527301</c:v>
                      </c:pt>
                      <c:pt idx="11">
                        <c:v>66.069999694824205</c:v>
                      </c:pt>
                      <c:pt idx="12">
                        <c:v>65.360000610351605</c:v>
                      </c:pt>
                      <c:pt idx="13">
                        <c:v>64.589996337890597</c:v>
                      </c:pt>
                      <c:pt idx="14">
                        <c:v>63.779998779296903</c:v>
                      </c:pt>
                      <c:pt idx="15">
                        <c:v>62.919998168945298</c:v>
                      </c:pt>
                      <c:pt idx="16">
                        <c:v>62.049999237060497</c:v>
                      </c:pt>
                      <c:pt idx="17">
                        <c:v>61.150001525878899</c:v>
                      </c:pt>
                      <c:pt idx="18">
                        <c:v>60.240001678466797</c:v>
                      </c:pt>
                      <c:pt idx="19">
                        <c:v>59.340000152587898</c:v>
                      </c:pt>
                      <c:pt idx="20">
                        <c:v>0</c:v>
                      </c:pt>
                      <c:pt idx="21">
                        <c:v>0</c:v>
                      </c:pt>
                    </c:numCache>
                  </c:numRef>
                </c:val>
                <c:smooth val="0"/>
                <c:extLst xmlns:c15="http://schemas.microsoft.com/office/drawing/2012/chart">
                  <c:ext xmlns:c16="http://schemas.microsoft.com/office/drawing/2014/chart" uri="{C3380CC4-5D6E-409C-BE32-E72D297353CC}">
                    <c16:uniqueId val="{00000003-0DBF-478B-9257-82BEBEB5411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'Data LM'!$A$4</c15:sqref>
                        </c15:formulaRef>
                      </c:ext>
                    </c:extLst>
                    <c:strCache>
                      <c:ptCount val="1"/>
                      <c:pt idx="0">
                        <c:v>Agriculture modeled ILO estimate)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LM'!$C$4:$X$4</c15:sqref>
                        </c15:formulaRef>
                      </c:ext>
                    </c:extLst>
                    <c:numCache>
                      <c:formatCode>0.0</c:formatCode>
                      <c:ptCount val="22"/>
                      <c:pt idx="0">
                        <c:v>40.009998321533203</c:v>
                      </c:pt>
                      <c:pt idx="1">
                        <c:v>43.130001068115199</c:v>
                      </c:pt>
                      <c:pt idx="2">
                        <c:v>46.470001220703097</c:v>
                      </c:pt>
                      <c:pt idx="3">
                        <c:v>49.4799995422363</c:v>
                      </c:pt>
                      <c:pt idx="4">
                        <c:v>52.110000610351598</c:v>
                      </c:pt>
                      <c:pt idx="5">
                        <c:v>54.799999237060497</c:v>
                      </c:pt>
                      <c:pt idx="6">
                        <c:v>54.720001220703097</c:v>
                      </c:pt>
                      <c:pt idx="7">
                        <c:v>54.540000915527301</c:v>
                      </c:pt>
                      <c:pt idx="8">
                        <c:v>54.9799995422363</c:v>
                      </c:pt>
                      <c:pt idx="9">
                        <c:v>55.009998321533203</c:v>
                      </c:pt>
                      <c:pt idx="10">
                        <c:v>54.409999847412102</c:v>
                      </c:pt>
                      <c:pt idx="11">
                        <c:v>53.919998168945298</c:v>
                      </c:pt>
                      <c:pt idx="12">
                        <c:v>53.540000915527301</c:v>
                      </c:pt>
                      <c:pt idx="13">
                        <c:v>53.009998321533203</c:v>
                      </c:pt>
                      <c:pt idx="14">
                        <c:v>52.5</c:v>
                      </c:pt>
                      <c:pt idx="15">
                        <c:v>51.939998626708999</c:v>
                      </c:pt>
                      <c:pt idx="16">
                        <c:v>51.330001831054702</c:v>
                      </c:pt>
                      <c:pt idx="17">
                        <c:v>50.830001831054702</c:v>
                      </c:pt>
                      <c:pt idx="18">
                        <c:v>50.139999389648402</c:v>
                      </c:pt>
                      <c:pt idx="19">
                        <c:v>49.549999237060497</c:v>
                      </c:pt>
                      <c:pt idx="20">
                        <c:v>0</c:v>
                      </c:pt>
                      <c:pt idx="21">
                        <c:v>0</c:v>
                      </c:pt>
                    </c:numCache>
                  </c:numRef>
                </c:val>
                <c:smooth val="0"/>
                <c:extLst xmlns:c15="http://schemas.microsoft.com/office/drawing/2012/chart">
                  <c:ext xmlns:c16="http://schemas.microsoft.com/office/drawing/2014/chart" uri="{C3380CC4-5D6E-409C-BE32-E72D297353CC}">
                    <c16:uniqueId val="{00000004-0DBF-478B-9257-82BEBEB5411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LM'!$A$5</c15:sqref>
                        </c15:formulaRef>
                      </c:ext>
                    </c:extLst>
                    <c:strCache>
                      <c:ptCount val="1"/>
                      <c:pt idx="0">
                        <c:v>Employment in industry (% of total employment) (modeled ILO estimate)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LM'!$C$5:$X$5</c15:sqref>
                        </c15:formulaRef>
                      </c:ext>
                    </c:extLst>
                    <c:numCache>
                      <c:formatCode>0.0</c:formatCode>
                      <c:ptCount val="22"/>
                      <c:pt idx="0">
                        <c:v>11.569999694824199</c:v>
                      </c:pt>
                      <c:pt idx="1">
                        <c:v>10.189999580383301</c:v>
                      </c:pt>
                      <c:pt idx="2">
                        <c:v>9.0500001907348597</c:v>
                      </c:pt>
                      <c:pt idx="3">
                        <c:v>8.0900001525878906</c:v>
                      </c:pt>
                      <c:pt idx="4">
                        <c:v>7.3400001525878897</c:v>
                      </c:pt>
                      <c:pt idx="5">
                        <c:v>6.6999998092651403</c:v>
                      </c:pt>
                      <c:pt idx="6">
                        <c:v>6.46000003814697</c:v>
                      </c:pt>
                      <c:pt idx="7">
                        <c:v>6.28999996185303</c:v>
                      </c:pt>
                      <c:pt idx="8">
                        <c:v>6.1300001144409197</c:v>
                      </c:pt>
                      <c:pt idx="9">
                        <c:v>6.03999996185303</c:v>
                      </c:pt>
                      <c:pt idx="10">
                        <c:v>6.0100002288818404</c:v>
                      </c:pt>
                      <c:pt idx="11">
                        <c:v>6.0100002288818404</c:v>
                      </c:pt>
                      <c:pt idx="12">
                        <c:v>6.0100002288818404</c:v>
                      </c:pt>
                      <c:pt idx="13">
                        <c:v>6.0300002098083496</c:v>
                      </c:pt>
                      <c:pt idx="14">
                        <c:v>6.0599999427795401</c:v>
                      </c:pt>
                      <c:pt idx="15">
                        <c:v>6.0900001525878897</c:v>
                      </c:pt>
                      <c:pt idx="16">
                        <c:v>6.1300001144409197</c:v>
                      </c:pt>
                      <c:pt idx="17">
                        <c:v>6.1599998474121103</c:v>
                      </c:pt>
                      <c:pt idx="18">
                        <c:v>6.1900000572204599</c:v>
                      </c:pt>
                      <c:pt idx="19">
                        <c:v>6.2199997901916504</c:v>
                      </c:pt>
                      <c:pt idx="20">
                        <c:v>0</c:v>
                      </c:pt>
                      <c:pt idx="21">
                        <c:v>0</c:v>
                      </c:pt>
                    </c:numCache>
                  </c:numRef>
                </c:val>
                <c:smooth val="0"/>
                <c:extLst xmlns:c15="http://schemas.microsoft.com/office/drawing/2012/chart">
                  <c:ext xmlns:c16="http://schemas.microsoft.com/office/drawing/2014/chart" uri="{C3380CC4-5D6E-409C-BE32-E72D297353CC}">
                    <c16:uniqueId val="{00000005-0DBF-478B-9257-82BEBEB5411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'Data LM'!$A$6</c15:sqref>
                        </c15:formulaRef>
                      </c:ext>
                    </c:extLst>
                    <c:strCache>
                      <c:ptCount val="1"/>
                      <c:pt idx="0">
                        <c:v>Industry (modeled ILO estimate)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LM'!$C$6:$X$6</c15:sqref>
                        </c15:formulaRef>
                      </c:ext>
                    </c:extLst>
                    <c:numCache>
                      <c:formatCode>0.0</c:formatCode>
                      <c:ptCount val="22"/>
                      <c:pt idx="0">
                        <c:v>6.5599999427795401</c:v>
                      </c:pt>
                      <c:pt idx="1">
                        <c:v>5.25</c:v>
                      </c:pt>
                      <c:pt idx="2">
                        <c:v>4.2600002288818404</c:v>
                      </c:pt>
                      <c:pt idx="3">
                        <c:v>3.4400000572204599</c:v>
                      </c:pt>
                      <c:pt idx="4">
                        <c:v>2.7999999523162802</c:v>
                      </c:pt>
                      <c:pt idx="5">
                        <c:v>2.28999996185303</c:v>
                      </c:pt>
                      <c:pt idx="6">
                        <c:v>2.0899999141693102</c:v>
                      </c:pt>
                      <c:pt idx="7">
                        <c:v>1.9400000572204601</c:v>
                      </c:pt>
                      <c:pt idx="8">
                        <c:v>1.8500000238418599</c:v>
                      </c:pt>
                      <c:pt idx="9">
                        <c:v>1.7799999713897701</c:v>
                      </c:pt>
                      <c:pt idx="10">
                        <c:v>1.7200000286102299</c:v>
                      </c:pt>
                      <c:pt idx="11">
                        <c:v>1.6900000572204601</c:v>
                      </c:pt>
                      <c:pt idx="12">
                        <c:v>1.66999995708466</c:v>
                      </c:pt>
                      <c:pt idx="13">
                        <c:v>1.6499999761581401</c:v>
                      </c:pt>
                      <c:pt idx="14">
                        <c:v>1.6399999856948899</c:v>
                      </c:pt>
                      <c:pt idx="15">
                        <c:v>1.62999999523163</c:v>
                      </c:pt>
                      <c:pt idx="16">
                        <c:v>1.62999999523163</c:v>
                      </c:pt>
                      <c:pt idx="17">
                        <c:v>1.62000000476837</c:v>
                      </c:pt>
                      <c:pt idx="18">
                        <c:v>1.62000000476837</c:v>
                      </c:pt>
                      <c:pt idx="19">
                        <c:v>1.62000000476837</c:v>
                      </c:pt>
                      <c:pt idx="20">
                        <c:v>0</c:v>
                      </c:pt>
                      <c:pt idx="21">
                        <c:v>0</c:v>
                      </c:pt>
                    </c:numCache>
                  </c:numRef>
                </c:val>
                <c:smooth val="0"/>
                <c:extLst xmlns:c15="http://schemas.microsoft.com/office/drawing/2012/chart">
                  <c:ext xmlns:c16="http://schemas.microsoft.com/office/drawing/2014/chart" uri="{C3380CC4-5D6E-409C-BE32-E72D297353CC}">
                    <c16:uniqueId val="{00000006-0DBF-478B-9257-82BEBEB5411F}"/>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LM'!$A$7</c15:sqref>
                        </c15:formulaRef>
                      </c:ext>
                    </c:extLst>
                    <c:strCache>
                      <c:ptCount val="1"/>
                      <c:pt idx="0">
                        <c:v>Industry (modeled ILO estimate)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LM'!$C$7:$X$7</c15:sqref>
                        </c15:formulaRef>
                      </c:ext>
                    </c:extLst>
                    <c:numCache>
                      <c:formatCode>0.0</c:formatCode>
                      <c:ptCount val="22"/>
                      <c:pt idx="0">
                        <c:v>16.420000076293899</c:v>
                      </c:pt>
                      <c:pt idx="1">
                        <c:v>14.8900003433228</c:v>
                      </c:pt>
                      <c:pt idx="2">
                        <c:v>13.539999961853001</c:v>
                      </c:pt>
                      <c:pt idx="3">
                        <c:v>12.3800001144409</c:v>
                      </c:pt>
                      <c:pt idx="4">
                        <c:v>11.449999809265099</c:v>
                      </c:pt>
                      <c:pt idx="5">
                        <c:v>10.6199998855591</c:v>
                      </c:pt>
                      <c:pt idx="6">
                        <c:v>10.3699998855591</c:v>
                      </c:pt>
                      <c:pt idx="7">
                        <c:v>10.189999580383301</c:v>
                      </c:pt>
                      <c:pt idx="8">
                        <c:v>10.0100002288818</c:v>
                      </c:pt>
                      <c:pt idx="9">
                        <c:v>9.9099998474121094</c:v>
                      </c:pt>
                      <c:pt idx="10">
                        <c:v>9.9200000762939506</c:v>
                      </c:pt>
                      <c:pt idx="11">
                        <c:v>9.9700002670288104</c:v>
                      </c:pt>
                      <c:pt idx="12">
                        <c:v>10.0200004577637</c:v>
                      </c:pt>
                      <c:pt idx="13">
                        <c:v>10.1000003814697</c:v>
                      </c:pt>
                      <c:pt idx="14">
                        <c:v>10.180000305175801</c:v>
                      </c:pt>
                      <c:pt idx="15">
                        <c:v>10.2799997329712</c:v>
                      </c:pt>
                      <c:pt idx="16">
                        <c:v>10.3800001144409</c:v>
                      </c:pt>
                      <c:pt idx="17">
                        <c:v>10.4700002670288</c:v>
                      </c:pt>
                      <c:pt idx="18">
                        <c:v>10.579999923706101</c:v>
                      </c:pt>
                      <c:pt idx="19">
                        <c:v>10.6300001144409</c:v>
                      </c:pt>
                      <c:pt idx="20">
                        <c:v>0</c:v>
                      </c:pt>
                      <c:pt idx="21">
                        <c:v>0</c:v>
                      </c:pt>
                    </c:numCache>
                  </c:numRef>
                </c:val>
                <c:smooth val="0"/>
                <c:extLst xmlns:c15="http://schemas.microsoft.com/office/drawing/2012/chart">
                  <c:ext xmlns:c16="http://schemas.microsoft.com/office/drawing/2014/chart" uri="{C3380CC4-5D6E-409C-BE32-E72D297353CC}">
                    <c16:uniqueId val="{00000007-0DBF-478B-9257-82BEBEB5411F}"/>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'Data LM'!$A$8</c15:sqref>
                        </c15:formulaRef>
                      </c:ext>
                    </c:extLst>
                    <c:strCache>
                      <c:ptCount val="1"/>
                      <c:pt idx="0">
                        <c:v>Employment in services (% of total employment) (modeled ILO estimate)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LM'!$C$8:$X$8</c15:sqref>
                        </c15:formulaRef>
                      </c:ext>
                    </c:extLst>
                    <c:numCache>
                      <c:formatCode>0.0</c:formatCode>
                      <c:ptCount val="22"/>
                      <c:pt idx="0">
                        <c:v>39.700000762939503</c:v>
                      </c:pt>
                      <c:pt idx="1">
                        <c:v>38.319999694824197</c:v>
                      </c:pt>
                      <c:pt idx="2">
                        <c:v>36.669998168945298</c:v>
                      </c:pt>
                      <c:pt idx="3">
                        <c:v>35.150001525878899</c:v>
                      </c:pt>
                      <c:pt idx="4">
                        <c:v>33.7299995422363</c:v>
                      </c:pt>
                      <c:pt idx="5">
                        <c:v>32.240001678466797</c:v>
                      </c:pt>
                      <c:pt idx="6">
                        <c:v>32.400001525878899</c:v>
                      </c:pt>
                      <c:pt idx="7">
                        <c:v>32.740001678466797</c:v>
                      </c:pt>
                      <c:pt idx="8">
                        <c:v>32.7700004577637</c:v>
                      </c:pt>
                      <c:pt idx="9">
                        <c:v>33.029998779296903</c:v>
                      </c:pt>
                      <c:pt idx="10">
                        <c:v>33.680000305175803</c:v>
                      </c:pt>
                      <c:pt idx="11">
                        <c:v>34.25</c:v>
                      </c:pt>
                      <c:pt idx="12">
                        <c:v>34.7700004577637</c:v>
                      </c:pt>
                      <c:pt idx="13">
                        <c:v>35.380001068115199</c:v>
                      </c:pt>
                      <c:pt idx="14">
                        <c:v>36</c:v>
                      </c:pt>
                      <c:pt idx="15">
                        <c:v>36.650001525878899</c:v>
                      </c:pt>
                      <c:pt idx="16">
                        <c:v>37.330001831054702</c:v>
                      </c:pt>
                      <c:pt idx="17">
                        <c:v>37.9799995422363</c:v>
                      </c:pt>
                      <c:pt idx="18">
                        <c:v>38.7299995422363</c:v>
                      </c:pt>
                      <c:pt idx="19">
                        <c:v>39.439998626708999</c:v>
                      </c:pt>
                      <c:pt idx="20">
                        <c:v>0</c:v>
                      </c:pt>
                      <c:pt idx="21">
                        <c:v>0</c:v>
                      </c:pt>
                    </c:numCache>
                  </c:numRef>
                </c:val>
                <c:smooth val="0"/>
                <c:extLst xmlns:c15="http://schemas.microsoft.com/office/drawing/2012/chart">
                  <c:ext xmlns:c16="http://schemas.microsoft.com/office/drawing/2014/chart" uri="{C3380CC4-5D6E-409C-BE32-E72D297353CC}">
                    <c16:uniqueId val="{00000008-0DBF-478B-9257-82BEBEB5411F}"/>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LM'!$A$9</c15:sqref>
                        </c15:formulaRef>
                      </c:ext>
                    </c:extLst>
                    <c:strCache>
                      <c:ptCount val="1"/>
                      <c:pt idx="0">
                        <c:v>Services (modeled ILO estimate)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LM'!$C$9:$X$9</c15:sqref>
                        </c15:formulaRef>
                      </c:ext>
                    </c:extLst>
                    <c:numCache>
                      <c:formatCode>0.0</c:formatCode>
                      <c:ptCount val="22"/>
                      <c:pt idx="0">
                        <c:v>35.700000762939503</c:v>
                      </c:pt>
                      <c:pt idx="1">
                        <c:v>34.470001220703097</c:v>
                      </c:pt>
                      <c:pt idx="2">
                        <c:v>33.130001068115199</c:v>
                      </c:pt>
                      <c:pt idx="3">
                        <c:v>31.899999618530298</c:v>
                      </c:pt>
                      <c:pt idx="4">
                        <c:v>30.7399997711182</c:v>
                      </c:pt>
                      <c:pt idx="5">
                        <c:v>29.590000152587901</c:v>
                      </c:pt>
                      <c:pt idx="6">
                        <c:v>29.590000152587901</c:v>
                      </c:pt>
                      <c:pt idx="7">
                        <c:v>29.930000305175799</c:v>
                      </c:pt>
                      <c:pt idx="8">
                        <c:v>30.280000686645501</c:v>
                      </c:pt>
                      <c:pt idx="9">
                        <c:v>30.7700004577637</c:v>
                      </c:pt>
                      <c:pt idx="10">
                        <c:v>31.4899997711182</c:v>
                      </c:pt>
                      <c:pt idx="11">
                        <c:v>32.2299995422363</c:v>
                      </c:pt>
                      <c:pt idx="12">
                        <c:v>32.970001220703097</c:v>
                      </c:pt>
                      <c:pt idx="13">
                        <c:v>33.759998321533203</c:v>
                      </c:pt>
                      <c:pt idx="14">
                        <c:v>34.580001831054702</c:v>
                      </c:pt>
                      <c:pt idx="15">
                        <c:v>35.450000762939503</c:v>
                      </c:pt>
                      <c:pt idx="16">
                        <c:v>36.319999694824197</c:v>
                      </c:pt>
                      <c:pt idx="17">
                        <c:v>37.2299995422363</c:v>
                      </c:pt>
                      <c:pt idx="18">
                        <c:v>38.139999389648402</c:v>
                      </c:pt>
                      <c:pt idx="19">
                        <c:v>39.040000915527301</c:v>
                      </c:pt>
                      <c:pt idx="20">
                        <c:v>0</c:v>
                      </c:pt>
                      <c:pt idx="21">
                        <c:v>0</c:v>
                      </c:pt>
                    </c:numCache>
                  </c:numRef>
                </c:val>
                <c:smooth val="0"/>
                <c:extLst xmlns:c15="http://schemas.microsoft.com/office/drawing/2012/chart">
                  <c:ext xmlns:c16="http://schemas.microsoft.com/office/drawing/2014/chart" uri="{C3380CC4-5D6E-409C-BE32-E72D297353CC}">
                    <c16:uniqueId val="{00000009-0DBF-478B-9257-82BEBEB5411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'Data LM'!$A$10</c15:sqref>
                        </c15:formulaRef>
                      </c:ext>
                    </c:extLst>
                    <c:strCache>
                      <c:ptCount val="1"/>
                      <c:pt idx="0">
                        <c:v>Services (modeled ILO estimate)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LM'!$C$10:$X$10</c15:sqref>
                        </c15:formulaRef>
                      </c:ext>
                    </c:extLst>
                    <c:numCache>
                      <c:formatCode>0.0</c:formatCode>
                      <c:ptCount val="22"/>
                      <c:pt idx="0">
                        <c:v>43.569999694824197</c:v>
                      </c:pt>
                      <c:pt idx="1">
                        <c:v>41.9799995422363</c:v>
                      </c:pt>
                      <c:pt idx="2">
                        <c:v>39.990001678466797</c:v>
                      </c:pt>
                      <c:pt idx="3">
                        <c:v>38.139999389648402</c:v>
                      </c:pt>
                      <c:pt idx="4">
                        <c:v>36.439998626708999</c:v>
                      </c:pt>
                      <c:pt idx="5">
                        <c:v>34.590000152587898</c:v>
                      </c:pt>
                      <c:pt idx="6">
                        <c:v>34.909999847412102</c:v>
                      </c:pt>
                      <c:pt idx="7">
                        <c:v>35.2700004577637</c:v>
                      </c:pt>
                      <c:pt idx="8">
                        <c:v>35.0200004577637</c:v>
                      </c:pt>
                      <c:pt idx="9">
                        <c:v>35.080001831054702</c:v>
                      </c:pt>
                      <c:pt idx="10">
                        <c:v>35.680000305175803</c:v>
                      </c:pt>
                      <c:pt idx="11">
                        <c:v>36.110000610351598</c:v>
                      </c:pt>
                      <c:pt idx="12">
                        <c:v>36.439998626708999</c:v>
                      </c:pt>
                      <c:pt idx="13">
                        <c:v>36.889999389648402</c:v>
                      </c:pt>
                      <c:pt idx="14">
                        <c:v>37.319999694824197</c:v>
                      </c:pt>
                      <c:pt idx="15">
                        <c:v>37.779998779296903</c:v>
                      </c:pt>
                      <c:pt idx="16">
                        <c:v>38.290000915527301</c:v>
                      </c:pt>
                      <c:pt idx="17">
                        <c:v>38.700000762939503</c:v>
                      </c:pt>
                      <c:pt idx="18">
                        <c:v>39.290000915527301</c:v>
                      </c:pt>
                      <c:pt idx="19">
                        <c:v>39.819999694824197</c:v>
                      </c:pt>
                      <c:pt idx="20">
                        <c:v>0</c:v>
                      </c:pt>
                      <c:pt idx="21">
                        <c:v>0</c:v>
                      </c:pt>
                    </c:numCache>
                  </c:numRef>
                </c:val>
                <c:smooth val="0"/>
                <c:extLst xmlns:c15="http://schemas.microsoft.com/office/drawing/2012/chart">
                  <c:ext xmlns:c16="http://schemas.microsoft.com/office/drawing/2014/chart" uri="{C3380CC4-5D6E-409C-BE32-E72D297353CC}">
                    <c16:uniqueId val="{0000000A-0DBF-478B-9257-82BEBEB5411F}"/>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LM'!$A$11</c15:sqref>
                        </c15:formulaRef>
                      </c:ext>
                    </c:extLst>
                    <c:strCache>
                      <c:ptCount val="1"/>
                      <c:pt idx="0">
                        <c:v>Employment to population ratio, 15+, total (%) (modeled ILO estimate)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LM'!$C$11:$X$11</c15:sqref>
                        </c15:formulaRef>
                      </c:ext>
                    </c:extLst>
                    <c:numCache>
                      <c:formatCode>0.0</c:formatCode>
                      <c:ptCount val="22"/>
                      <c:pt idx="0">
                        <c:v>70.320999145507798</c:v>
                      </c:pt>
                      <c:pt idx="1">
                        <c:v>70.461997985839801</c:v>
                      </c:pt>
                      <c:pt idx="2">
                        <c:v>70.573997497558594</c:v>
                      </c:pt>
                      <c:pt idx="3">
                        <c:v>70.710998535156307</c:v>
                      </c:pt>
                      <c:pt idx="4">
                        <c:v>70.846000671386705</c:v>
                      </c:pt>
                      <c:pt idx="5">
                        <c:v>70.975997924804702</c:v>
                      </c:pt>
                      <c:pt idx="6">
                        <c:v>71.103996276855497</c:v>
                      </c:pt>
                      <c:pt idx="7">
                        <c:v>71.232002258300795</c:v>
                      </c:pt>
                      <c:pt idx="8">
                        <c:v>71.329002380371094</c:v>
                      </c:pt>
                      <c:pt idx="9">
                        <c:v>71.468002319335895</c:v>
                      </c:pt>
                      <c:pt idx="10">
                        <c:v>71.615997314453097</c:v>
                      </c:pt>
                      <c:pt idx="11">
                        <c:v>71.731002807617202</c:v>
                      </c:pt>
                      <c:pt idx="12">
                        <c:v>71.849998474121094</c:v>
                      </c:pt>
                      <c:pt idx="13">
                        <c:v>71.981002807617202</c:v>
                      </c:pt>
                      <c:pt idx="14">
                        <c:v>72.103996276855497</c:v>
                      </c:pt>
                      <c:pt idx="15">
                        <c:v>72.231002807617202</c:v>
                      </c:pt>
                      <c:pt idx="16">
                        <c:v>72.356002807617202</c:v>
                      </c:pt>
                      <c:pt idx="17">
                        <c:v>71.670997619628906</c:v>
                      </c:pt>
                      <c:pt idx="18">
                        <c:v>70.995002746582003</c:v>
                      </c:pt>
                      <c:pt idx="19">
                        <c:v>70.297996520996094</c:v>
                      </c:pt>
                      <c:pt idx="20">
                        <c:v>68.9010009765625</c:v>
                      </c:pt>
                      <c:pt idx="21">
                        <c:v>69.032997131347699</c:v>
                      </c:pt>
                    </c:numCache>
                  </c:numRef>
                </c:val>
                <c:smooth val="0"/>
                <c:extLst xmlns:c15="http://schemas.microsoft.com/office/drawing/2012/chart">
                  <c:ext xmlns:c16="http://schemas.microsoft.com/office/drawing/2014/chart" uri="{C3380CC4-5D6E-409C-BE32-E72D297353CC}">
                    <c16:uniqueId val="{0000000B-0DBF-478B-9257-82BEBEB5411F}"/>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'Data LM'!$A$12</c15:sqref>
                        </c15:formulaRef>
                      </c:ext>
                    </c:extLst>
                    <c:strCache>
                      <c:ptCount val="1"/>
                      <c:pt idx="0">
                        <c:v>Employment to population ratio, ages 15-24, total (%) (national estimate)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LM'!$C$12:$X$12</c15:sqref>
                        </c15:formulaRef>
                      </c:ext>
                    </c:extLst>
                    <c:numCache>
                      <c:formatCode>0.0</c:formatCode>
                      <c:ptCount val="22"/>
                      <c:pt idx="0">
                        <c:v>0</c:v>
                      </c:pt>
                      <c:pt idx="1">
                        <c:v>0</c:v>
                      </c:pt>
                      <c:pt idx="2">
                        <c:v>0</c:v>
                      </c:pt>
                      <c:pt idx="3">
                        <c:v>0</c:v>
                      </c:pt>
                      <c:pt idx="4">
                        <c:v>0</c:v>
                      </c:pt>
                      <c:pt idx="5">
                        <c:v>0</c:v>
                      </c:pt>
                      <c:pt idx="6">
                        <c:v>31.659999847412099</c:v>
                      </c:pt>
                      <c:pt idx="7">
                        <c:v>0</c:v>
                      </c:pt>
                      <c:pt idx="8">
                        <c:v>0</c:v>
                      </c:pt>
                      <c:pt idx="9">
                        <c:v>0</c:v>
                      </c:pt>
                      <c:pt idx="10">
                        <c:v>0</c:v>
                      </c:pt>
                      <c:pt idx="11">
                        <c:v>0</c:v>
                      </c:pt>
                      <c:pt idx="12">
                        <c:v>0</c:v>
                      </c:pt>
                      <c:pt idx="13">
                        <c:v>0</c:v>
                      </c:pt>
                      <c:pt idx="14">
                        <c:v>0</c:v>
                      </c:pt>
                      <c:pt idx="15">
                        <c:v>0</c:v>
                      </c:pt>
                      <c:pt idx="16">
                        <c:v>41.7700004577637</c:v>
                      </c:pt>
                      <c:pt idx="17">
                        <c:v>0</c:v>
                      </c:pt>
                      <c:pt idx="18">
                        <c:v>0</c:v>
                      </c:pt>
                      <c:pt idx="19">
                        <c:v>32.810001373291001</c:v>
                      </c:pt>
                      <c:pt idx="20">
                        <c:v>0</c:v>
                      </c:pt>
                      <c:pt idx="21">
                        <c:v>0</c:v>
                      </c:pt>
                    </c:numCache>
                  </c:numRef>
                </c:val>
                <c:smooth val="0"/>
                <c:extLst xmlns:c15="http://schemas.microsoft.com/office/drawing/2012/chart">
                  <c:ext xmlns:c16="http://schemas.microsoft.com/office/drawing/2014/chart" uri="{C3380CC4-5D6E-409C-BE32-E72D297353CC}">
                    <c16:uniqueId val="{0000000C-0DBF-478B-9257-82BEBEB5411F}"/>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'Data LM'!$A$13</c15:sqref>
                        </c15:formulaRef>
                      </c:ext>
                    </c:extLst>
                    <c:strCache>
                      <c:ptCount val="1"/>
                      <c:pt idx="0">
                        <c:v>Labor force participation rate for ages 15-24, female (%) (modeled ILO estimate)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LM'!$C$13:$X$13</c15:sqref>
                        </c15:formulaRef>
                      </c:ext>
                    </c:extLst>
                    <c:numCache>
                      <c:formatCode>0.0</c:formatCode>
                      <c:ptCount val="22"/>
                      <c:pt idx="0">
                        <c:v>51.655998229980497</c:v>
                      </c:pt>
                      <c:pt idx="1">
                        <c:v>51.219001770019503</c:v>
                      </c:pt>
                      <c:pt idx="2">
                        <c:v>50.780998229980497</c:v>
                      </c:pt>
                      <c:pt idx="3">
                        <c:v>50.333000183105497</c:v>
                      </c:pt>
                      <c:pt idx="4">
                        <c:v>49.867000579833999</c:v>
                      </c:pt>
                      <c:pt idx="5">
                        <c:v>49.377998352050803</c:v>
                      </c:pt>
                      <c:pt idx="6">
                        <c:v>48.840999603271499</c:v>
                      </c:pt>
                      <c:pt idx="7">
                        <c:v>48.287998199462898</c:v>
                      </c:pt>
                      <c:pt idx="8">
                        <c:v>47.728000640869098</c:v>
                      </c:pt>
                      <c:pt idx="9">
                        <c:v>47.173999786377003</c:v>
                      </c:pt>
                      <c:pt idx="10">
                        <c:v>46.632999420166001</c:v>
                      </c:pt>
                      <c:pt idx="11">
                        <c:v>46.090000152587898</c:v>
                      </c:pt>
                      <c:pt idx="12">
                        <c:v>45.557998657226598</c:v>
                      </c:pt>
                      <c:pt idx="13">
                        <c:v>45.041000366210902</c:v>
                      </c:pt>
                      <c:pt idx="14">
                        <c:v>44.541000366210902</c:v>
                      </c:pt>
                      <c:pt idx="15">
                        <c:v>44.061000823974602</c:v>
                      </c:pt>
                      <c:pt idx="16">
                        <c:v>43.590000152587898</c:v>
                      </c:pt>
                      <c:pt idx="17">
                        <c:v>43.111000061035199</c:v>
                      </c:pt>
                      <c:pt idx="18">
                        <c:v>42.6310005187988</c:v>
                      </c:pt>
                      <c:pt idx="19">
                        <c:v>42.126998901367202</c:v>
                      </c:pt>
                      <c:pt idx="20">
                        <c:v>41.306999206542997</c:v>
                      </c:pt>
                      <c:pt idx="21">
                        <c:v>41.874000549316399</c:v>
                      </c:pt>
                    </c:numCache>
                  </c:numRef>
                </c:val>
                <c:smooth val="0"/>
                <c:extLst xmlns:c15="http://schemas.microsoft.com/office/drawing/2012/chart">
                  <c:ext xmlns:c16="http://schemas.microsoft.com/office/drawing/2014/chart" uri="{C3380CC4-5D6E-409C-BE32-E72D297353CC}">
                    <c16:uniqueId val="{00000010-0DBF-478B-9257-82BEBEB5411F}"/>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LM'!$A$14</c15:sqref>
                        </c15:formulaRef>
                      </c:ext>
                    </c:extLst>
                    <c:strCache>
                      <c:ptCount val="1"/>
                      <c:pt idx="0">
                        <c:v>Labor force participation rate for ages 15-24, female (%) (national estimate)</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LM'!$C$14:$X$14</c15:sqref>
                        </c15:formulaRef>
                      </c:ext>
                    </c:extLst>
                    <c:numCache>
                      <c:formatCode>0.0</c:formatCode>
                      <c:ptCount val="22"/>
                      <c:pt idx="0">
                        <c:v>0</c:v>
                      </c:pt>
                      <c:pt idx="1">
                        <c:v>0</c:v>
                      </c:pt>
                      <c:pt idx="2">
                        <c:v>0</c:v>
                      </c:pt>
                      <c:pt idx="3">
                        <c:v>0</c:v>
                      </c:pt>
                      <c:pt idx="4">
                        <c:v>0</c:v>
                      </c:pt>
                      <c:pt idx="5">
                        <c:v>35.180000305175803</c:v>
                      </c:pt>
                      <c:pt idx="6">
                        <c:v>35.090000152587898</c:v>
                      </c:pt>
                      <c:pt idx="7">
                        <c:v>0</c:v>
                      </c:pt>
                      <c:pt idx="8">
                        <c:v>0</c:v>
                      </c:pt>
                      <c:pt idx="9">
                        <c:v>0</c:v>
                      </c:pt>
                      <c:pt idx="10">
                        <c:v>0</c:v>
                      </c:pt>
                      <c:pt idx="11">
                        <c:v>0</c:v>
                      </c:pt>
                      <c:pt idx="12">
                        <c:v>0</c:v>
                      </c:pt>
                      <c:pt idx="13">
                        <c:v>0</c:v>
                      </c:pt>
                      <c:pt idx="14">
                        <c:v>0</c:v>
                      </c:pt>
                      <c:pt idx="15">
                        <c:v>0</c:v>
                      </c:pt>
                      <c:pt idx="16">
                        <c:v>43.439998626708999</c:v>
                      </c:pt>
                      <c:pt idx="17">
                        <c:v>0</c:v>
                      </c:pt>
                      <c:pt idx="18">
                        <c:v>0</c:v>
                      </c:pt>
                      <c:pt idx="19">
                        <c:v>35.110000610351598</c:v>
                      </c:pt>
                      <c:pt idx="20">
                        <c:v>0</c:v>
                      </c:pt>
                      <c:pt idx="21">
                        <c:v>0</c:v>
                      </c:pt>
                    </c:numCache>
                  </c:numRef>
                </c:val>
                <c:smooth val="0"/>
                <c:extLst xmlns:c15="http://schemas.microsoft.com/office/drawing/2012/chart">
                  <c:ext xmlns:c16="http://schemas.microsoft.com/office/drawing/2014/chart" uri="{C3380CC4-5D6E-409C-BE32-E72D297353CC}">
                    <c16:uniqueId val="{00000011-0DBF-478B-9257-82BEBEB5411F}"/>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LM'!$A$15</c15:sqref>
                        </c15:formulaRef>
                      </c:ext>
                    </c:extLst>
                    <c:strCache>
                      <c:ptCount val="1"/>
                      <c:pt idx="0">
                        <c:v>Labor force participation rate for ages 15-24, male (%) (modeled ILO estimate)</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LM'!$C$15:$X$15</c15:sqref>
                        </c15:formulaRef>
                      </c:ext>
                    </c:extLst>
                    <c:numCache>
                      <c:formatCode>0.0</c:formatCode>
                      <c:ptCount val="22"/>
                      <c:pt idx="0">
                        <c:v>48.251998901367202</c:v>
                      </c:pt>
                      <c:pt idx="1">
                        <c:v>48.222000122070298</c:v>
                      </c:pt>
                      <c:pt idx="2">
                        <c:v>48.189998626708999</c:v>
                      </c:pt>
                      <c:pt idx="3">
                        <c:v>48.147998809814503</c:v>
                      </c:pt>
                      <c:pt idx="4">
                        <c:v>48.084999084472699</c:v>
                      </c:pt>
                      <c:pt idx="5">
                        <c:v>47.995998382568402</c:v>
                      </c:pt>
                      <c:pt idx="6">
                        <c:v>47.8489990234375</c:v>
                      </c:pt>
                      <c:pt idx="7">
                        <c:v>47.687999725341797</c:v>
                      </c:pt>
                      <c:pt idx="8">
                        <c:v>47.525001525878899</c:v>
                      </c:pt>
                      <c:pt idx="9">
                        <c:v>47.375999450683601</c:v>
                      </c:pt>
                      <c:pt idx="10">
                        <c:v>47.25</c:v>
                      </c:pt>
                      <c:pt idx="11">
                        <c:v>47.127998352050803</c:v>
                      </c:pt>
                      <c:pt idx="12">
                        <c:v>47.021999359130902</c:v>
                      </c:pt>
                      <c:pt idx="13">
                        <c:v>46.935001373291001</c:v>
                      </c:pt>
                      <c:pt idx="14">
                        <c:v>46.872001647949197</c:v>
                      </c:pt>
                      <c:pt idx="15">
                        <c:v>46.832000732421903</c:v>
                      </c:pt>
                      <c:pt idx="16">
                        <c:v>46.806999206542997</c:v>
                      </c:pt>
                      <c:pt idx="17">
                        <c:v>45.556999206542997</c:v>
                      </c:pt>
                      <c:pt idx="18">
                        <c:v>44.297000885009801</c:v>
                      </c:pt>
                      <c:pt idx="19">
                        <c:v>42.983001708984403</c:v>
                      </c:pt>
                      <c:pt idx="20">
                        <c:v>42.230998992919901</c:v>
                      </c:pt>
                      <c:pt idx="21">
                        <c:v>42.263999938964801</c:v>
                      </c:pt>
                    </c:numCache>
                  </c:numRef>
                </c:val>
                <c:smooth val="0"/>
                <c:extLst xmlns:c15="http://schemas.microsoft.com/office/drawing/2012/chart">
                  <c:ext xmlns:c16="http://schemas.microsoft.com/office/drawing/2014/chart" uri="{C3380CC4-5D6E-409C-BE32-E72D297353CC}">
                    <c16:uniqueId val="{00000012-0DBF-478B-9257-82BEBEB5411F}"/>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LM'!$A$16</c15:sqref>
                        </c15:formulaRef>
                      </c:ext>
                    </c:extLst>
                    <c:strCache>
                      <c:ptCount val="1"/>
                      <c:pt idx="0">
                        <c:v>Labor force participation rate for ages 15-24, male (%) (national estimate)</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LM'!$C$16:$X$16</c15:sqref>
                        </c15:formulaRef>
                      </c:ext>
                    </c:extLst>
                    <c:numCache>
                      <c:formatCode>0.0</c:formatCode>
                      <c:ptCount val="22"/>
                      <c:pt idx="0">
                        <c:v>0</c:v>
                      </c:pt>
                      <c:pt idx="1">
                        <c:v>0</c:v>
                      </c:pt>
                      <c:pt idx="2">
                        <c:v>0</c:v>
                      </c:pt>
                      <c:pt idx="3">
                        <c:v>0</c:v>
                      </c:pt>
                      <c:pt idx="4">
                        <c:v>0</c:v>
                      </c:pt>
                      <c:pt idx="5">
                        <c:v>41.630001068115199</c:v>
                      </c:pt>
                      <c:pt idx="6">
                        <c:v>43.759998321533203</c:v>
                      </c:pt>
                      <c:pt idx="7">
                        <c:v>0</c:v>
                      </c:pt>
                      <c:pt idx="8">
                        <c:v>0</c:v>
                      </c:pt>
                      <c:pt idx="9">
                        <c:v>0</c:v>
                      </c:pt>
                      <c:pt idx="10">
                        <c:v>0</c:v>
                      </c:pt>
                      <c:pt idx="11">
                        <c:v>0</c:v>
                      </c:pt>
                      <c:pt idx="12">
                        <c:v>0</c:v>
                      </c:pt>
                      <c:pt idx="13">
                        <c:v>0</c:v>
                      </c:pt>
                      <c:pt idx="14">
                        <c:v>0</c:v>
                      </c:pt>
                      <c:pt idx="15">
                        <c:v>0</c:v>
                      </c:pt>
                      <c:pt idx="16">
                        <c:v>46.740001678466797</c:v>
                      </c:pt>
                      <c:pt idx="17">
                        <c:v>0</c:v>
                      </c:pt>
                      <c:pt idx="18">
                        <c:v>0</c:v>
                      </c:pt>
                      <c:pt idx="19">
                        <c:v>40.2299995422363</c:v>
                      </c:pt>
                      <c:pt idx="20">
                        <c:v>0</c:v>
                      </c:pt>
                      <c:pt idx="21">
                        <c:v>0</c:v>
                      </c:pt>
                    </c:numCache>
                  </c:numRef>
                </c:val>
                <c:smooth val="0"/>
                <c:extLst xmlns:c15="http://schemas.microsoft.com/office/drawing/2012/chart">
                  <c:ext xmlns:c16="http://schemas.microsoft.com/office/drawing/2014/chart" uri="{C3380CC4-5D6E-409C-BE32-E72D297353CC}">
                    <c16:uniqueId val="{00000013-0DBF-478B-9257-82BEBEB5411F}"/>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LM'!$A$17</c15:sqref>
                        </c15:formulaRef>
                      </c:ext>
                    </c:extLst>
                    <c:strCache>
                      <c:ptCount val="1"/>
                      <c:pt idx="0">
                        <c:v>Labor force participation rate for ages 15-24, total (%) (modeled ILO estimate)</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LM'!$C$17:$X$17</c15:sqref>
                        </c15:formulaRef>
                      </c:ext>
                    </c:extLst>
                    <c:numCache>
                      <c:formatCode>0.0</c:formatCode>
                      <c:ptCount val="22"/>
                      <c:pt idx="0">
                        <c:v>49.955001831054702</c:v>
                      </c:pt>
                      <c:pt idx="1">
                        <c:v>49.722000122070298</c:v>
                      </c:pt>
                      <c:pt idx="2">
                        <c:v>49.4869995117188</c:v>
                      </c:pt>
                      <c:pt idx="3">
                        <c:v>49.243000030517599</c:v>
                      </c:pt>
                      <c:pt idx="4">
                        <c:v>48.978000640869098</c:v>
                      </c:pt>
                      <c:pt idx="5">
                        <c:v>48.688999176025398</c:v>
                      </c:pt>
                      <c:pt idx="6">
                        <c:v>48.347000122070298</c:v>
                      </c:pt>
                      <c:pt idx="7">
                        <c:v>47.988998413085902</c:v>
                      </c:pt>
                      <c:pt idx="8">
                        <c:v>47.626998901367202</c:v>
                      </c:pt>
                      <c:pt idx="9">
                        <c:v>47.275001525878899</c:v>
                      </c:pt>
                      <c:pt idx="10">
                        <c:v>46.941001892089801</c:v>
                      </c:pt>
                      <c:pt idx="11">
                        <c:v>46.606998443603501</c:v>
                      </c:pt>
                      <c:pt idx="12">
                        <c:v>46.287998199462898</c:v>
                      </c:pt>
                      <c:pt idx="13">
                        <c:v>45.986000061035199</c:v>
                      </c:pt>
                      <c:pt idx="14">
                        <c:v>45.705001831054702</c:v>
                      </c:pt>
                      <c:pt idx="15">
                        <c:v>45.444999694824197</c:v>
                      </c:pt>
                      <c:pt idx="16">
                        <c:v>45.199001312255902</c:v>
                      </c:pt>
                      <c:pt idx="17">
                        <c:v>44.334999084472699</c:v>
                      </c:pt>
                      <c:pt idx="18">
                        <c:v>43.465999603271499</c:v>
                      </c:pt>
                      <c:pt idx="19">
                        <c:v>42.555999755859403</c:v>
                      </c:pt>
                      <c:pt idx="20">
                        <c:v>41.7700004577637</c:v>
                      </c:pt>
                      <c:pt idx="21">
                        <c:v>42.069999694824197</c:v>
                      </c:pt>
                    </c:numCache>
                  </c:numRef>
                </c:val>
                <c:smooth val="0"/>
                <c:extLst xmlns:c15="http://schemas.microsoft.com/office/drawing/2012/chart">
                  <c:ext xmlns:c16="http://schemas.microsoft.com/office/drawing/2014/chart" uri="{C3380CC4-5D6E-409C-BE32-E72D297353CC}">
                    <c16:uniqueId val="{00000014-0DBF-478B-9257-82BEBEB5411F}"/>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'Data LM'!$A$18</c15:sqref>
                        </c15:formulaRef>
                      </c:ext>
                    </c:extLst>
                    <c:strCache>
                      <c:ptCount val="1"/>
                      <c:pt idx="0">
                        <c:v>Labor force participation rate for ages 15-24, total (%) (national estimate)</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LM'!$C$18:$X$18</c15:sqref>
                        </c15:formulaRef>
                      </c:ext>
                    </c:extLst>
                    <c:numCache>
                      <c:formatCode>0.0</c:formatCode>
                      <c:ptCount val="22"/>
                      <c:pt idx="0">
                        <c:v>0</c:v>
                      </c:pt>
                      <c:pt idx="1">
                        <c:v>0</c:v>
                      </c:pt>
                      <c:pt idx="2">
                        <c:v>0</c:v>
                      </c:pt>
                      <c:pt idx="3">
                        <c:v>0</c:v>
                      </c:pt>
                      <c:pt idx="4">
                        <c:v>0</c:v>
                      </c:pt>
                      <c:pt idx="5">
                        <c:v>38.349998474121101</c:v>
                      </c:pt>
                      <c:pt idx="6">
                        <c:v>39.409999847412102</c:v>
                      </c:pt>
                      <c:pt idx="7">
                        <c:v>0</c:v>
                      </c:pt>
                      <c:pt idx="8">
                        <c:v>0</c:v>
                      </c:pt>
                      <c:pt idx="9">
                        <c:v>0</c:v>
                      </c:pt>
                      <c:pt idx="10">
                        <c:v>0</c:v>
                      </c:pt>
                      <c:pt idx="11">
                        <c:v>0</c:v>
                      </c:pt>
                      <c:pt idx="12">
                        <c:v>0</c:v>
                      </c:pt>
                      <c:pt idx="13">
                        <c:v>0</c:v>
                      </c:pt>
                      <c:pt idx="14">
                        <c:v>0</c:v>
                      </c:pt>
                      <c:pt idx="15">
                        <c:v>0</c:v>
                      </c:pt>
                      <c:pt idx="16">
                        <c:v>45.080001831054702</c:v>
                      </c:pt>
                      <c:pt idx="17">
                        <c:v>0</c:v>
                      </c:pt>
                      <c:pt idx="18">
                        <c:v>0</c:v>
                      </c:pt>
                      <c:pt idx="19">
                        <c:v>37.650001525878899</c:v>
                      </c:pt>
                      <c:pt idx="20">
                        <c:v>0</c:v>
                      </c:pt>
                      <c:pt idx="21">
                        <c:v>0</c:v>
                      </c:pt>
                    </c:numCache>
                  </c:numRef>
                </c:val>
                <c:smooth val="0"/>
                <c:extLst xmlns:c15="http://schemas.microsoft.com/office/drawing/2012/chart">
                  <c:ext xmlns:c16="http://schemas.microsoft.com/office/drawing/2014/chart" uri="{C3380CC4-5D6E-409C-BE32-E72D297353CC}">
                    <c16:uniqueId val="{00000015-0DBF-478B-9257-82BEBEB5411F}"/>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'Data LM'!$A$20</c15:sqref>
                        </c15:formulaRef>
                      </c:ext>
                    </c:extLst>
                    <c:strCache>
                      <c:ptCount val="1"/>
                      <c:pt idx="0">
                        <c:v>Labor force participation rate, female (% of female population ages 15+) (national estimate)</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LM'!$C$20:$X$20</c15:sqref>
                        </c15:formulaRef>
                      </c:ext>
                    </c:extLst>
                    <c:numCache>
                      <c:formatCode>0.0</c:formatCode>
                      <c:ptCount val="22"/>
                      <c:pt idx="0">
                        <c:v>0</c:v>
                      </c:pt>
                      <c:pt idx="1">
                        <c:v>0</c:v>
                      </c:pt>
                      <c:pt idx="2">
                        <c:v>0</c:v>
                      </c:pt>
                      <c:pt idx="3">
                        <c:v>0</c:v>
                      </c:pt>
                      <c:pt idx="4">
                        <c:v>0</c:v>
                      </c:pt>
                      <c:pt idx="5">
                        <c:v>59.490001678466797</c:v>
                      </c:pt>
                      <c:pt idx="6">
                        <c:v>56.619998931884801</c:v>
                      </c:pt>
                      <c:pt idx="7">
                        <c:v>0</c:v>
                      </c:pt>
                      <c:pt idx="8">
                        <c:v>0</c:v>
                      </c:pt>
                      <c:pt idx="9">
                        <c:v>71.540000915527301</c:v>
                      </c:pt>
                      <c:pt idx="10">
                        <c:v>0</c:v>
                      </c:pt>
                      <c:pt idx="11">
                        <c:v>0</c:v>
                      </c:pt>
                      <c:pt idx="12">
                        <c:v>0</c:v>
                      </c:pt>
                      <c:pt idx="13">
                        <c:v>0</c:v>
                      </c:pt>
                      <c:pt idx="14">
                        <c:v>0</c:v>
                      </c:pt>
                      <c:pt idx="15">
                        <c:v>0</c:v>
                      </c:pt>
                      <c:pt idx="16">
                        <c:v>71.459999084472699</c:v>
                      </c:pt>
                      <c:pt idx="17">
                        <c:v>0</c:v>
                      </c:pt>
                      <c:pt idx="18">
                        <c:v>0</c:v>
                      </c:pt>
                      <c:pt idx="19">
                        <c:v>62.900001525878899</c:v>
                      </c:pt>
                      <c:pt idx="20">
                        <c:v>0</c:v>
                      </c:pt>
                      <c:pt idx="21">
                        <c:v>0</c:v>
                      </c:pt>
                    </c:numCache>
                  </c:numRef>
                </c:val>
                <c:smooth val="0"/>
                <c:extLst xmlns:c15="http://schemas.microsoft.com/office/drawing/2012/chart">
                  <c:ext xmlns:c16="http://schemas.microsoft.com/office/drawing/2014/chart" uri="{C3380CC4-5D6E-409C-BE32-E72D297353CC}">
                    <c16:uniqueId val="{00000016-0DBF-478B-9257-82BEBEB5411F}"/>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'Data LM'!$A$21</c15:sqref>
                        </c15:formulaRef>
                      </c:ext>
                    </c:extLst>
                    <c:strCache>
                      <c:ptCount val="1"/>
                      <c:pt idx="0">
                        <c:v>Labor force participation rate, female (% of female population ages 15-64) (modeled ILO estimate)</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LM'!$C$21:$X$21</c15:sqref>
                        </c15:formulaRef>
                      </c:ext>
                    </c:extLst>
                    <c:numCache>
                      <c:formatCode>0.0</c:formatCode>
                      <c:ptCount val="22"/>
                      <c:pt idx="0">
                        <c:v>69.569999999999993</c:v>
                      </c:pt>
                      <c:pt idx="1">
                        <c:v>67.91</c:v>
                      </c:pt>
                      <c:pt idx="2">
                        <c:v>66.16</c:v>
                      </c:pt>
                      <c:pt idx="3">
                        <c:v>64.349999999999994</c:v>
                      </c:pt>
                      <c:pt idx="4">
                        <c:v>62.51</c:v>
                      </c:pt>
                      <c:pt idx="5">
                        <c:v>60.65</c:v>
                      </c:pt>
                      <c:pt idx="6">
                        <c:v>61.91</c:v>
                      </c:pt>
                      <c:pt idx="7">
                        <c:v>63.19</c:v>
                      </c:pt>
                      <c:pt idx="8">
                        <c:v>64.44</c:v>
                      </c:pt>
                      <c:pt idx="9">
                        <c:v>65.63</c:v>
                      </c:pt>
                      <c:pt idx="10">
                        <c:v>66.739999999999995</c:v>
                      </c:pt>
                      <c:pt idx="11">
                        <c:v>67.78</c:v>
                      </c:pt>
                      <c:pt idx="12">
                        <c:v>68.73</c:v>
                      </c:pt>
                      <c:pt idx="13">
                        <c:v>69.62</c:v>
                      </c:pt>
                      <c:pt idx="14">
                        <c:v>70.47</c:v>
                      </c:pt>
                      <c:pt idx="15">
                        <c:v>71.290000000000006</c:v>
                      </c:pt>
                      <c:pt idx="16">
                        <c:v>72.099999999999994</c:v>
                      </c:pt>
                      <c:pt idx="17">
                        <c:v>72.2</c:v>
                      </c:pt>
                      <c:pt idx="18">
                        <c:v>72.3</c:v>
                      </c:pt>
                      <c:pt idx="19">
                        <c:v>72.41</c:v>
                      </c:pt>
                      <c:pt idx="20">
                        <c:v>0</c:v>
                      </c:pt>
                      <c:pt idx="21">
                        <c:v>0</c:v>
                      </c:pt>
                    </c:numCache>
                  </c:numRef>
                </c:val>
                <c:smooth val="0"/>
                <c:extLst xmlns:c15="http://schemas.microsoft.com/office/drawing/2012/chart">
                  <c:ext xmlns:c16="http://schemas.microsoft.com/office/drawing/2014/chart" uri="{C3380CC4-5D6E-409C-BE32-E72D297353CC}">
                    <c16:uniqueId val="{00000017-0DBF-478B-9257-82BEBEB5411F}"/>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'Data LM'!$A$23</c15:sqref>
                        </c15:formulaRef>
                      </c:ext>
                    </c:extLst>
                    <c:strCache>
                      <c:ptCount val="1"/>
                      <c:pt idx="0">
                        <c:v>Labor force participation rate, male (% of male population ages 15+) (national estimate)</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LM'!$C$23:$X$23</c15:sqref>
                        </c15:formulaRef>
                      </c:ext>
                    </c:extLst>
                    <c:numCache>
                      <c:formatCode>0.0</c:formatCode>
                      <c:ptCount val="22"/>
                      <c:pt idx="0">
                        <c:v>0</c:v>
                      </c:pt>
                      <c:pt idx="1">
                        <c:v>0</c:v>
                      </c:pt>
                      <c:pt idx="2">
                        <c:v>0</c:v>
                      </c:pt>
                      <c:pt idx="3">
                        <c:v>0</c:v>
                      </c:pt>
                      <c:pt idx="4">
                        <c:v>0</c:v>
                      </c:pt>
                      <c:pt idx="5">
                        <c:v>68.610000610351605</c:v>
                      </c:pt>
                      <c:pt idx="6">
                        <c:v>70.220001220703097</c:v>
                      </c:pt>
                      <c:pt idx="7">
                        <c:v>0</c:v>
                      </c:pt>
                      <c:pt idx="8">
                        <c:v>0</c:v>
                      </c:pt>
                      <c:pt idx="9">
                        <c:v>81.75</c:v>
                      </c:pt>
                      <c:pt idx="10">
                        <c:v>0</c:v>
                      </c:pt>
                      <c:pt idx="11">
                        <c:v>0</c:v>
                      </c:pt>
                      <c:pt idx="12">
                        <c:v>0</c:v>
                      </c:pt>
                      <c:pt idx="13">
                        <c:v>0</c:v>
                      </c:pt>
                      <c:pt idx="14">
                        <c:v>0</c:v>
                      </c:pt>
                      <c:pt idx="15">
                        <c:v>0</c:v>
                      </c:pt>
                      <c:pt idx="16">
                        <c:v>77.5</c:v>
                      </c:pt>
                      <c:pt idx="17">
                        <c:v>0</c:v>
                      </c:pt>
                      <c:pt idx="18">
                        <c:v>0</c:v>
                      </c:pt>
                      <c:pt idx="19">
                        <c:v>73</c:v>
                      </c:pt>
                      <c:pt idx="20">
                        <c:v>0</c:v>
                      </c:pt>
                      <c:pt idx="21">
                        <c:v>0</c:v>
                      </c:pt>
                    </c:numCache>
                  </c:numRef>
                </c:val>
                <c:smooth val="0"/>
                <c:extLst xmlns:c15="http://schemas.microsoft.com/office/drawing/2012/chart">
                  <c:ext xmlns:c16="http://schemas.microsoft.com/office/drawing/2014/chart" uri="{C3380CC4-5D6E-409C-BE32-E72D297353CC}">
                    <c16:uniqueId val="{00000018-0DBF-478B-9257-82BEBEB5411F}"/>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'Data LM'!$A$24</c15:sqref>
                        </c15:formulaRef>
                      </c:ext>
                    </c:extLst>
                    <c:strCache>
                      <c:ptCount val="1"/>
                      <c:pt idx="0">
                        <c:v>Labor force participation rate, male (% of male population ages 15-64) (modeled ILO estimate)</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LM'!$C$24:$X$24</c15:sqref>
                        </c15:formulaRef>
                      </c:ext>
                    </c:extLst>
                    <c:numCache>
                      <c:formatCode>0.0</c:formatCode>
                      <c:ptCount val="22"/>
                      <c:pt idx="0">
                        <c:v>74.099999999999994</c:v>
                      </c:pt>
                      <c:pt idx="1">
                        <c:v>73.430000000000007</c:v>
                      </c:pt>
                      <c:pt idx="2">
                        <c:v>72.7</c:v>
                      </c:pt>
                      <c:pt idx="3">
                        <c:v>71.94</c:v>
                      </c:pt>
                      <c:pt idx="4">
                        <c:v>71.16</c:v>
                      </c:pt>
                      <c:pt idx="5">
                        <c:v>70.36</c:v>
                      </c:pt>
                      <c:pt idx="6">
                        <c:v>71.44</c:v>
                      </c:pt>
                      <c:pt idx="7">
                        <c:v>72.52</c:v>
                      </c:pt>
                      <c:pt idx="8">
                        <c:v>73.540000000000006</c:v>
                      </c:pt>
                      <c:pt idx="9">
                        <c:v>74.459999999999994</c:v>
                      </c:pt>
                      <c:pt idx="10">
                        <c:v>75.260000000000005</c:v>
                      </c:pt>
                      <c:pt idx="11">
                        <c:v>75.98</c:v>
                      </c:pt>
                      <c:pt idx="12">
                        <c:v>76.59</c:v>
                      </c:pt>
                      <c:pt idx="13">
                        <c:v>77.13</c:v>
                      </c:pt>
                      <c:pt idx="14">
                        <c:v>77.63</c:v>
                      </c:pt>
                      <c:pt idx="15">
                        <c:v>78.11</c:v>
                      </c:pt>
                      <c:pt idx="16">
                        <c:v>78.569999999999993</c:v>
                      </c:pt>
                      <c:pt idx="17">
                        <c:v>77.98</c:v>
                      </c:pt>
                      <c:pt idx="18">
                        <c:v>77.37</c:v>
                      </c:pt>
                      <c:pt idx="19">
                        <c:v>76.760000000000005</c:v>
                      </c:pt>
                      <c:pt idx="20">
                        <c:v>0</c:v>
                      </c:pt>
                      <c:pt idx="21">
                        <c:v>0</c:v>
                      </c:pt>
                    </c:numCache>
                  </c:numRef>
                </c:val>
                <c:smooth val="0"/>
                <c:extLst xmlns:c15="http://schemas.microsoft.com/office/drawing/2012/chart">
                  <c:ext xmlns:c16="http://schemas.microsoft.com/office/drawing/2014/chart" uri="{C3380CC4-5D6E-409C-BE32-E72D297353CC}">
                    <c16:uniqueId val="{00000019-0DBF-478B-9257-82BEBEB5411F}"/>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'Data LM'!$A$25</c15:sqref>
                        </c15:formulaRef>
                      </c:ext>
                    </c:extLst>
                    <c:strCache>
                      <c:ptCount val="1"/>
                      <c:pt idx="0">
                        <c:v>Labor force participation rate, total (% of total population ages 15+) (modeled ILO estimate)</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LM'!$C$25:$X$25</c15:sqref>
                        </c15:formulaRef>
                      </c:ext>
                    </c:extLst>
                    <c:numCache>
                      <c:formatCode>0.0</c:formatCode>
                      <c:ptCount val="22"/>
                      <c:pt idx="0">
                        <c:v>72.512001037597699</c:v>
                      </c:pt>
                      <c:pt idx="1">
                        <c:v>72.633003234863295</c:v>
                      </c:pt>
                      <c:pt idx="2">
                        <c:v>72.753997802734403</c:v>
                      </c:pt>
                      <c:pt idx="3">
                        <c:v>72.874000549316406</c:v>
                      </c:pt>
                      <c:pt idx="4">
                        <c:v>72.994003295898395</c:v>
                      </c:pt>
                      <c:pt idx="5">
                        <c:v>73.113998413085895</c:v>
                      </c:pt>
                      <c:pt idx="6">
                        <c:v>73.234001159667997</c:v>
                      </c:pt>
                      <c:pt idx="7">
                        <c:v>73.352996826171903</c:v>
                      </c:pt>
                      <c:pt idx="8">
                        <c:v>73.472000122070298</c:v>
                      </c:pt>
                      <c:pt idx="9">
                        <c:v>73.589996337890597</c:v>
                      </c:pt>
                      <c:pt idx="10">
                        <c:v>73.708000183105497</c:v>
                      </c:pt>
                      <c:pt idx="11">
                        <c:v>73.825996398925795</c:v>
                      </c:pt>
                      <c:pt idx="12">
                        <c:v>73.944000244140597</c:v>
                      </c:pt>
                      <c:pt idx="13">
                        <c:v>74.060997009277301</c:v>
                      </c:pt>
                      <c:pt idx="14">
                        <c:v>74.177001953125</c:v>
                      </c:pt>
                      <c:pt idx="15">
                        <c:v>74.293998718261705</c:v>
                      </c:pt>
                      <c:pt idx="16">
                        <c:v>74.410003662109403</c:v>
                      </c:pt>
                      <c:pt idx="17">
                        <c:v>74.279998779296903</c:v>
                      </c:pt>
                      <c:pt idx="18">
                        <c:v>74.144996643066406</c:v>
                      </c:pt>
                      <c:pt idx="19">
                        <c:v>74.005996704101605</c:v>
                      </c:pt>
                      <c:pt idx="20">
                        <c:v>73.088996887207003</c:v>
                      </c:pt>
                      <c:pt idx="21">
                        <c:v>73.238998413085895</c:v>
                      </c:pt>
                    </c:numCache>
                  </c:numRef>
                </c:val>
                <c:smooth val="0"/>
                <c:extLst xmlns:c15="http://schemas.microsoft.com/office/drawing/2012/chart">
                  <c:ext xmlns:c16="http://schemas.microsoft.com/office/drawing/2014/chart" uri="{C3380CC4-5D6E-409C-BE32-E72D297353CC}">
                    <c16:uniqueId val="{0000001A-0DBF-478B-9257-82BEBEB5411F}"/>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'Data LM'!$A$26</c15:sqref>
                        </c15:formulaRef>
                      </c:ext>
                    </c:extLst>
                    <c:strCache>
                      <c:ptCount val="1"/>
                      <c:pt idx="0">
                        <c:v>Labor force participation rate, total (% of total population ages 15+) (national estimate)</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LM'!$C$26:$X$26</c15:sqref>
                        </c15:formulaRef>
                      </c:ext>
                    </c:extLst>
                    <c:numCache>
                      <c:formatCode>0.0</c:formatCode>
                      <c:ptCount val="22"/>
                      <c:pt idx="0">
                        <c:v>0</c:v>
                      </c:pt>
                      <c:pt idx="1">
                        <c:v>0</c:v>
                      </c:pt>
                      <c:pt idx="2">
                        <c:v>0</c:v>
                      </c:pt>
                      <c:pt idx="3">
                        <c:v>0</c:v>
                      </c:pt>
                      <c:pt idx="4">
                        <c:v>0</c:v>
                      </c:pt>
                      <c:pt idx="5">
                        <c:v>63.930000305175803</c:v>
                      </c:pt>
                      <c:pt idx="6">
                        <c:v>63.259998321533203</c:v>
                      </c:pt>
                      <c:pt idx="7">
                        <c:v>0</c:v>
                      </c:pt>
                      <c:pt idx="8">
                        <c:v>0</c:v>
                      </c:pt>
                      <c:pt idx="9">
                        <c:v>76.519996643066406</c:v>
                      </c:pt>
                      <c:pt idx="10">
                        <c:v>0</c:v>
                      </c:pt>
                      <c:pt idx="11">
                        <c:v>0</c:v>
                      </c:pt>
                      <c:pt idx="12">
                        <c:v>0</c:v>
                      </c:pt>
                      <c:pt idx="13">
                        <c:v>0</c:v>
                      </c:pt>
                      <c:pt idx="14">
                        <c:v>0</c:v>
                      </c:pt>
                      <c:pt idx="15">
                        <c:v>0</c:v>
                      </c:pt>
                      <c:pt idx="16">
                        <c:v>74.410003662109403</c:v>
                      </c:pt>
                      <c:pt idx="17">
                        <c:v>0</c:v>
                      </c:pt>
                      <c:pt idx="18">
                        <c:v>0</c:v>
                      </c:pt>
                      <c:pt idx="19">
                        <c:v>67.800003051757798</c:v>
                      </c:pt>
                      <c:pt idx="20">
                        <c:v>0</c:v>
                      </c:pt>
                      <c:pt idx="21">
                        <c:v>0</c:v>
                      </c:pt>
                    </c:numCache>
                  </c:numRef>
                </c:val>
                <c:smooth val="0"/>
                <c:extLst xmlns:c15="http://schemas.microsoft.com/office/drawing/2012/chart">
                  <c:ext xmlns:c16="http://schemas.microsoft.com/office/drawing/2014/chart" uri="{C3380CC4-5D6E-409C-BE32-E72D297353CC}">
                    <c16:uniqueId val="{0000001B-0DBF-478B-9257-82BEBEB5411F}"/>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'Data LM'!$A$27</c15:sqref>
                        </c15:formulaRef>
                      </c:ext>
                    </c:extLst>
                    <c:strCache>
                      <c:ptCount val="1"/>
                      <c:pt idx="0">
                        <c:v>Labor force participation rate, total (% of total population ages 15-64) (modeled ILO estimate)</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LM'!$C$27:$X$27</c15:sqref>
                        </c15:formulaRef>
                      </c:ext>
                    </c:extLst>
                    <c:numCache>
                      <c:formatCode>0.0</c:formatCode>
                      <c:ptCount val="22"/>
                      <c:pt idx="0">
                        <c:v>71.8</c:v>
                      </c:pt>
                      <c:pt idx="1">
                        <c:v>70.63</c:v>
                      </c:pt>
                      <c:pt idx="2">
                        <c:v>69.39</c:v>
                      </c:pt>
                      <c:pt idx="3">
                        <c:v>68.099999999999994</c:v>
                      </c:pt>
                      <c:pt idx="4">
                        <c:v>66.78</c:v>
                      </c:pt>
                      <c:pt idx="5">
                        <c:v>65.45</c:v>
                      </c:pt>
                      <c:pt idx="6">
                        <c:v>66.62</c:v>
                      </c:pt>
                      <c:pt idx="7">
                        <c:v>67.790000000000006</c:v>
                      </c:pt>
                      <c:pt idx="8">
                        <c:v>68.930000000000007</c:v>
                      </c:pt>
                      <c:pt idx="9">
                        <c:v>69.989999999999995</c:v>
                      </c:pt>
                      <c:pt idx="10">
                        <c:v>70.95</c:v>
                      </c:pt>
                      <c:pt idx="11">
                        <c:v>71.83</c:v>
                      </c:pt>
                      <c:pt idx="12">
                        <c:v>72.61</c:v>
                      </c:pt>
                      <c:pt idx="13">
                        <c:v>73.33</c:v>
                      </c:pt>
                      <c:pt idx="14">
                        <c:v>74.010000000000005</c:v>
                      </c:pt>
                      <c:pt idx="15">
                        <c:v>74.67</c:v>
                      </c:pt>
                      <c:pt idx="16">
                        <c:v>75.3</c:v>
                      </c:pt>
                      <c:pt idx="17">
                        <c:v>75.06</c:v>
                      </c:pt>
                      <c:pt idx="18">
                        <c:v>74.81</c:v>
                      </c:pt>
                      <c:pt idx="19">
                        <c:v>74.56</c:v>
                      </c:pt>
                      <c:pt idx="20">
                        <c:v>0</c:v>
                      </c:pt>
                      <c:pt idx="21">
                        <c:v>0</c:v>
                      </c:pt>
                    </c:numCache>
                  </c:numRef>
                </c:val>
                <c:smooth val="0"/>
                <c:extLst xmlns:c15="http://schemas.microsoft.com/office/drawing/2012/chart">
                  <c:ext xmlns:c16="http://schemas.microsoft.com/office/drawing/2014/chart" uri="{C3380CC4-5D6E-409C-BE32-E72D297353CC}">
                    <c16:uniqueId val="{0000001C-0DBF-478B-9257-82BEBEB5411F}"/>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'Data LM'!$A$28</c15:sqref>
                        </c15:formulaRef>
                      </c:ext>
                    </c:extLst>
                    <c:strCache>
                      <c:ptCount val="1"/>
                      <c:pt idx="0">
                        <c:v>Labor force with advanced education (% of total working-age population with advanced education)</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LM'!$C$28:$X$28</c15:sqref>
                        </c15:formulaRef>
                      </c:ext>
                    </c:extLst>
                    <c:numCache>
                      <c:formatCode>0.0</c:formatCode>
                      <c:ptCount val="22"/>
                      <c:pt idx="0">
                        <c:v>0</c:v>
                      </c:pt>
                      <c:pt idx="1">
                        <c:v>0</c:v>
                      </c:pt>
                      <c:pt idx="2">
                        <c:v>0</c:v>
                      </c:pt>
                      <c:pt idx="3">
                        <c:v>0</c:v>
                      </c:pt>
                      <c:pt idx="4">
                        <c:v>0</c:v>
                      </c:pt>
                      <c:pt idx="5">
                        <c:v>77.819999694824205</c:v>
                      </c:pt>
                      <c:pt idx="6">
                        <c:v>77.819999694824205</c:v>
                      </c:pt>
                      <c:pt idx="7">
                        <c:v>0</c:v>
                      </c:pt>
                      <c:pt idx="8">
                        <c:v>0</c:v>
                      </c:pt>
                      <c:pt idx="9">
                        <c:v>0</c:v>
                      </c:pt>
                      <c:pt idx="10">
                        <c:v>0</c:v>
                      </c:pt>
                      <c:pt idx="11">
                        <c:v>0</c:v>
                      </c:pt>
                      <c:pt idx="12">
                        <c:v>0</c:v>
                      </c:pt>
                      <c:pt idx="13">
                        <c:v>0</c:v>
                      </c:pt>
                      <c:pt idx="14">
                        <c:v>0</c:v>
                      </c:pt>
                      <c:pt idx="15">
                        <c:v>0</c:v>
                      </c:pt>
                      <c:pt idx="16">
                        <c:v>69.139999389648395</c:v>
                      </c:pt>
                      <c:pt idx="17">
                        <c:v>0</c:v>
                      </c:pt>
                      <c:pt idx="18">
                        <c:v>0</c:v>
                      </c:pt>
                      <c:pt idx="19">
                        <c:v>86.190002441406307</c:v>
                      </c:pt>
                      <c:pt idx="20">
                        <c:v>0</c:v>
                      </c:pt>
                      <c:pt idx="21">
                        <c:v>0</c:v>
                      </c:pt>
                    </c:numCache>
                  </c:numRef>
                </c:val>
                <c:smooth val="0"/>
                <c:extLst xmlns:c15="http://schemas.microsoft.com/office/drawing/2012/chart">
                  <c:ext xmlns:c16="http://schemas.microsoft.com/office/drawing/2014/chart" uri="{C3380CC4-5D6E-409C-BE32-E72D297353CC}">
                    <c16:uniqueId val="{0000001D-0DBF-478B-9257-82BEBEB5411F}"/>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'Data LM'!$A$29</c15:sqref>
                        </c15:formulaRef>
                      </c:ext>
                    </c:extLst>
                    <c:strCache>
                      <c:ptCount val="1"/>
                      <c:pt idx="0">
                        <c:v>Labor force with advanced education, female (% of female working-age population with advanced education)</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LM'!$C$29:$X$29</c15:sqref>
                        </c15:formulaRef>
                      </c:ext>
                    </c:extLst>
                    <c:numCache>
                      <c:formatCode>0.0</c:formatCode>
                      <c:ptCount val="22"/>
                      <c:pt idx="0">
                        <c:v>0</c:v>
                      </c:pt>
                      <c:pt idx="1">
                        <c:v>0</c:v>
                      </c:pt>
                      <c:pt idx="2">
                        <c:v>0</c:v>
                      </c:pt>
                      <c:pt idx="3">
                        <c:v>0</c:v>
                      </c:pt>
                      <c:pt idx="4">
                        <c:v>0</c:v>
                      </c:pt>
                      <c:pt idx="5">
                        <c:v>66.569999694824205</c:v>
                      </c:pt>
                      <c:pt idx="6">
                        <c:v>66.569999694824205</c:v>
                      </c:pt>
                      <c:pt idx="7">
                        <c:v>0</c:v>
                      </c:pt>
                      <c:pt idx="8">
                        <c:v>0</c:v>
                      </c:pt>
                      <c:pt idx="9">
                        <c:v>0</c:v>
                      </c:pt>
                      <c:pt idx="10">
                        <c:v>0</c:v>
                      </c:pt>
                      <c:pt idx="11">
                        <c:v>0</c:v>
                      </c:pt>
                      <c:pt idx="12">
                        <c:v>0</c:v>
                      </c:pt>
                      <c:pt idx="13">
                        <c:v>0</c:v>
                      </c:pt>
                      <c:pt idx="14">
                        <c:v>0</c:v>
                      </c:pt>
                      <c:pt idx="15">
                        <c:v>0</c:v>
                      </c:pt>
                      <c:pt idx="16">
                        <c:v>68.300003051757798</c:v>
                      </c:pt>
                      <c:pt idx="17">
                        <c:v>0</c:v>
                      </c:pt>
                      <c:pt idx="18">
                        <c:v>0</c:v>
                      </c:pt>
                      <c:pt idx="19">
                        <c:v>82.260002136230497</c:v>
                      </c:pt>
                      <c:pt idx="20">
                        <c:v>0</c:v>
                      </c:pt>
                      <c:pt idx="21">
                        <c:v>0</c:v>
                      </c:pt>
                    </c:numCache>
                  </c:numRef>
                </c:val>
                <c:smooth val="0"/>
                <c:extLst xmlns:c15="http://schemas.microsoft.com/office/drawing/2012/chart">
                  <c:ext xmlns:c16="http://schemas.microsoft.com/office/drawing/2014/chart" uri="{C3380CC4-5D6E-409C-BE32-E72D297353CC}">
                    <c16:uniqueId val="{0000001E-0DBF-478B-9257-82BEBEB5411F}"/>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'Data LM'!$A$30</c15:sqref>
                        </c15:formulaRef>
                      </c:ext>
                    </c:extLst>
                    <c:strCache>
                      <c:ptCount val="1"/>
                      <c:pt idx="0">
                        <c:v>Labor force with advanced education, male (% of male working-age population with advanced education)</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LM'!$C$30:$X$30</c15:sqref>
                        </c15:formulaRef>
                      </c:ext>
                    </c:extLst>
                    <c:numCache>
                      <c:formatCode>0.0</c:formatCode>
                      <c:ptCount val="22"/>
                      <c:pt idx="0">
                        <c:v>0</c:v>
                      </c:pt>
                      <c:pt idx="1">
                        <c:v>0</c:v>
                      </c:pt>
                      <c:pt idx="2">
                        <c:v>0</c:v>
                      </c:pt>
                      <c:pt idx="3">
                        <c:v>0</c:v>
                      </c:pt>
                      <c:pt idx="4">
                        <c:v>0</c:v>
                      </c:pt>
                      <c:pt idx="5">
                        <c:v>83.129997253417997</c:v>
                      </c:pt>
                      <c:pt idx="6">
                        <c:v>83.129997253417997</c:v>
                      </c:pt>
                      <c:pt idx="7">
                        <c:v>0</c:v>
                      </c:pt>
                      <c:pt idx="8">
                        <c:v>0</c:v>
                      </c:pt>
                      <c:pt idx="9">
                        <c:v>0</c:v>
                      </c:pt>
                      <c:pt idx="10">
                        <c:v>0</c:v>
                      </c:pt>
                      <c:pt idx="11">
                        <c:v>0</c:v>
                      </c:pt>
                      <c:pt idx="12">
                        <c:v>0</c:v>
                      </c:pt>
                      <c:pt idx="13">
                        <c:v>0</c:v>
                      </c:pt>
                      <c:pt idx="14">
                        <c:v>0</c:v>
                      </c:pt>
                      <c:pt idx="15">
                        <c:v>0</c:v>
                      </c:pt>
                      <c:pt idx="16">
                        <c:v>69.699996948242202</c:v>
                      </c:pt>
                      <c:pt idx="17">
                        <c:v>0</c:v>
                      </c:pt>
                      <c:pt idx="18">
                        <c:v>0</c:v>
                      </c:pt>
                      <c:pt idx="19">
                        <c:v>88.879997253417997</c:v>
                      </c:pt>
                      <c:pt idx="20">
                        <c:v>0</c:v>
                      </c:pt>
                      <c:pt idx="21">
                        <c:v>0</c:v>
                      </c:pt>
                    </c:numCache>
                  </c:numRef>
                </c:val>
                <c:smooth val="0"/>
                <c:extLst xmlns:c15="http://schemas.microsoft.com/office/drawing/2012/chart">
                  <c:ext xmlns:c16="http://schemas.microsoft.com/office/drawing/2014/chart" uri="{C3380CC4-5D6E-409C-BE32-E72D297353CC}">
                    <c16:uniqueId val="{0000001F-0DBF-478B-9257-82BEBEB5411F}"/>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'Data LM'!$A$31</c15:sqref>
                        </c15:formulaRef>
                      </c:ext>
                    </c:extLst>
                    <c:strCache>
                      <c:ptCount val="1"/>
                      <c:pt idx="0">
                        <c:v>Labor force with basic education (% of total working-age population with basic education)</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LM'!$C$31:$X$31</c15:sqref>
                        </c15:formulaRef>
                      </c:ext>
                    </c:extLst>
                    <c:numCache>
                      <c:formatCode>0.0</c:formatCode>
                      <c:ptCount val="22"/>
                      <c:pt idx="0">
                        <c:v>0</c:v>
                      </c:pt>
                      <c:pt idx="1">
                        <c:v>0</c:v>
                      </c:pt>
                      <c:pt idx="2">
                        <c:v>0</c:v>
                      </c:pt>
                      <c:pt idx="3">
                        <c:v>0</c:v>
                      </c:pt>
                      <c:pt idx="4">
                        <c:v>0</c:v>
                      </c:pt>
                      <c:pt idx="5">
                        <c:v>58.950000762939503</c:v>
                      </c:pt>
                      <c:pt idx="6">
                        <c:v>58.950000762939503</c:v>
                      </c:pt>
                      <c:pt idx="7">
                        <c:v>0</c:v>
                      </c:pt>
                      <c:pt idx="8">
                        <c:v>0</c:v>
                      </c:pt>
                      <c:pt idx="9">
                        <c:v>0</c:v>
                      </c:pt>
                      <c:pt idx="10">
                        <c:v>0</c:v>
                      </c:pt>
                      <c:pt idx="11">
                        <c:v>0</c:v>
                      </c:pt>
                      <c:pt idx="12">
                        <c:v>0</c:v>
                      </c:pt>
                      <c:pt idx="13">
                        <c:v>0</c:v>
                      </c:pt>
                      <c:pt idx="14">
                        <c:v>0</c:v>
                      </c:pt>
                      <c:pt idx="15">
                        <c:v>0</c:v>
                      </c:pt>
                      <c:pt idx="16">
                        <c:v>79.059997558593807</c:v>
                      </c:pt>
                      <c:pt idx="17">
                        <c:v>0</c:v>
                      </c:pt>
                      <c:pt idx="18">
                        <c:v>0</c:v>
                      </c:pt>
                      <c:pt idx="19">
                        <c:v>65.779998779296903</c:v>
                      </c:pt>
                      <c:pt idx="20">
                        <c:v>0</c:v>
                      </c:pt>
                      <c:pt idx="21">
                        <c:v>0</c:v>
                      </c:pt>
                    </c:numCache>
                  </c:numRef>
                </c:val>
                <c:smooth val="0"/>
                <c:extLst xmlns:c15="http://schemas.microsoft.com/office/drawing/2012/chart">
                  <c:ext xmlns:c16="http://schemas.microsoft.com/office/drawing/2014/chart" uri="{C3380CC4-5D6E-409C-BE32-E72D297353CC}">
                    <c16:uniqueId val="{00000020-0DBF-478B-9257-82BEBEB5411F}"/>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'Data LM'!$A$32</c15:sqref>
                        </c15:formulaRef>
                      </c:ext>
                    </c:extLst>
                    <c:strCache>
                      <c:ptCount val="1"/>
                      <c:pt idx="0">
                        <c:v>Labor force with basic education, female (% of female working-age population with basic education)</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LM'!$C$32:$X$32</c15:sqref>
                        </c15:formulaRef>
                      </c:ext>
                    </c:extLst>
                    <c:numCache>
                      <c:formatCode>0.0</c:formatCode>
                      <c:ptCount val="22"/>
                      <c:pt idx="0">
                        <c:v>0</c:v>
                      </c:pt>
                      <c:pt idx="1">
                        <c:v>0</c:v>
                      </c:pt>
                      <c:pt idx="2">
                        <c:v>0</c:v>
                      </c:pt>
                      <c:pt idx="3">
                        <c:v>0</c:v>
                      </c:pt>
                      <c:pt idx="4">
                        <c:v>0</c:v>
                      </c:pt>
                      <c:pt idx="5">
                        <c:v>52.869998931884801</c:v>
                      </c:pt>
                      <c:pt idx="6">
                        <c:v>52.869998931884801</c:v>
                      </c:pt>
                      <c:pt idx="7">
                        <c:v>0</c:v>
                      </c:pt>
                      <c:pt idx="8">
                        <c:v>0</c:v>
                      </c:pt>
                      <c:pt idx="9">
                        <c:v>0</c:v>
                      </c:pt>
                      <c:pt idx="10">
                        <c:v>0</c:v>
                      </c:pt>
                      <c:pt idx="11">
                        <c:v>0</c:v>
                      </c:pt>
                      <c:pt idx="12">
                        <c:v>0</c:v>
                      </c:pt>
                      <c:pt idx="13">
                        <c:v>0</c:v>
                      </c:pt>
                      <c:pt idx="14">
                        <c:v>0</c:v>
                      </c:pt>
                      <c:pt idx="15">
                        <c:v>0</c:v>
                      </c:pt>
                      <c:pt idx="16">
                        <c:v>77.589996337890597</c:v>
                      </c:pt>
                      <c:pt idx="17">
                        <c:v>0</c:v>
                      </c:pt>
                      <c:pt idx="18">
                        <c:v>0</c:v>
                      </c:pt>
                      <c:pt idx="19">
                        <c:v>63</c:v>
                      </c:pt>
                      <c:pt idx="20">
                        <c:v>0</c:v>
                      </c:pt>
                      <c:pt idx="21">
                        <c:v>0</c:v>
                      </c:pt>
                    </c:numCache>
                  </c:numRef>
                </c:val>
                <c:smooth val="0"/>
                <c:extLst xmlns:c15="http://schemas.microsoft.com/office/drawing/2012/chart">
                  <c:ext xmlns:c16="http://schemas.microsoft.com/office/drawing/2014/chart" uri="{C3380CC4-5D6E-409C-BE32-E72D297353CC}">
                    <c16:uniqueId val="{00000021-0DBF-478B-9257-82BEBEB5411F}"/>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'Data LM'!$A$33</c15:sqref>
                        </c15:formulaRef>
                      </c:ext>
                    </c:extLst>
                    <c:strCache>
                      <c:ptCount val="1"/>
                      <c:pt idx="0">
                        <c:v>Labor force with basic education, male (% of male working-age population with basic education)</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LM'!$C$33:$X$33</c15:sqref>
                        </c15:formulaRef>
                      </c:ext>
                    </c:extLst>
                    <c:numCache>
                      <c:formatCode>0.0</c:formatCode>
                      <c:ptCount val="22"/>
                      <c:pt idx="0">
                        <c:v>0</c:v>
                      </c:pt>
                      <c:pt idx="1">
                        <c:v>0</c:v>
                      </c:pt>
                      <c:pt idx="2">
                        <c:v>0</c:v>
                      </c:pt>
                      <c:pt idx="3">
                        <c:v>0</c:v>
                      </c:pt>
                      <c:pt idx="4">
                        <c:v>0</c:v>
                      </c:pt>
                      <c:pt idx="5">
                        <c:v>64.980003356933594</c:v>
                      </c:pt>
                      <c:pt idx="6">
                        <c:v>64.980003356933594</c:v>
                      </c:pt>
                      <c:pt idx="7">
                        <c:v>0</c:v>
                      </c:pt>
                      <c:pt idx="8">
                        <c:v>0</c:v>
                      </c:pt>
                      <c:pt idx="9">
                        <c:v>0</c:v>
                      </c:pt>
                      <c:pt idx="10">
                        <c:v>0</c:v>
                      </c:pt>
                      <c:pt idx="11">
                        <c:v>0</c:v>
                      </c:pt>
                      <c:pt idx="12">
                        <c:v>0</c:v>
                      </c:pt>
                      <c:pt idx="13">
                        <c:v>0</c:v>
                      </c:pt>
                      <c:pt idx="14">
                        <c:v>0</c:v>
                      </c:pt>
                      <c:pt idx="15">
                        <c:v>0</c:v>
                      </c:pt>
                      <c:pt idx="16">
                        <c:v>80.580001831054702</c:v>
                      </c:pt>
                      <c:pt idx="17">
                        <c:v>0</c:v>
                      </c:pt>
                      <c:pt idx="18">
                        <c:v>0</c:v>
                      </c:pt>
                      <c:pt idx="19">
                        <c:v>68.830001831054702</c:v>
                      </c:pt>
                      <c:pt idx="20">
                        <c:v>0</c:v>
                      </c:pt>
                      <c:pt idx="21">
                        <c:v>0</c:v>
                      </c:pt>
                    </c:numCache>
                  </c:numRef>
                </c:val>
                <c:smooth val="0"/>
                <c:extLst xmlns:c15="http://schemas.microsoft.com/office/drawing/2012/chart">
                  <c:ext xmlns:c16="http://schemas.microsoft.com/office/drawing/2014/chart" uri="{C3380CC4-5D6E-409C-BE32-E72D297353CC}">
                    <c16:uniqueId val="{00000022-0DBF-478B-9257-82BEBEB5411F}"/>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'Data LM'!$A$34</c15:sqref>
                        </c15:formulaRef>
                      </c:ext>
                    </c:extLst>
                    <c:strCache>
                      <c:ptCount val="1"/>
                      <c:pt idx="0">
                        <c:v>Labor force with intermediate education (% of total working-age population with intermediate education)</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LM'!$C$34:$X$34</c15:sqref>
                        </c15:formulaRef>
                      </c:ext>
                    </c:extLst>
                    <c:numCache>
                      <c:formatCode>0.0</c:formatCode>
                      <c:ptCount val="22"/>
                      <c:pt idx="0">
                        <c:v>0</c:v>
                      </c:pt>
                      <c:pt idx="1">
                        <c:v>0</c:v>
                      </c:pt>
                      <c:pt idx="2">
                        <c:v>0</c:v>
                      </c:pt>
                      <c:pt idx="3">
                        <c:v>0</c:v>
                      </c:pt>
                      <c:pt idx="4">
                        <c:v>0</c:v>
                      </c:pt>
                      <c:pt idx="5">
                        <c:v>78.089996337890597</c:v>
                      </c:pt>
                      <c:pt idx="6">
                        <c:v>78.089996337890597</c:v>
                      </c:pt>
                      <c:pt idx="7">
                        <c:v>0</c:v>
                      </c:pt>
                      <c:pt idx="8">
                        <c:v>0</c:v>
                      </c:pt>
                      <c:pt idx="9">
                        <c:v>0</c:v>
                      </c:pt>
                      <c:pt idx="10">
                        <c:v>0</c:v>
                      </c:pt>
                      <c:pt idx="11">
                        <c:v>0</c:v>
                      </c:pt>
                      <c:pt idx="12">
                        <c:v>0</c:v>
                      </c:pt>
                      <c:pt idx="13">
                        <c:v>0</c:v>
                      </c:pt>
                      <c:pt idx="14">
                        <c:v>0</c:v>
                      </c:pt>
                      <c:pt idx="15">
                        <c:v>0</c:v>
                      </c:pt>
                      <c:pt idx="16">
                        <c:v>70.879997253417997</c:v>
                      </c:pt>
                      <c:pt idx="17">
                        <c:v>0</c:v>
                      </c:pt>
                      <c:pt idx="18">
                        <c:v>0</c:v>
                      </c:pt>
                      <c:pt idx="19">
                        <c:v>73.410003662109403</c:v>
                      </c:pt>
                      <c:pt idx="20">
                        <c:v>0</c:v>
                      </c:pt>
                      <c:pt idx="21">
                        <c:v>0</c:v>
                      </c:pt>
                    </c:numCache>
                  </c:numRef>
                </c:val>
                <c:smooth val="0"/>
                <c:extLst xmlns:c15="http://schemas.microsoft.com/office/drawing/2012/chart">
                  <c:ext xmlns:c16="http://schemas.microsoft.com/office/drawing/2014/chart" uri="{C3380CC4-5D6E-409C-BE32-E72D297353CC}">
                    <c16:uniqueId val="{00000023-0DBF-478B-9257-82BEBEB5411F}"/>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'Data LM'!$A$35</c15:sqref>
                        </c15:formulaRef>
                      </c:ext>
                    </c:extLst>
                    <c:strCache>
                      <c:ptCount val="1"/>
                      <c:pt idx="0">
                        <c:v>Labor force with intermediate education, female (% of female working-age population with intermediate education)</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LM'!$C$35:$X$35</c15:sqref>
                        </c15:formulaRef>
                      </c:ext>
                    </c:extLst>
                    <c:numCache>
                      <c:formatCode>0.0</c:formatCode>
                      <c:ptCount val="22"/>
                      <c:pt idx="0">
                        <c:v>0</c:v>
                      </c:pt>
                      <c:pt idx="1">
                        <c:v>0</c:v>
                      </c:pt>
                      <c:pt idx="2">
                        <c:v>0</c:v>
                      </c:pt>
                      <c:pt idx="3">
                        <c:v>0</c:v>
                      </c:pt>
                      <c:pt idx="4">
                        <c:v>0</c:v>
                      </c:pt>
                      <c:pt idx="5">
                        <c:v>70.930000305175795</c:v>
                      </c:pt>
                      <c:pt idx="6">
                        <c:v>70.930000305175795</c:v>
                      </c:pt>
                      <c:pt idx="7">
                        <c:v>0</c:v>
                      </c:pt>
                      <c:pt idx="8">
                        <c:v>0</c:v>
                      </c:pt>
                      <c:pt idx="9">
                        <c:v>0</c:v>
                      </c:pt>
                      <c:pt idx="10">
                        <c:v>0</c:v>
                      </c:pt>
                      <c:pt idx="11">
                        <c:v>0</c:v>
                      </c:pt>
                      <c:pt idx="12">
                        <c:v>0</c:v>
                      </c:pt>
                      <c:pt idx="13">
                        <c:v>0</c:v>
                      </c:pt>
                      <c:pt idx="14">
                        <c:v>0</c:v>
                      </c:pt>
                      <c:pt idx="15">
                        <c:v>0</c:v>
                      </c:pt>
                      <c:pt idx="16">
                        <c:v>66.470001220703097</c:v>
                      </c:pt>
                      <c:pt idx="17">
                        <c:v>0</c:v>
                      </c:pt>
                      <c:pt idx="18">
                        <c:v>0</c:v>
                      </c:pt>
                      <c:pt idx="19">
                        <c:v>64.809997558593807</c:v>
                      </c:pt>
                      <c:pt idx="20">
                        <c:v>0</c:v>
                      </c:pt>
                      <c:pt idx="21">
                        <c:v>0</c:v>
                      </c:pt>
                    </c:numCache>
                  </c:numRef>
                </c:val>
                <c:smooth val="0"/>
                <c:extLst xmlns:c15="http://schemas.microsoft.com/office/drawing/2012/chart">
                  <c:ext xmlns:c16="http://schemas.microsoft.com/office/drawing/2014/chart" uri="{C3380CC4-5D6E-409C-BE32-E72D297353CC}">
                    <c16:uniqueId val="{00000024-0DBF-478B-9257-82BEBEB5411F}"/>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'Data LM'!$A$36</c15:sqref>
                        </c15:formulaRef>
                      </c:ext>
                    </c:extLst>
                    <c:strCache>
                      <c:ptCount val="1"/>
                      <c:pt idx="0">
                        <c:v>Labor force with intermediate education, male (% of male working-age population with intermediate education)</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LM'!$C$36:$X$36</c15:sqref>
                        </c15:formulaRef>
                      </c:ext>
                    </c:extLst>
                    <c:numCache>
                      <c:formatCode>0.0</c:formatCode>
                      <c:ptCount val="22"/>
                      <c:pt idx="0">
                        <c:v>0</c:v>
                      </c:pt>
                      <c:pt idx="1">
                        <c:v>0</c:v>
                      </c:pt>
                      <c:pt idx="2">
                        <c:v>0</c:v>
                      </c:pt>
                      <c:pt idx="3">
                        <c:v>0</c:v>
                      </c:pt>
                      <c:pt idx="4">
                        <c:v>0</c:v>
                      </c:pt>
                      <c:pt idx="5">
                        <c:v>83.569999694824205</c:v>
                      </c:pt>
                      <c:pt idx="6">
                        <c:v>83.569999694824205</c:v>
                      </c:pt>
                      <c:pt idx="7">
                        <c:v>0</c:v>
                      </c:pt>
                      <c:pt idx="8">
                        <c:v>0</c:v>
                      </c:pt>
                      <c:pt idx="9">
                        <c:v>0</c:v>
                      </c:pt>
                      <c:pt idx="10">
                        <c:v>0</c:v>
                      </c:pt>
                      <c:pt idx="11">
                        <c:v>0</c:v>
                      </c:pt>
                      <c:pt idx="12">
                        <c:v>0</c:v>
                      </c:pt>
                      <c:pt idx="13">
                        <c:v>0</c:v>
                      </c:pt>
                      <c:pt idx="14">
                        <c:v>0</c:v>
                      </c:pt>
                      <c:pt idx="15">
                        <c:v>0</c:v>
                      </c:pt>
                      <c:pt idx="16">
                        <c:v>74.989997863769503</c:v>
                      </c:pt>
                      <c:pt idx="17">
                        <c:v>0</c:v>
                      </c:pt>
                      <c:pt idx="18">
                        <c:v>0</c:v>
                      </c:pt>
                      <c:pt idx="19">
                        <c:v>79.940002441406307</c:v>
                      </c:pt>
                      <c:pt idx="20">
                        <c:v>0</c:v>
                      </c:pt>
                      <c:pt idx="21">
                        <c:v>0</c:v>
                      </c:pt>
                    </c:numCache>
                  </c:numRef>
                </c:val>
                <c:smooth val="0"/>
                <c:extLst xmlns:c15="http://schemas.microsoft.com/office/drawing/2012/chart">
                  <c:ext xmlns:c16="http://schemas.microsoft.com/office/drawing/2014/chart" uri="{C3380CC4-5D6E-409C-BE32-E72D297353CC}">
                    <c16:uniqueId val="{00000025-0DBF-478B-9257-82BEBEB5411F}"/>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'Data LM'!$A$37</c15:sqref>
                        </c15:formulaRef>
                      </c:ext>
                    </c:extLst>
                    <c:strCache>
                      <c:ptCount val="1"/>
                      <c:pt idx="0">
                        <c:v>Labor force, female (% of total labor force)</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LM'!$C$37:$X$37</c15:sqref>
                        </c15:formulaRef>
                      </c:ext>
                    </c:extLst>
                    <c:numCache>
                      <c:formatCode>0.0</c:formatCode>
                      <c:ptCount val="22"/>
                      <c:pt idx="0">
                        <c:v>49.44905113837391</c:v>
                      </c:pt>
                      <c:pt idx="1">
                        <c:v>49.419118473876118</c:v>
                      </c:pt>
                      <c:pt idx="2">
                        <c:v>49.385341912071013</c:v>
                      </c:pt>
                      <c:pt idx="3">
                        <c:v>49.348688481543284</c:v>
                      </c:pt>
                      <c:pt idx="4">
                        <c:v>49.309857659369641</c:v>
                      </c:pt>
                      <c:pt idx="5">
                        <c:v>49.271817649043101</c:v>
                      </c:pt>
                      <c:pt idx="6">
                        <c:v>49.235928643255825</c:v>
                      </c:pt>
                      <c:pt idx="7">
                        <c:v>49.200012757638021</c:v>
                      </c:pt>
                      <c:pt idx="8">
                        <c:v>49.162796540594336</c:v>
                      </c:pt>
                      <c:pt idx="9">
                        <c:v>49.123351250448636</c:v>
                      </c:pt>
                      <c:pt idx="10">
                        <c:v>49.080251544128657</c:v>
                      </c:pt>
                      <c:pt idx="11">
                        <c:v>49.036485294882731</c:v>
                      </c:pt>
                      <c:pt idx="12">
                        <c:v>48.98793845742086</c:v>
                      </c:pt>
                      <c:pt idx="13">
                        <c:v>48.935622203539381</c:v>
                      </c:pt>
                      <c:pt idx="14">
                        <c:v>48.88403570059662</c:v>
                      </c:pt>
                      <c:pt idx="15">
                        <c:v>48.832268867347736</c:v>
                      </c:pt>
                      <c:pt idx="16">
                        <c:v>48.783468523586691</c:v>
                      </c:pt>
                      <c:pt idx="17">
                        <c:v>48.998449127471297</c:v>
                      </c:pt>
                      <c:pt idx="18">
                        <c:v>49.226604338347698</c:v>
                      </c:pt>
                      <c:pt idx="19">
                        <c:v>49.464802908239527</c:v>
                      </c:pt>
                      <c:pt idx="20">
                        <c:v>49.21040702983737</c:v>
                      </c:pt>
                      <c:pt idx="21">
                        <c:v>49.199469050283696</c:v>
                      </c:pt>
                    </c:numCache>
                  </c:numRef>
                </c:val>
                <c:smooth val="0"/>
                <c:extLst xmlns:c15="http://schemas.microsoft.com/office/drawing/2012/chart">
                  <c:ext xmlns:c16="http://schemas.microsoft.com/office/drawing/2014/chart" uri="{C3380CC4-5D6E-409C-BE32-E72D297353CC}">
                    <c16:uniqueId val="{00000026-0DBF-478B-9257-82BEBEB5411F}"/>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'Data LM'!$A$38</c15:sqref>
                        </c15:formulaRef>
                      </c:ext>
                    </c:extLst>
                    <c:strCache>
                      <c:ptCount val="1"/>
                      <c:pt idx="0">
                        <c:v>Self-employed, female (% of female employment) (modeled ILO estimate)</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LM'!$C$38:$X$38</c15:sqref>
                        </c15:formulaRef>
                      </c:ext>
                    </c:extLst>
                    <c:numCache>
                      <c:formatCode>0.0</c:formatCode>
                      <c:ptCount val="22"/>
                      <c:pt idx="0">
                        <c:v>79.559997558593807</c:v>
                      </c:pt>
                      <c:pt idx="1">
                        <c:v>79.319999694824205</c:v>
                      </c:pt>
                      <c:pt idx="2">
                        <c:v>79.010002136230497</c:v>
                      </c:pt>
                      <c:pt idx="3">
                        <c:v>78.900001525878906</c:v>
                      </c:pt>
                      <c:pt idx="4">
                        <c:v>78.610000610351605</c:v>
                      </c:pt>
                      <c:pt idx="5">
                        <c:v>78.410003662109403</c:v>
                      </c:pt>
                      <c:pt idx="6">
                        <c:v>78.449996948242202</c:v>
                      </c:pt>
                      <c:pt idx="7">
                        <c:v>76.540000915527301</c:v>
                      </c:pt>
                      <c:pt idx="8">
                        <c:v>74.910003662109403</c:v>
                      </c:pt>
                      <c:pt idx="9">
                        <c:v>73.080001831054702</c:v>
                      </c:pt>
                      <c:pt idx="10">
                        <c:v>71.180000305175795</c:v>
                      </c:pt>
                      <c:pt idx="11">
                        <c:v>69.190002441406307</c:v>
                      </c:pt>
                      <c:pt idx="12">
                        <c:v>67.360000610351605</c:v>
                      </c:pt>
                      <c:pt idx="13">
                        <c:v>65.589996337890597</c:v>
                      </c:pt>
                      <c:pt idx="14">
                        <c:v>63.900001525878899</c:v>
                      </c:pt>
                      <c:pt idx="15">
                        <c:v>62.209999084472699</c:v>
                      </c:pt>
                      <c:pt idx="16">
                        <c:v>60.610000610351598</c:v>
                      </c:pt>
                      <c:pt idx="17">
                        <c:v>59.459999084472699</c:v>
                      </c:pt>
                      <c:pt idx="18">
                        <c:v>58.340000152587898</c:v>
                      </c:pt>
                      <c:pt idx="19">
                        <c:v>57.2299995422363</c:v>
                      </c:pt>
                      <c:pt idx="20">
                        <c:v>0</c:v>
                      </c:pt>
                      <c:pt idx="21">
                        <c:v>0</c:v>
                      </c:pt>
                    </c:numCache>
                  </c:numRef>
                </c:val>
                <c:smooth val="0"/>
                <c:extLst xmlns:c15="http://schemas.microsoft.com/office/drawing/2012/chart">
                  <c:ext xmlns:c16="http://schemas.microsoft.com/office/drawing/2014/chart" uri="{C3380CC4-5D6E-409C-BE32-E72D297353CC}">
                    <c16:uniqueId val="{00000027-0DBF-478B-9257-82BEBEB5411F}"/>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'Data LM'!$A$39</c15:sqref>
                        </c15:formulaRef>
                      </c:ext>
                    </c:extLst>
                    <c:strCache>
                      <c:ptCount val="1"/>
                      <c:pt idx="0">
                        <c:v>Self-employed, male (% of male employment) (modeled ILO estimate)</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LM'!$C$39:$X$39</c15:sqref>
                        </c15:formulaRef>
                      </c:ext>
                    </c:extLst>
                    <c:numCache>
                      <c:formatCode>0.0</c:formatCode>
                      <c:ptCount val="22"/>
                      <c:pt idx="0">
                        <c:v>53.470001220703097</c:v>
                      </c:pt>
                      <c:pt idx="1">
                        <c:v>54.75</c:v>
                      </c:pt>
                      <c:pt idx="2">
                        <c:v>56.159999847412102</c:v>
                      </c:pt>
                      <c:pt idx="3">
                        <c:v>57.490001678466797</c:v>
                      </c:pt>
                      <c:pt idx="4">
                        <c:v>58.189998626708999</c:v>
                      </c:pt>
                      <c:pt idx="5">
                        <c:v>58.740001678466797</c:v>
                      </c:pt>
                      <c:pt idx="6">
                        <c:v>59.650001525878899</c:v>
                      </c:pt>
                      <c:pt idx="7">
                        <c:v>57.450000762939503</c:v>
                      </c:pt>
                      <c:pt idx="8">
                        <c:v>56.430000305175803</c:v>
                      </c:pt>
                      <c:pt idx="9">
                        <c:v>54.900001525878899</c:v>
                      </c:pt>
                      <c:pt idx="10">
                        <c:v>52.869998931884801</c:v>
                      </c:pt>
                      <c:pt idx="11">
                        <c:v>51.0200004577637</c:v>
                      </c:pt>
                      <c:pt idx="12">
                        <c:v>49.580001831054702</c:v>
                      </c:pt>
                      <c:pt idx="13">
                        <c:v>48.150001525878899</c:v>
                      </c:pt>
                      <c:pt idx="14">
                        <c:v>46.849998474121101</c:v>
                      </c:pt>
                      <c:pt idx="15">
                        <c:v>45.580001831054702</c:v>
                      </c:pt>
                      <c:pt idx="16">
                        <c:v>44.459999084472699</c:v>
                      </c:pt>
                      <c:pt idx="17">
                        <c:v>43.590000152587898</c:v>
                      </c:pt>
                      <c:pt idx="18">
                        <c:v>42.580001831054702</c:v>
                      </c:pt>
                      <c:pt idx="19">
                        <c:v>41.630001068115199</c:v>
                      </c:pt>
                      <c:pt idx="20">
                        <c:v>0</c:v>
                      </c:pt>
                      <c:pt idx="21">
                        <c:v>0</c:v>
                      </c:pt>
                    </c:numCache>
                  </c:numRef>
                </c:val>
                <c:smooth val="0"/>
                <c:extLst xmlns:c15="http://schemas.microsoft.com/office/drawing/2012/chart">
                  <c:ext xmlns:c16="http://schemas.microsoft.com/office/drawing/2014/chart" uri="{C3380CC4-5D6E-409C-BE32-E72D297353CC}">
                    <c16:uniqueId val="{00000028-0DBF-478B-9257-82BEBEB5411F}"/>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'Data LM'!$A$40</c15:sqref>
                        </c15:formulaRef>
                      </c:ext>
                    </c:extLst>
                    <c:strCache>
                      <c:ptCount val="1"/>
                      <c:pt idx="0">
                        <c:v>Self-employed, total (% of total employment) (modeled ILO estimate)</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LM'!$C$40:$X$40</c15:sqref>
                        </c15:formulaRef>
                      </c:ext>
                    </c:extLst>
                    <c:numCache>
                      <c:formatCode>0.0</c:formatCode>
                      <c:ptCount val="22"/>
                      <c:pt idx="0">
                        <c:v>66.300003051757798</c:v>
                      </c:pt>
                      <c:pt idx="1">
                        <c:v>66.730003356933594</c:v>
                      </c:pt>
                      <c:pt idx="2">
                        <c:v>67.220001220703097</c:v>
                      </c:pt>
                      <c:pt idx="3">
                        <c:v>67.760002136230497</c:v>
                      </c:pt>
                      <c:pt idx="4">
                        <c:v>67.889999389648395</c:v>
                      </c:pt>
                      <c:pt idx="5">
                        <c:v>67.989997863769503</c:v>
                      </c:pt>
                      <c:pt idx="6">
                        <c:v>68.519996643066406</c:v>
                      </c:pt>
                      <c:pt idx="7">
                        <c:v>66.480003356933594</c:v>
                      </c:pt>
                      <c:pt idx="8">
                        <c:v>65.209999084472699</c:v>
                      </c:pt>
                      <c:pt idx="9">
                        <c:v>63.560001373291001</c:v>
                      </c:pt>
                      <c:pt idx="10">
                        <c:v>61.610000610351598</c:v>
                      </c:pt>
                      <c:pt idx="11">
                        <c:v>59.720001220703097</c:v>
                      </c:pt>
                      <c:pt idx="12">
                        <c:v>58.119998931884801</c:v>
                      </c:pt>
                      <c:pt idx="13">
                        <c:v>56.549999237060497</c:v>
                      </c:pt>
                      <c:pt idx="14">
                        <c:v>55.080001831054702</c:v>
                      </c:pt>
                      <c:pt idx="15">
                        <c:v>53.630001068115199</c:v>
                      </c:pt>
                      <c:pt idx="16">
                        <c:v>52.290000915527301</c:v>
                      </c:pt>
                      <c:pt idx="17">
                        <c:v>51.330001831054702</c:v>
                      </c:pt>
                      <c:pt idx="18">
                        <c:v>50.290000915527301</c:v>
                      </c:pt>
                      <c:pt idx="19">
                        <c:v>49.2700004577637</c:v>
                      </c:pt>
                      <c:pt idx="20">
                        <c:v>0</c:v>
                      </c:pt>
                      <c:pt idx="21">
                        <c:v>0</c:v>
                      </c:pt>
                    </c:numCache>
                  </c:numRef>
                </c:val>
                <c:smooth val="0"/>
                <c:extLst xmlns:c15="http://schemas.microsoft.com/office/drawing/2012/chart">
                  <c:ext xmlns:c16="http://schemas.microsoft.com/office/drawing/2014/chart" uri="{C3380CC4-5D6E-409C-BE32-E72D297353CC}">
                    <c16:uniqueId val="{00000029-0DBF-478B-9257-82BEBEB5411F}"/>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'Data LM'!$A$41</c15:sqref>
                        </c15:formulaRef>
                      </c:ext>
                    </c:extLst>
                    <c:strCache>
                      <c:ptCount val="1"/>
                      <c:pt idx="0">
                        <c:v>Unemployment with advanced education (% of total labor force with advanced education)</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LM'!$C$41:$X$41</c15:sqref>
                        </c15:formulaRef>
                      </c:ext>
                    </c:extLst>
                    <c:numCache>
                      <c:formatCode>0.0</c:formatCode>
                      <c:ptCount val="22"/>
                      <c:pt idx="0">
                        <c:v>0</c:v>
                      </c:pt>
                      <c:pt idx="1">
                        <c:v>0</c:v>
                      </c:pt>
                      <c:pt idx="2">
                        <c:v>0</c:v>
                      </c:pt>
                      <c:pt idx="3">
                        <c:v>0</c:v>
                      </c:pt>
                      <c:pt idx="4">
                        <c:v>0</c:v>
                      </c:pt>
                      <c:pt idx="5">
                        <c:v>9.0900001525878906</c:v>
                      </c:pt>
                      <c:pt idx="6">
                        <c:v>9.0900001525878906</c:v>
                      </c:pt>
                      <c:pt idx="7">
                        <c:v>0</c:v>
                      </c:pt>
                      <c:pt idx="8">
                        <c:v>0</c:v>
                      </c:pt>
                      <c:pt idx="9">
                        <c:v>0</c:v>
                      </c:pt>
                      <c:pt idx="10">
                        <c:v>0</c:v>
                      </c:pt>
                      <c:pt idx="11">
                        <c:v>0</c:v>
                      </c:pt>
                      <c:pt idx="12">
                        <c:v>0</c:v>
                      </c:pt>
                      <c:pt idx="13">
                        <c:v>0</c:v>
                      </c:pt>
                      <c:pt idx="14">
                        <c:v>0</c:v>
                      </c:pt>
                      <c:pt idx="15">
                        <c:v>0</c:v>
                      </c:pt>
                      <c:pt idx="16">
                        <c:v>7.8200001716613796</c:v>
                      </c:pt>
                      <c:pt idx="17">
                        <c:v>0</c:v>
                      </c:pt>
                      <c:pt idx="18">
                        <c:v>0</c:v>
                      </c:pt>
                      <c:pt idx="19">
                        <c:v>12.329999923706101</c:v>
                      </c:pt>
                      <c:pt idx="20">
                        <c:v>0</c:v>
                      </c:pt>
                      <c:pt idx="21">
                        <c:v>0</c:v>
                      </c:pt>
                    </c:numCache>
                  </c:numRef>
                </c:val>
                <c:smooth val="0"/>
                <c:extLst xmlns:c15="http://schemas.microsoft.com/office/drawing/2012/chart">
                  <c:ext xmlns:c16="http://schemas.microsoft.com/office/drawing/2014/chart" uri="{C3380CC4-5D6E-409C-BE32-E72D297353CC}">
                    <c16:uniqueId val="{0000002A-0DBF-478B-9257-82BEBEB5411F}"/>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'Data LM'!$A$42</c15:sqref>
                        </c15:formulaRef>
                      </c:ext>
                    </c:extLst>
                    <c:strCache>
                      <c:ptCount val="1"/>
                      <c:pt idx="0">
                        <c:v>Unemployment with advanced education, female (% of female labor force with advanced education)</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LM'!$C$42:$X$42</c15:sqref>
                        </c15:formulaRef>
                      </c:ext>
                    </c:extLst>
                    <c:numCache>
                      <c:formatCode>0.0</c:formatCode>
                      <c:ptCount val="22"/>
                      <c:pt idx="0">
                        <c:v>0</c:v>
                      </c:pt>
                      <c:pt idx="1">
                        <c:v>0</c:v>
                      </c:pt>
                      <c:pt idx="2">
                        <c:v>0</c:v>
                      </c:pt>
                      <c:pt idx="3">
                        <c:v>0</c:v>
                      </c:pt>
                      <c:pt idx="4">
                        <c:v>0</c:v>
                      </c:pt>
                      <c:pt idx="5">
                        <c:v>13.810000419616699</c:v>
                      </c:pt>
                      <c:pt idx="6">
                        <c:v>13.810000419616699</c:v>
                      </c:pt>
                      <c:pt idx="7">
                        <c:v>0</c:v>
                      </c:pt>
                      <c:pt idx="8">
                        <c:v>0</c:v>
                      </c:pt>
                      <c:pt idx="9">
                        <c:v>0</c:v>
                      </c:pt>
                      <c:pt idx="10">
                        <c:v>0</c:v>
                      </c:pt>
                      <c:pt idx="11">
                        <c:v>0</c:v>
                      </c:pt>
                      <c:pt idx="12">
                        <c:v>0</c:v>
                      </c:pt>
                      <c:pt idx="13">
                        <c:v>0</c:v>
                      </c:pt>
                      <c:pt idx="14">
                        <c:v>0</c:v>
                      </c:pt>
                      <c:pt idx="15">
                        <c:v>0</c:v>
                      </c:pt>
                      <c:pt idx="16">
                        <c:v>10.0299997329712</c:v>
                      </c:pt>
                      <c:pt idx="17">
                        <c:v>0</c:v>
                      </c:pt>
                      <c:pt idx="18">
                        <c:v>0</c:v>
                      </c:pt>
                      <c:pt idx="19">
                        <c:v>14.2799997329712</c:v>
                      </c:pt>
                      <c:pt idx="20">
                        <c:v>0</c:v>
                      </c:pt>
                      <c:pt idx="21">
                        <c:v>0</c:v>
                      </c:pt>
                    </c:numCache>
                  </c:numRef>
                </c:val>
                <c:smooth val="0"/>
                <c:extLst xmlns:c15="http://schemas.microsoft.com/office/drawing/2012/chart">
                  <c:ext xmlns:c16="http://schemas.microsoft.com/office/drawing/2014/chart" uri="{C3380CC4-5D6E-409C-BE32-E72D297353CC}">
                    <c16:uniqueId val="{0000002B-0DBF-478B-9257-82BEBEB5411F}"/>
                  </c:ext>
                </c:extLst>
              </c15:ser>
            </c15:filteredLineSeries>
            <c15:filteredLineSeries>
              <c15:ser>
                <c:idx val="44"/>
                <c:order val="44"/>
                <c:tx>
                  <c:strRef>
                    <c:extLst xmlns:c15="http://schemas.microsoft.com/office/drawing/2012/chart">
                      <c:ext xmlns:c15="http://schemas.microsoft.com/office/drawing/2012/chart" uri="{02D57815-91ED-43cb-92C2-25804820EDAC}">
                        <c15:formulaRef>
                          <c15:sqref>'Data LM'!$A$43</c15:sqref>
                        </c15:formulaRef>
                      </c:ext>
                    </c:extLst>
                    <c:strCache>
                      <c:ptCount val="1"/>
                      <c:pt idx="0">
                        <c:v>Unemployment with advanced education, male (% of male labor force with advanced education)</c:v>
                      </c:pt>
                    </c:strCache>
                  </c:strRef>
                </c:tx>
                <c:spPr>
                  <a:ln w="28575" cap="rnd">
                    <a:solidFill>
                      <a:schemeClr val="accent3">
                        <a:lumMod val="70000"/>
                      </a:schemeClr>
                    </a:solidFill>
                    <a:round/>
                  </a:ln>
                  <a:effectLst/>
                </c:spPr>
                <c:marker>
                  <c:symbol val="circle"/>
                  <c:size val="5"/>
                  <c:spPr>
                    <a:solidFill>
                      <a:schemeClr val="accent3">
                        <a:lumMod val="70000"/>
                      </a:schemeClr>
                    </a:solidFill>
                    <a:ln w="9525">
                      <a:solidFill>
                        <a:schemeClr val="accent3">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LM'!$C$43:$X$43</c15:sqref>
                        </c15:formulaRef>
                      </c:ext>
                    </c:extLst>
                    <c:numCache>
                      <c:formatCode>0.0</c:formatCode>
                      <c:ptCount val="22"/>
                      <c:pt idx="0">
                        <c:v>0</c:v>
                      </c:pt>
                      <c:pt idx="1">
                        <c:v>0</c:v>
                      </c:pt>
                      <c:pt idx="2">
                        <c:v>0</c:v>
                      </c:pt>
                      <c:pt idx="3">
                        <c:v>0</c:v>
                      </c:pt>
                      <c:pt idx="4">
                        <c:v>0</c:v>
                      </c:pt>
                      <c:pt idx="5">
                        <c:v>7.3099999427795401</c:v>
                      </c:pt>
                      <c:pt idx="6">
                        <c:v>7.3099999427795401</c:v>
                      </c:pt>
                      <c:pt idx="7">
                        <c:v>0</c:v>
                      </c:pt>
                      <c:pt idx="8">
                        <c:v>0</c:v>
                      </c:pt>
                      <c:pt idx="9">
                        <c:v>0</c:v>
                      </c:pt>
                      <c:pt idx="10">
                        <c:v>0</c:v>
                      </c:pt>
                      <c:pt idx="11">
                        <c:v>0</c:v>
                      </c:pt>
                      <c:pt idx="12">
                        <c:v>0</c:v>
                      </c:pt>
                      <c:pt idx="13">
                        <c:v>0</c:v>
                      </c:pt>
                      <c:pt idx="14">
                        <c:v>0</c:v>
                      </c:pt>
                      <c:pt idx="15">
                        <c:v>0</c:v>
                      </c:pt>
                      <c:pt idx="16">
                        <c:v>6.3499999046325701</c:v>
                      </c:pt>
                      <c:pt idx="17">
                        <c:v>0</c:v>
                      </c:pt>
                      <c:pt idx="18">
                        <c:v>0</c:v>
                      </c:pt>
                      <c:pt idx="19">
                        <c:v>11.0900001525879</c:v>
                      </c:pt>
                      <c:pt idx="20">
                        <c:v>0</c:v>
                      </c:pt>
                      <c:pt idx="21">
                        <c:v>0</c:v>
                      </c:pt>
                    </c:numCache>
                  </c:numRef>
                </c:val>
                <c:smooth val="0"/>
                <c:extLst xmlns:c15="http://schemas.microsoft.com/office/drawing/2012/chart">
                  <c:ext xmlns:c16="http://schemas.microsoft.com/office/drawing/2014/chart" uri="{C3380CC4-5D6E-409C-BE32-E72D297353CC}">
                    <c16:uniqueId val="{0000002C-0DBF-478B-9257-82BEBEB5411F}"/>
                  </c:ext>
                </c:extLst>
              </c15:ser>
            </c15:filteredLineSeries>
            <c15:filteredLineSeries>
              <c15:ser>
                <c:idx val="45"/>
                <c:order val="45"/>
                <c:tx>
                  <c:strRef>
                    <c:extLst xmlns:c15="http://schemas.microsoft.com/office/drawing/2012/chart">
                      <c:ext xmlns:c15="http://schemas.microsoft.com/office/drawing/2012/chart" uri="{02D57815-91ED-43cb-92C2-25804820EDAC}">
                        <c15:formulaRef>
                          <c15:sqref>'Data LM'!$A$44</c15:sqref>
                        </c15:formulaRef>
                      </c:ext>
                    </c:extLst>
                    <c:strCache>
                      <c:ptCount val="1"/>
                      <c:pt idx="0">
                        <c:v>Unemployment with basic education (% of total labor force with basic education)</c:v>
                      </c:pt>
                    </c:strCache>
                  </c:strRef>
                </c:tx>
                <c:spPr>
                  <a:ln w="28575" cap="rnd">
                    <a:solidFill>
                      <a:schemeClr val="accent4">
                        <a:lumMod val="70000"/>
                      </a:schemeClr>
                    </a:solidFill>
                    <a:round/>
                  </a:ln>
                  <a:effectLst/>
                </c:spPr>
                <c:marker>
                  <c:symbol val="circle"/>
                  <c:size val="5"/>
                  <c:spPr>
                    <a:solidFill>
                      <a:schemeClr val="accent4">
                        <a:lumMod val="70000"/>
                      </a:schemeClr>
                    </a:solidFill>
                    <a:ln w="9525">
                      <a:solidFill>
                        <a:schemeClr val="accent4">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LM'!$C$44:$X$44</c15:sqref>
                        </c15:formulaRef>
                      </c:ext>
                    </c:extLst>
                    <c:numCache>
                      <c:formatCode>0.0</c:formatCode>
                      <c:ptCount val="22"/>
                      <c:pt idx="0">
                        <c:v>0</c:v>
                      </c:pt>
                      <c:pt idx="1">
                        <c:v>0</c:v>
                      </c:pt>
                      <c:pt idx="2">
                        <c:v>0</c:v>
                      </c:pt>
                      <c:pt idx="3">
                        <c:v>0</c:v>
                      </c:pt>
                      <c:pt idx="4">
                        <c:v>0</c:v>
                      </c:pt>
                      <c:pt idx="5">
                        <c:v>9.3100004196166992</c:v>
                      </c:pt>
                      <c:pt idx="6">
                        <c:v>9.3100004196166992</c:v>
                      </c:pt>
                      <c:pt idx="7">
                        <c:v>0</c:v>
                      </c:pt>
                      <c:pt idx="8">
                        <c:v>0</c:v>
                      </c:pt>
                      <c:pt idx="9">
                        <c:v>0</c:v>
                      </c:pt>
                      <c:pt idx="10">
                        <c:v>0</c:v>
                      </c:pt>
                      <c:pt idx="11">
                        <c:v>0</c:v>
                      </c:pt>
                      <c:pt idx="12">
                        <c:v>0</c:v>
                      </c:pt>
                      <c:pt idx="13">
                        <c:v>0</c:v>
                      </c:pt>
                      <c:pt idx="14">
                        <c:v>0</c:v>
                      </c:pt>
                      <c:pt idx="15">
                        <c:v>0</c:v>
                      </c:pt>
                      <c:pt idx="16">
                        <c:v>1.5900000333786</c:v>
                      </c:pt>
                      <c:pt idx="17">
                        <c:v>0</c:v>
                      </c:pt>
                      <c:pt idx="18">
                        <c:v>0</c:v>
                      </c:pt>
                      <c:pt idx="19">
                        <c:v>4.1399998664856001</c:v>
                      </c:pt>
                      <c:pt idx="20">
                        <c:v>0</c:v>
                      </c:pt>
                      <c:pt idx="21">
                        <c:v>0</c:v>
                      </c:pt>
                    </c:numCache>
                  </c:numRef>
                </c:val>
                <c:smooth val="0"/>
                <c:extLst xmlns:c15="http://schemas.microsoft.com/office/drawing/2012/chart">
                  <c:ext xmlns:c16="http://schemas.microsoft.com/office/drawing/2014/chart" uri="{C3380CC4-5D6E-409C-BE32-E72D297353CC}">
                    <c16:uniqueId val="{0000002D-0DBF-478B-9257-82BEBEB5411F}"/>
                  </c:ext>
                </c:extLst>
              </c15:ser>
            </c15:filteredLineSeries>
            <c15:filteredLineSeries>
              <c15:ser>
                <c:idx val="46"/>
                <c:order val="46"/>
                <c:tx>
                  <c:strRef>
                    <c:extLst xmlns:c15="http://schemas.microsoft.com/office/drawing/2012/chart">
                      <c:ext xmlns:c15="http://schemas.microsoft.com/office/drawing/2012/chart" uri="{02D57815-91ED-43cb-92C2-25804820EDAC}">
                        <c15:formulaRef>
                          <c15:sqref>'Data LM'!$A$45</c15:sqref>
                        </c15:formulaRef>
                      </c:ext>
                    </c:extLst>
                    <c:strCache>
                      <c:ptCount val="1"/>
                      <c:pt idx="0">
                        <c:v>Unemployment with basic education, female (% of female labor force with basic education)</c:v>
                      </c:pt>
                    </c:strCache>
                  </c:strRef>
                </c:tx>
                <c:spPr>
                  <a:ln w="28575" cap="rnd">
                    <a:solidFill>
                      <a:schemeClr val="accent5">
                        <a:lumMod val="70000"/>
                      </a:schemeClr>
                    </a:solidFill>
                    <a:round/>
                  </a:ln>
                  <a:effectLst/>
                </c:spPr>
                <c:marker>
                  <c:symbol val="circle"/>
                  <c:size val="5"/>
                  <c:spPr>
                    <a:solidFill>
                      <a:schemeClr val="accent5">
                        <a:lumMod val="70000"/>
                      </a:schemeClr>
                    </a:solidFill>
                    <a:ln w="9525">
                      <a:solidFill>
                        <a:schemeClr val="accent5">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LM'!$C$45:$X$45</c15:sqref>
                        </c15:formulaRef>
                      </c:ext>
                    </c:extLst>
                    <c:numCache>
                      <c:formatCode>0.0</c:formatCode>
                      <c:ptCount val="22"/>
                      <c:pt idx="0">
                        <c:v>0</c:v>
                      </c:pt>
                      <c:pt idx="1">
                        <c:v>0</c:v>
                      </c:pt>
                      <c:pt idx="2">
                        <c:v>0</c:v>
                      </c:pt>
                      <c:pt idx="3">
                        <c:v>0</c:v>
                      </c:pt>
                      <c:pt idx="4">
                        <c:v>0</c:v>
                      </c:pt>
                      <c:pt idx="5">
                        <c:v>9.0799999237060494</c:v>
                      </c:pt>
                      <c:pt idx="6">
                        <c:v>9.0799999237060494</c:v>
                      </c:pt>
                      <c:pt idx="7">
                        <c:v>0</c:v>
                      </c:pt>
                      <c:pt idx="8">
                        <c:v>0</c:v>
                      </c:pt>
                      <c:pt idx="9">
                        <c:v>0</c:v>
                      </c:pt>
                      <c:pt idx="10">
                        <c:v>0</c:v>
                      </c:pt>
                      <c:pt idx="11">
                        <c:v>0</c:v>
                      </c:pt>
                      <c:pt idx="12">
                        <c:v>0</c:v>
                      </c:pt>
                      <c:pt idx="13">
                        <c:v>0</c:v>
                      </c:pt>
                      <c:pt idx="14">
                        <c:v>0</c:v>
                      </c:pt>
                      <c:pt idx="15">
                        <c:v>0</c:v>
                      </c:pt>
                      <c:pt idx="16">
                        <c:v>1.7799999713897701</c:v>
                      </c:pt>
                      <c:pt idx="17">
                        <c:v>0</c:v>
                      </c:pt>
                      <c:pt idx="18">
                        <c:v>0</c:v>
                      </c:pt>
                      <c:pt idx="19">
                        <c:v>4.2300000190734899</c:v>
                      </c:pt>
                      <c:pt idx="20">
                        <c:v>0</c:v>
                      </c:pt>
                      <c:pt idx="21">
                        <c:v>0</c:v>
                      </c:pt>
                    </c:numCache>
                  </c:numRef>
                </c:val>
                <c:smooth val="0"/>
                <c:extLst xmlns:c15="http://schemas.microsoft.com/office/drawing/2012/chart">
                  <c:ext xmlns:c16="http://schemas.microsoft.com/office/drawing/2014/chart" uri="{C3380CC4-5D6E-409C-BE32-E72D297353CC}">
                    <c16:uniqueId val="{0000002E-0DBF-478B-9257-82BEBEB5411F}"/>
                  </c:ext>
                </c:extLst>
              </c15:ser>
            </c15:filteredLineSeries>
            <c15:filteredLineSeries>
              <c15:ser>
                <c:idx val="47"/>
                <c:order val="47"/>
                <c:tx>
                  <c:strRef>
                    <c:extLst xmlns:c15="http://schemas.microsoft.com/office/drawing/2012/chart">
                      <c:ext xmlns:c15="http://schemas.microsoft.com/office/drawing/2012/chart" uri="{02D57815-91ED-43cb-92C2-25804820EDAC}">
                        <c15:formulaRef>
                          <c15:sqref>'Data LM'!$A$46</c15:sqref>
                        </c15:formulaRef>
                      </c:ext>
                    </c:extLst>
                    <c:strCache>
                      <c:ptCount val="1"/>
                      <c:pt idx="0">
                        <c:v>Unemployment with basic education, male (% of male labor force with basic education)</c:v>
                      </c:pt>
                    </c:strCache>
                  </c:strRef>
                </c:tx>
                <c:spPr>
                  <a:ln w="28575" cap="rnd">
                    <a:solidFill>
                      <a:schemeClr val="accent6">
                        <a:lumMod val="70000"/>
                      </a:schemeClr>
                    </a:solidFill>
                    <a:round/>
                  </a:ln>
                  <a:effectLst/>
                </c:spPr>
                <c:marker>
                  <c:symbol val="circle"/>
                  <c:size val="5"/>
                  <c:spPr>
                    <a:solidFill>
                      <a:schemeClr val="accent6">
                        <a:lumMod val="70000"/>
                      </a:schemeClr>
                    </a:solidFill>
                    <a:ln w="9525">
                      <a:solidFill>
                        <a:schemeClr val="accent6">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LM'!$C$46:$X$46</c15:sqref>
                        </c15:formulaRef>
                      </c:ext>
                    </c:extLst>
                    <c:numCache>
                      <c:formatCode>0.0</c:formatCode>
                      <c:ptCount val="22"/>
                      <c:pt idx="0">
                        <c:v>0</c:v>
                      </c:pt>
                      <c:pt idx="1">
                        <c:v>0</c:v>
                      </c:pt>
                      <c:pt idx="2">
                        <c:v>0</c:v>
                      </c:pt>
                      <c:pt idx="3">
                        <c:v>0</c:v>
                      </c:pt>
                      <c:pt idx="4">
                        <c:v>0</c:v>
                      </c:pt>
                      <c:pt idx="5">
                        <c:v>9.5</c:v>
                      </c:pt>
                      <c:pt idx="6">
                        <c:v>9.5</c:v>
                      </c:pt>
                      <c:pt idx="7">
                        <c:v>0</c:v>
                      </c:pt>
                      <c:pt idx="8">
                        <c:v>0</c:v>
                      </c:pt>
                      <c:pt idx="9">
                        <c:v>0</c:v>
                      </c:pt>
                      <c:pt idx="10">
                        <c:v>0</c:v>
                      </c:pt>
                      <c:pt idx="11">
                        <c:v>0</c:v>
                      </c:pt>
                      <c:pt idx="12">
                        <c:v>0</c:v>
                      </c:pt>
                      <c:pt idx="13">
                        <c:v>0</c:v>
                      </c:pt>
                      <c:pt idx="14">
                        <c:v>0</c:v>
                      </c:pt>
                      <c:pt idx="15">
                        <c:v>0</c:v>
                      </c:pt>
                      <c:pt idx="16">
                        <c:v>1.3999999761581401</c:v>
                      </c:pt>
                      <c:pt idx="17">
                        <c:v>0</c:v>
                      </c:pt>
                      <c:pt idx="18">
                        <c:v>0</c:v>
                      </c:pt>
                      <c:pt idx="19">
                        <c:v>4.0599999427795401</c:v>
                      </c:pt>
                      <c:pt idx="20">
                        <c:v>0</c:v>
                      </c:pt>
                      <c:pt idx="21">
                        <c:v>0</c:v>
                      </c:pt>
                    </c:numCache>
                  </c:numRef>
                </c:val>
                <c:smooth val="0"/>
                <c:extLst xmlns:c15="http://schemas.microsoft.com/office/drawing/2012/chart">
                  <c:ext xmlns:c16="http://schemas.microsoft.com/office/drawing/2014/chart" uri="{C3380CC4-5D6E-409C-BE32-E72D297353CC}">
                    <c16:uniqueId val="{0000002F-0DBF-478B-9257-82BEBEB5411F}"/>
                  </c:ext>
                </c:extLst>
              </c15:ser>
            </c15:filteredLineSeries>
            <c15:filteredLineSeries>
              <c15:ser>
                <c:idx val="48"/>
                <c:order val="48"/>
                <c:tx>
                  <c:strRef>
                    <c:extLst xmlns:c15="http://schemas.microsoft.com/office/drawing/2012/chart">
                      <c:ext xmlns:c15="http://schemas.microsoft.com/office/drawing/2012/chart" uri="{02D57815-91ED-43cb-92C2-25804820EDAC}">
                        <c15:formulaRef>
                          <c15:sqref>'Data LM'!$A$47</c15:sqref>
                        </c15:formulaRef>
                      </c:ext>
                    </c:extLst>
                    <c:strCache>
                      <c:ptCount val="1"/>
                      <c:pt idx="0">
                        <c:v>Unemployment with intermediate education (% of total labor force with intermediate education)</c:v>
                      </c:pt>
                    </c:strCache>
                  </c:strRef>
                </c:tx>
                <c:spPr>
                  <a:ln w="28575" cap="rnd">
                    <a:solidFill>
                      <a:schemeClr val="accent1">
                        <a:lumMod val="50000"/>
                        <a:lumOff val="50000"/>
                      </a:schemeClr>
                    </a:solid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LM'!$C$47:$X$47</c15:sqref>
                        </c15:formulaRef>
                      </c:ext>
                    </c:extLst>
                    <c:numCache>
                      <c:formatCode>0.0</c:formatCode>
                      <c:ptCount val="22"/>
                      <c:pt idx="0">
                        <c:v>0</c:v>
                      </c:pt>
                      <c:pt idx="1">
                        <c:v>0</c:v>
                      </c:pt>
                      <c:pt idx="2">
                        <c:v>0</c:v>
                      </c:pt>
                      <c:pt idx="3">
                        <c:v>0</c:v>
                      </c:pt>
                      <c:pt idx="4">
                        <c:v>0</c:v>
                      </c:pt>
                      <c:pt idx="5">
                        <c:v>12.3400001525879</c:v>
                      </c:pt>
                      <c:pt idx="6">
                        <c:v>12.3400001525879</c:v>
                      </c:pt>
                      <c:pt idx="7">
                        <c:v>0</c:v>
                      </c:pt>
                      <c:pt idx="8">
                        <c:v>0</c:v>
                      </c:pt>
                      <c:pt idx="9">
                        <c:v>0</c:v>
                      </c:pt>
                      <c:pt idx="10">
                        <c:v>0</c:v>
                      </c:pt>
                      <c:pt idx="11">
                        <c:v>0</c:v>
                      </c:pt>
                      <c:pt idx="12">
                        <c:v>0</c:v>
                      </c:pt>
                      <c:pt idx="13">
                        <c:v>0</c:v>
                      </c:pt>
                      <c:pt idx="14">
                        <c:v>0</c:v>
                      </c:pt>
                      <c:pt idx="15">
                        <c:v>0</c:v>
                      </c:pt>
                      <c:pt idx="16">
                        <c:v>4.1700000762939498</c:v>
                      </c:pt>
                      <c:pt idx="17">
                        <c:v>0</c:v>
                      </c:pt>
                      <c:pt idx="18">
                        <c:v>0</c:v>
                      </c:pt>
                      <c:pt idx="19">
                        <c:v>8.1400003433227504</c:v>
                      </c:pt>
                      <c:pt idx="20">
                        <c:v>0</c:v>
                      </c:pt>
                      <c:pt idx="21">
                        <c:v>0</c:v>
                      </c:pt>
                    </c:numCache>
                  </c:numRef>
                </c:val>
                <c:smooth val="0"/>
                <c:extLst xmlns:c15="http://schemas.microsoft.com/office/drawing/2012/chart">
                  <c:ext xmlns:c16="http://schemas.microsoft.com/office/drawing/2014/chart" uri="{C3380CC4-5D6E-409C-BE32-E72D297353CC}">
                    <c16:uniqueId val="{00000030-0DBF-478B-9257-82BEBEB5411F}"/>
                  </c:ext>
                </c:extLst>
              </c15:ser>
            </c15:filteredLineSeries>
            <c15:filteredLineSeries>
              <c15:ser>
                <c:idx val="49"/>
                <c:order val="49"/>
                <c:tx>
                  <c:strRef>
                    <c:extLst xmlns:c15="http://schemas.microsoft.com/office/drawing/2012/chart">
                      <c:ext xmlns:c15="http://schemas.microsoft.com/office/drawing/2012/chart" uri="{02D57815-91ED-43cb-92C2-25804820EDAC}">
                        <c15:formulaRef>
                          <c15:sqref>'Data LM'!$A$48</c15:sqref>
                        </c15:formulaRef>
                      </c:ext>
                    </c:extLst>
                    <c:strCache>
                      <c:ptCount val="1"/>
                      <c:pt idx="0">
                        <c:v>Unemployment with intermediate education, female (% of female labor force with intermediate education)</c:v>
                      </c:pt>
                    </c:strCache>
                  </c:strRef>
                </c:tx>
                <c:spPr>
                  <a:ln w="28575" cap="rnd">
                    <a:solidFill>
                      <a:schemeClr val="accent2">
                        <a:lumMod val="50000"/>
                        <a:lumOff val="50000"/>
                      </a:schemeClr>
                    </a:solidFill>
                    <a:round/>
                  </a:ln>
                  <a:effectLst/>
                </c:spPr>
                <c:marker>
                  <c:symbol val="circle"/>
                  <c:size val="5"/>
                  <c:spPr>
                    <a:solidFill>
                      <a:schemeClr val="accent2">
                        <a:lumMod val="50000"/>
                        <a:lumOff val="50000"/>
                      </a:schemeClr>
                    </a:solidFill>
                    <a:ln w="9525">
                      <a:solidFill>
                        <a:schemeClr val="accent2">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LM'!$C$48:$X$48</c15:sqref>
                        </c15:formulaRef>
                      </c:ext>
                    </c:extLst>
                    <c:numCache>
                      <c:formatCode>0.0</c:formatCode>
                      <c:ptCount val="22"/>
                      <c:pt idx="0">
                        <c:v>0</c:v>
                      </c:pt>
                      <c:pt idx="1">
                        <c:v>0</c:v>
                      </c:pt>
                      <c:pt idx="2">
                        <c:v>0</c:v>
                      </c:pt>
                      <c:pt idx="3">
                        <c:v>0</c:v>
                      </c:pt>
                      <c:pt idx="4">
                        <c:v>0</c:v>
                      </c:pt>
                      <c:pt idx="5">
                        <c:v>16.340000152587901</c:v>
                      </c:pt>
                      <c:pt idx="6">
                        <c:v>16.340000152587901</c:v>
                      </c:pt>
                      <c:pt idx="7">
                        <c:v>0</c:v>
                      </c:pt>
                      <c:pt idx="8">
                        <c:v>0</c:v>
                      </c:pt>
                      <c:pt idx="9">
                        <c:v>0</c:v>
                      </c:pt>
                      <c:pt idx="10">
                        <c:v>0</c:v>
                      </c:pt>
                      <c:pt idx="11">
                        <c:v>0</c:v>
                      </c:pt>
                      <c:pt idx="12">
                        <c:v>0</c:v>
                      </c:pt>
                      <c:pt idx="13">
                        <c:v>0</c:v>
                      </c:pt>
                      <c:pt idx="14">
                        <c:v>0</c:v>
                      </c:pt>
                      <c:pt idx="15">
                        <c:v>0</c:v>
                      </c:pt>
                      <c:pt idx="16">
                        <c:v>4.8099999427795401</c:v>
                      </c:pt>
                      <c:pt idx="17">
                        <c:v>0</c:v>
                      </c:pt>
                      <c:pt idx="18">
                        <c:v>0</c:v>
                      </c:pt>
                      <c:pt idx="19">
                        <c:v>10.680000305175801</c:v>
                      </c:pt>
                      <c:pt idx="20">
                        <c:v>0</c:v>
                      </c:pt>
                      <c:pt idx="21">
                        <c:v>0</c:v>
                      </c:pt>
                    </c:numCache>
                  </c:numRef>
                </c:val>
                <c:smooth val="0"/>
                <c:extLst xmlns:c15="http://schemas.microsoft.com/office/drawing/2012/chart">
                  <c:ext xmlns:c16="http://schemas.microsoft.com/office/drawing/2014/chart" uri="{C3380CC4-5D6E-409C-BE32-E72D297353CC}">
                    <c16:uniqueId val="{00000031-0DBF-478B-9257-82BEBEB5411F}"/>
                  </c:ext>
                </c:extLst>
              </c15:ser>
            </c15:filteredLineSeries>
            <c15:filteredLineSeries>
              <c15:ser>
                <c:idx val="50"/>
                <c:order val="50"/>
                <c:tx>
                  <c:strRef>
                    <c:extLst xmlns:c15="http://schemas.microsoft.com/office/drawing/2012/chart">
                      <c:ext xmlns:c15="http://schemas.microsoft.com/office/drawing/2012/chart" uri="{02D57815-91ED-43cb-92C2-25804820EDAC}">
                        <c15:formulaRef>
                          <c15:sqref>'Data LM'!$A$49</c15:sqref>
                        </c15:formulaRef>
                      </c:ext>
                    </c:extLst>
                    <c:strCache>
                      <c:ptCount val="1"/>
                      <c:pt idx="0">
                        <c:v>Unemployment with intermediate education, male (% of male labor force with intermediate education)</c:v>
                      </c:pt>
                    </c:strCache>
                  </c:strRef>
                </c:tx>
                <c:spPr>
                  <a:ln w="28575" cap="rnd">
                    <a:solidFill>
                      <a:schemeClr val="accent3">
                        <a:lumMod val="50000"/>
                        <a:lumOff val="50000"/>
                      </a:schemeClr>
                    </a:solidFill>
                    <a:round/>
                  </a:ln>
                  <a:effectLst/>
                </c:spPr>
                <c:marker>
                  <c:symbol val="circle"/>
                  <c:size val="5"/>
                  <c:spPr>
                    <a:solidFill>
                      <a:schemeClr val="accent3">
                        <a:lumMod val="50000"/>
                        <a:lumOff val="50000"/>
                      </a:schemeClr>
                    </a:solidFill>
                    <a:ln w="9525">
                      <a:solidFill>
                        <a:schemeClr val="accent3">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LM'!$C$49:$X$49</c15:sqref>
                        </c15:formulaRef>
                      </c:ext>
                    </c:extLst>
                    <c:numCache>
                      <c:formatCode>0.0</c:formatCode>
                      <c:ptCount val="22"/>
                      <c:pt idx="0">
                        <c:v>0</c:v>
                      </c:pt>
                      <c:pt idx="1">
                        <c:v>0</c:v>
                      </c:pt>
                      <c:pt idx="2">
                        <c:v>0</c:v>
                      </c:pt>
                      <c:pt idx="3">
                        <c:v>0</c:v>
                      </c:pt>
                      <c:pt idx="4">
                        <c:v>0</c:v>
                      </c:pt>
                      <c:pt idx="5">
                        <c:v>9.7399997711181605</c:v>
                      </c:pt>
                      <c:pt idx="6">
                        <c:v>9.7399997711181605</c:v>
                      </c:pt>
                      <c:pt idx="7">
                        <c:v>0</c:v>
                      </c:pt>
                      <c:pt idx="8">
                        <c:v>0</c:v>
                      </c:pt>
                      <c:pt idx="9">
                        <c:v>0</c:v>
                      </c:pt>
                      <c:pt idx="10">
                        <c:v>0</c:v>
                      </c:pt>
                      <c:pt idx="11">
                        <c:v>0</c:v>
                      </c:pt>
                      <c:pt idx="12">
                        <c:v>0</c:v>
                      </c:pt>
                      <c:pt idx="13">
                        <c:v>0</c:v>
                      </c:pt>
                      <c:pt idx="14">
                        <c:v>0</c:v>
                      </c:pt>
                      <c:pt idx="15">
                        <c:v>0</c:v>
                      </c:pt>
                      <c:pt idx="16">
                        <c:v>3.6500000953674299</c:v>
                      </c:pt>
                      <c:pt idx="17">
                        <c:v>0</c:v>
                      </c:pt>
                      <c:pt idx="18">
                        <c:v>0</c:v>
                      </c:pt>
                      <c:pt idx="19">
                        <c:v>6.5700001716613796</c:v>
                      </c:pt>
                      <c:pt idx="20">
                        <c:v>0</c:v>
                      </c:pt>
                      <c:pt idx="21">
                        <c:v>0</c:v>
                      </c:pt>
                    </c:numCache>
                  </c:numRef>
                </c:val>
                <c:smooth val="0"/>
                <c:extLst xmlns:c15="http://schemas.microsoft.com/office/drawing/2012/chart">
                  <c:ext xmlns:c16="http://schemas.microsoft.com/office/drawing/2014/chart" uri="{C3380CC4-5D6E-409C-BE32-E72D297353CC}">
                    <c16:uniqueId val="{00000032-0DBF-478B-9257-82BEBEB5411F}"/>
                  </c:ext>
                </c:extLst>
              </c15:ser>
            </c15:filteredLineSeries>
            <c15:filteredLineSeries>
              <c15:ser>
                <c:idx val="51"/>
                <c:order val="51"/>
                <c:tx>
                  <c:strRef>
                    <c:extLst xmlns:c15="http://schemas.microsoft.com/office/drawing/2012/chart">
                      <c:ext xmlns:c15="http://schemas.microsoft.com/office/drawing/2012/chart" uri="{02D57815-91ED-43cb-92C2-25804820EDAC}">
                        <c15:formulaRef>
                          <c15:sqref>'Data LM'!$A$50</c15:sqref>
                        </c15:formulaRef>
                      </c:ext>
                    </c:extLst>
                    <c:strCache>
                      <c:ptCount val="1"/>
                      <c:pt idx="0">
                        <c:v>Unemployment, female (% of female labor force) (modeled ILO estimate)</c:v>
                      </c:pt>
                    </c:strCache>
                  </c:strRef>
                </c:tx>
                <c:spPr>
                  <a:ln w="28575" cap="rnd">
                    <a:solidFill>
                      <a:schemeClr val="accent4">
                        <a:lumMod val="50000"/>
                        <a:lumOff val="50000"/>
                      </a:schemeClr>
                    </a:solidFill>
                    <a:round/>
                  </a:ln>
                  <a:effectLst/>
                </c:spPr>
                <c:marker>
                  <c:symbol val="circle"/>
                  <c:size val="5"/>
                  <c:spPr>
                    <a:solidFill>
                      <a:schemeClr val="accent4">
                        <a:lumMod val="50000"/>
                        <a:lumOff val="50000"/>
                      </a:schemeClr>
                    </a:solidFill>
                    <a:ln w="9525">
                      <a:solidFill>
                        <a:schemeClr val="accent4">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LM'!$C$50:$X$50</c15:sqref>
                        </c15:formulaRef>
                      </c:ext>
                    </c:extLst>
                    <c:numCache>
                      <c:formatCode>0.0</c:formatCode>
                      <c:ptCount val="22"/>
                      <c:pt idx="0">
                        <c:v>3.2809998989105198</c:v>
                      </c:pt>
                      <c:pt idx="1">
                        <c:v>3.2439999580383301</c:v>
                      </c:pt>
                      <c:pt idx="2">
                        <c:v>3.2469999790191699</c:v>
                      </c:pt>
                      <c:pt idx="3">
                        <c:v>3.2149999141693102</c:v>
                      </c:pt>
                      <c:pt idx="4">
                        <c:v>3.1849999427795401</c:v>
                      </c:pt>
                      <c:pt idx="5">
                        <c:v>3.1619999408721902</c:v>
                      </c:pt>
                      <c:pt idx="6">
                        <c:v>3.1400001049041699</c:v>
                      </c:pt>
                      <c:pt idx="7">
                        <c:v>3.1199998855590798</c:v>
                      </c:pt>
                      <c:pt idx="8">
                        <c:v>3.1400001049041699</c:v>
                      </c:pt>
                      <c:pt idx="9">
                        <c:v>3.1029999256134002</c:v>
                      </c:pt>
                      <c:pt idx="10">
                        <c:v>3.05299997329712</c:v>
                      </c:pt>
                      <c:pt idx="11">
                        <c:v>3.0469999313354501</c:v>
                      </c:pt>
                      <c:pt idx="12">
                        <c:v>3.03600001335144</c:v>
                      </c:pt>
                      <c:pt idx="13">
                        <c:v>3.0079998970031698</c:v>
                      </c:pt>
                      <c:pt idx="14">
                        <c:v>2.9900000095367401</c:v>
                      </c:pt>
                      <c:pt idx="15">
                        <c:v>2.9670000076293901</c:v>
                      </c:pt>
                      <c:pt idx="16">
                        <c:v>2.9449999332428001</c:v>
                      </c:pt>
                      <c:pt idx="17">
                        <c:v>3.7170000076293901</c:v>
                      </c:pt>
                      <c:pt idx="18">
                        <c:v>4.47300004959106</c:v>
                      </c:pt>
                      <c:pt idx="19">
                        <c:v>5.2519998550415004</c:v>
                      </c:pt>
                      <c:pt idx="20">
                        <c:v>5.9899997711181596</c:v>
                      </c:pt>
                      <c:pt idx="21">
                        <c:v>6.0939998626709002</c:v>
                      </c:pt>
                    </c:numCache>
                  </c:numRef>
                </c:val>
                <c:smooth val="0"/>
                <c:extLst xmlns:c15="http://schemas.microsoft.com/office/drawing/2012/chart">
                  <c:ext xmlns:c16="http://schemas.microsoft.com/office/drawing/2014/chart" uri="{C3380CC4-5D6E-409C-BE32-E72D297353CC}">
                    <c16:uniqueId val="{00000033-0DBF-478B-9257-82BEBEB5411F}"/>
                  </c:ext>
                </c:extLst>
              </c15:ser>
            </c15:filteredLineSeries>
            <c15:filteredLineSeries>
              <c15:ser>
                <c:idx val="52"/>
                <c:order val="52"/>
                <c:tx>
                  <c:strRef>
                    <c:extLst xmlns:c15="http://schemas.microsoft.com/office/drawing/2012/chart">
                      <c:ext xmlns:c15="http://schemas.microsoft.com/office/drawing/2012/chart" uri="{02D57815-91ED-43cb-92C2-25804820EDAC}">
                        <c15:formulaRef>
                          <c15:sqref>'Data LM'!$A$51</c15:sqref>
                        </c15:formulaRef>
                      </c:ext>
                    </c:extLst>
                    <c:strCache>
                      <c:ptCount val="1"/>
                      <c:pt idx="0">
                        <c:v>Unemployment, female (% of female labor force) (national estimate)</c:v>
                      </c:pt>
                    </c:strCache>
                  </c:strRef>
                </c:tx>
                <c:spPr>
                  <a:ln w="28575" cap="rnd">
                    <a:solidFill>
                      <a:schemeClr val="accent5">
                        <a:lumMod val="50000"/>
                        <a:lumOff val="50000"/>
                      </a:schemeClr>
                    </a:solidFill>
                    <a:round/>
                  </a:ln>
                  <a:effectLst/>
                </c:spPr>
                <c:marker>
                  <c:symbol val="circle"/>
                  <c:size val="5"/>
                  <c:spPr>
                    <a:solidFill>
                      <a:schemeClr val="accent5">
                        <a:lumMod val="50000"/>
                        <a:lumOff val="50000"/>
                      </a:schemeClr>
                    </a:solidFill>
                    <a:ln w="9525">
                      <a:solidFill>
                        <a:schemeClr val="accent5">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LM'!$C$51:$X$51</c15:sqref>
                        </c15:formulaRef>
                      </c:ext>
                    </c:extLst>
                    <c:numCache>
                      <c:formatCode>0.0</c:formatCode>
                      <c:ptCount val="22"/>
                      <c:pt idx="0">
                        <c:v>0</c:v>
                      </c:pt>
                      <c:pt idx="1">
                        <c:v>0</c:v>
                      </c:pt>
                      <c:pt idx="2">
                        <c:v>0</c:v>
                      </c:pt>
                      <c:pt idx="3">
                        <c:v>0</c:v>
                      </c:pt>
                      <c:pt idx="4">
                        <c:v>0</c:v>
                      </c:pt>
                      <c:pt idx="5">
                        <c:v>10.1300001144409</c:v>
                      </c:pt>
                      <c:pt idx="6">
                        <c:v>10.1300001144409</c:v>
                      </c:pt>
                      <c:pt idx="7">
                        <c:v>0</c:v>
                      </c:pt>
                      <c:pt idx="8">
                        <c:v>0</c:v>
                      </c:pt>
                      <c:pt idx="9">
                        <c:v>9.3999996185302699</c:v>
                      </c:pt>
                      <c:pt idx="10">
                        <c:v>0</c:v>
                      </c:pt>
                      <c:pt idx="11">
                        <c:v>0</c:v>
                      </c:pt>
                      <c:pt idx="12">
                        <c:v>0</c:v>
                      </c:pt>
                      <c:pt idx="13">
                        <c:v>0</c:v>
                      </c:pt>
                      <c:pt idx="14">
                        <c:v>0</c:v>
                      </c:pt>
                      <c:pt idx="15">
                        <c:v>0</c:v>
                      </c:pt>
                      <c:pt idx="16">
                        <c:v>2.9400000572204599</c:v>
                      </c:pt>
                      <c:pt idx="17">
                        <c:v>0</c:v>
                      </c:pt>
                      <c:pt idx="18">
                        <c:v>0</c:v>
                      </c:pt>
                      <c:pt idx="19">
                        <c:v>5.2600002288818404</c:v>
                      </c:pt>
                      <c:pt idx="20">
                        <c:v>0</c:v>
                      </c:pt>
                      <c:pt idx="21">
                        <c:v>0</c:v>
                      </c:pt>
                    </c:numCache>
                  </c:numRef>
                </c:val>
                <c:smooth val="0"/>
                <c:extLst xmlns:c15="http://schemas.microsoft.com/office/drawing/2012/chart">
                  <c:ext xmlns:c16="http://schemas.microsoft.com/office/drawing/2014/chart" uri="{C3380CC4-5D6E-409C-BE32-E72D297353CC}">
                    <c16:uniqueId val="{00000034-0DBF-478B-9257-82BEBEB5411F}"/>
                  </c:ext>
                </c:extLst>
              </c15:ser>
            </c15:filteredLineSeries>
            <c15:filteredLineSeries>
              <c15:ser>
                <c:idx val="53"/>
                <c:order val="53"/>
                <c:tx>
                  <c:strRef>
                    <c:extLst xmlns:c15="http://schemas.microsoft.com/office/drawing/2012/chart">
                      <c:ext xmlns:c15="http://schemas.microsoft.com/office/drawing/2012/chart" uri="{02D57815-91ED-43cb-92C2-25804820EDAC}">
                        <c15:formulaRef>
                          <c15:sqref>'Data LM'!$A$52</c15:sqref>
                        </c15:formulaRef>
                      </c:ext>
                    </c:extLst>
                    <c:strCache>
                      <c:ptCount val="1"/>
                      <c:pt idx="0">
                        <c:v>Unemployment, male (% of male labor force) (modeled ILO estimate)</c:v>
                      </c:pt>
                    </c:strCache>
                  </c:strRef>
                </c:tx>
                <c:spPr>
                  <a:ln w="28575" cap="rnd">
                    <a:solidFill>
                      <a:schemeClr val="accent6">
                        <a:lumMod val="50000"/>
                        <a:lumOff val="50000"/>
                      </a:schemeClr>
                    </a:solidFill>
                    <a:round/>
                  </a:ln>
                  <a:effectLst/>
                </c:spPr>
                <c:marker>
                  <c:symbol val="circle"/>
                  <c:size val="5"/>
                  <c:spPr>
                    <a:solidFill>
                      <a:schemeClr val="accent6">
                        <a:lumMod val="50000"/>
                        <a:lumOff val="50000"/>
                      </a:schemeClr>
                    </a:solidFill>
                    <a:ln w="9525">
                      <a:solidFill>
                        <a:schemeClr val="accent6">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LM'!$C$52:$X$52</c15:sqref>
                        </c15:formulaRef>
                      </c:ext>
                    </c:extLst>
                    <c:numCache>
                      <c:formatCode>0.0</c:formatCode>
                      <c:ptCount val="22"/>
                      <c:pt idx="0">
                        <c:v>2.7660000324249299</c:v>
                      </c:pt>
                      <c:pt idx="1">
                        <c:v>2.7390000820159899</c:v>
                      </c:pt>
                      <c:pt idx="2">
                        <c:v>2.7509999275207502</c:v>
                      </c:pt>
                      <c:pt idx="3">
                        <c:v>2.7279999256134002</c:v>
                      </c:pt>
                      <c:pt idx="4">
                        <c:v>2.7070000171661399</c:v>
                      </c:pt>
                      <c:pt idx="5">
                        <c:v>2.6930000782012899</c:v>
                      </c:pt>
                      <c:pt idx="6">
                        <c:v>2.6809999942779501</c:v>
                      </c:pt>
                      <c:pt idx="7">
                        <c:v>2.6700000762939502</c:v>
                      </c:pt>
                      <c:pt idx="8">
                        <c:v>2.6989998817443799</c:v>
                      </c:pt>
                      <c:pt idx="9">
                        <c:v>2.6719999313354501</c:v>
                      </c:pt>
                      <c:pt idx="10">
                        <c:v>2.6329998970031698</c:v>
                      </c:pt>
                      <c:pt idx="11">
                        <c:v>2.6359999179840101</c:v>
                      </c:pt>
                      <c:pt idx="12">
                        <c:v>2.6340000629425</c:v>
                      </c:pt>
                      <c:pt idx="13">
                        <c:v>2.6170001029968302</c:v>
                      </c:pt>
                      <c:pt idx="14">
                        <c:v>2.6089999675750701</c:v>
                      </c:pt>
                      <c:pt idx="15">
                        <c:v>2.5959999561309801</c:v>
                      </c:pt>
                      <c:pt idx="16">
                        <c:v>2.5840001106262198</c:v>
                      </c:pt>
                      <c:pt idx="17">
                        <c:v>3.31599998474121</c:v>
                      </c:pt>
                      <c:pt idx="18">
                        <c:v>4.0329999923706099</c:v>
                      </c:pt>
                      <c:pt idx="19">
                        <c:v>4.7729997634887704</c:v>
                      </c:pt>
                      <c:pt idx="20">
                        <c:v>5.4770002365112296</c:v>
                      </c:pt>
                      <c:pt idx="21">
                        <c:v>5.40199995040894</c:v>
                      </c:pt>
                    </c:numCache>
                  </c:numRef>
                </c:val>
                <c:smooth val="0"/>
                <c:extLst xmlns:c15="http://schemas.microsoft.com/office/drawing/2012/chart">
                  <c:ext xmlns:c16="http://schemas.microsoft.com/office/drawing/2014/chart" uri="{C3380CC4-5D6E-409C-BE32-E72D297353CC}">
                    <c16:uniqueId val="{00000035-0DBF-478B-9257-82BEBEB5411F}"/>
                  </c:ext>
                </c:extLst>
              </c15:ser>
            </c15:filteredLineSeries>
            <c15:filteredLineSeries>
              <c15:ser>
                <c:idx val="54"/>
                <c:order val="54"/>
                <c:tx>
                  <c:strRef>
                    <c:extLst xmlns:c15="http://schemas.microsoft.com/office/drawing/2012/chart">
                      <c:ext xmlns:c15="http://schemas.microsoft.com/office/drawing/2012/chart" uri="{02D57815-91ED-43cb-92C2-25804820EDAC}">
                        <c15:formulaRef>
                          <c15:sqref>'Data LM'!$A$53</c15:sqref>
                        </c15:formulaRef>
                      </c:ext>
                    </c:extLst>
                    <c:strCache>
                      <c:ptCount val="1"/>
                      <c:pt idx="0">
                        <c:v>Unemployment, male (% of male labor force) (national estimate)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LM'!$C$53:$X$53</c15:sqref>
                        </c15:formulaRef>
                      </c:ext>
                    </c:extLst>
                    <c:numCache>
                      <c:formatCode>0.0</c:formatCode>
                      <c:ptCount val="22"/>
                      <c:pt idx="0">
                        <c:v>0</c:v>
                      </c:pt>
                      <c:pt idx="1">
                        <c:v>0</c:v>
                      </c:pt>
                      <c:pt idx="2">
                        <c:v>0</c:v>
                      </c:pt>
                      <c:pt idx="3">
                        <c:v>0</c:v>
                      </c:pt>
                      <c:pt idx="4">
                        <c:v>0</c:v>
                      </c:pt>
                      <c:pt idx="5">
                        <c:v>9.8100004196166992</c:v>
                      </c:pt>
                      <c:pt idx="6">
                        <c:v>9.8100004196166992</c:v>
                      </c:pt>
                      <c:pt idx="7">
                        <c:v>0</c:v>
                      </c:pt>
                      <c:pt idx="8">
                        <c:v>0</c:v>
                      </c:pt>
                      <c:pt idx="9">
                        <c:v>9.8999996185302699</c:v>
                      </c:pt>
                      <c:pt idx="10">
                        <c:v>0</c:v>
                      </c:pt>
                      <c:pt idx="11">
                        <c:v>0</c:v>
                      </c:pt>
                      <c:pt idx="12">
                        <c:v>0</c:v>
                      </c:pt>
                      <c:pt idx="13">
                        <c:v>0</c:v>
                      </c:pt>
                      <c:pt idx="14">
                        <c:v>0</c:v>
                      </c:pt>
                      <c:pt idx="15">
                        <c:v>0</c:v>
                      </c:pt>
                      <c:pt idx="16">
                        <c:v>2.5799999237060498</c:v>
                      </c:pt>
                      <c:pt idx="17">
                        <c:v>0</c:v>
                      </c:pt>
                      <c:pt idx="18">
                        <c:v>0</c:v>
                      </c:pt>
                      <c:pt idx="19">
                        <c:v>4.7800002098083496</c:v>
                      </c:pt>
                      <c:pt idx="20">
                        <c:v>0</c:v>
                      </c:pt>
                      <c:pt idx="21">
                        <c:v>0</c:v>
                      </c:pt>
                    </c:numCache>
                  </c:numRef>
                </c:val>
                <c:smooth val="0"/>
                <c:extLst xmlns:c15="http://schemas.microsoft.com/office/drawing/2012/chart">
                  <c:ext xmlns:c16="http://schemas.microsoft.com/office/drawing/2014/chart" uri="{C3380CC4-5D6E-409C-BE32-E72D297353CC}">
                    <c16:uniqueId val="{00000036-0DBF-478B-9257-82BEBEB5411F}"/>
                  </c:ext>
                </c:extLst>
              </c15:ser>
            </c15:filteredLineSeries>
            <c15:filteredLineSeries>
              <c15:ser>
                <c:idx val="55"/>
                <c:order val="55"/>
                <c:tx>
                  <c:strRef>
                    <c:extLst xmlns:c15="http://schemas.microsoft.com/office/drawing/2012/chart">
                      <c:ext xmlns:c15="http://schemas.microsoft.com/office/drawing/2012/chart" uri="{02D57815-91ED-43cb-92C2-25804820EDAC}">
                        <c15:formulaRef>
                          <c15:sqref>'Data LM'!$A$54</c15:sqref>
                        </c15:formulaRef>
                      </c:ext>
                    </c:extLst>
                    <c:strCache>
                      <c:ptCount val="1"/>
                      <c:pt idx="0">
                        <c:v>Unemployment, total (% of total labor force) (modeled ILO estimate)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LM'!$C$54:$X$54</c15:sqref>
                        </c15:formulaRef>
                      </c:ext>
                    </c:extLst>
                    <c:numCache>
                      <c:formatCode>0.0</c:formatCode>
                      <c:ptCount val="22"/>
                      <c:pt idx="0">
                        <c:v>3.0209999084472701</c:v>
                      </c:pt>
                      <c:pt idx="1">
                        <c:v>2.9890000820159899</c:v>
                      </c:pt>
                      <c:pt idx="2">
                        <c:v>2.99600005149841</c:v>
                      </c:pt>
                      <c:pt idx="3">
                        <c:v>2.9690001010894802</c:v>
                      </c:pt>
                      <c:pt idx="4">
                        <c:v>2.9419999122619598</c:v>
                      </c:pt>
                      <c:pt idx="5">
                        <c:v>2.92400002479553</c:v>
                      </c:pt>
                      <c:pt idx="6">
                        <c:v>2.90700006484985</c:v>
                      </c:pt>
                      <c:pt idx="7">
                        <c:v>2.8910000324249299</c:v>
                      </c:pt>
                      <c:pt idx="8">
                        <c:v>2.9159998893737802</c:v>
                      </c:pt>
                      <c:pt idx="9">
                        <c:v>2.8840000629425</c:v>
                      </c:pt>
                      <c:pt idx="10">
                        <c:v>2.83899998664856</c:v>
                      </c:pt>
                      <c:pt idx="11">
                        <c:v>2.8369998931884801</c:v>
                      </c:pt>
                      <c:pt idx="12">
                        <c:v>2.8310000896453902</c:v>
                      </c:pt>
                      <c:pt idx="13">
                        <c:v>2.8080000877380402</c:v>
                      </c:pt>
                      <c:pt idx="14">
                        <c:v>2.7950000762939502</c:v>
                      </c:pt>
                      <c:pt idx="15">
                        <c:v>2.77699995040894</c:v>
                      </c:pt>
                      <c:pt idx="16">
                        <c:v>2.7599999904632599</c:v>
                      </c:pt>
                      <c:pt idx="17">
                        <c:v>3.51300001144409</c:v>
                      </c:pt>
                      <c:pt idx="18">
                        <c:v>4.2490000724792498</c:v>
                      </c:pt>
                      <c:pt idx="19">
                        <c:v>5.0100002288818404</c:v>
                      </c:pt>
                      <c:pt idx="20">
                        <c:v>5.7290000915527299</c:v>
                      </c:pt>
                      <c:pt idx="21">
                        <c:v>5.7420001029968297</c:v>
                      </c:pt>
                    </c:numCache>
                  </c:numRef>
                </c:val>
                <c:smooth val="0"/>
                <c:extLst xmlns:c15="http://schemas.microsoft.com/office/drawing/2012/chart">
                  <c:ext xmlns:c16="http://schemas.microsoft.com/office/drawing/2014/chart" uri="{C3380CC4-5D6E-409C-BE32-E72D297353CC}">
                    <c16:uniqueId val="{00000037-0DBF-478B-9257-82BEBEB5411F}"/>
                  </c:ext>
                </c:extLst>
              </c15:ser>
            </c15:filteredLineSeries>
            <c15:filteredLineSeries>
              <c15:ser>
                <c:idx val="56"/>
                <c:order val="56"/>
                <c:tx>
                  <c:strRef>
                    <c:extLst xmlns:c15="http://schemas.microsoft.com/office/drawing/2012/chart">
                      <c:ext xmlns:c15="http://schemas.microsoft.com/office/drawing/2012/chart" uri="{02D57815-91ED-43cb-92C2-25804820EDAC}">
                        <c15:formulaRef>
                          <c15:sqref>'Data LM'!$A$55</c15:sqref>
                        </c15:formulaRef>
                      </c:ext>
                    </c:extLst>
                    <c:strCache>
                      <c:ptCount val="1"/>
                      <c:pt idx="0">
                        <c:v>Unemployment, total (% of total labor force) (national estimate)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LM'!$C$55:$X$55</c15:sqref>
                        </c15:formulaRef>
                      </c:ext>
                    </c:extLst>
                    <c:numCache>
                      <c:formatCode>0.0</c:formatCode>
                      <c:ptCount val="22"/>
                      <c:pt idx="0">
                        <c:v>0</c:v>
                      </c:pt>
                      <c:pt idx="1">
                        <c:v>0</c:v>
                      </c:pt>
                      <c:pt idx="2">
                        <c:v>0</c:v>
                      </c:pt>
                      <c:pt idx="3">
                        <c:v>0</c:v>
                      </c:pt>
                      <c:pt idx="4">
                        <c:v>0</c:v>
                      </c:pt>
                      <c:pt idx="5">
                        <c:v>9.9600000381469709</c:v>
                      </c:pt>
                      <c:pt idx="6">
                        <c:v>9.9600000381469709</c:v>
                      </c:pt>
                      <c:pt idx="7">
                        <c:v>0</c:v>
                      </c:pt>
                      <c:pt idx="8">
                        <c:v>0</c:v>
                      </c:pt>
                      <c:pt idx="9">
                        <c:v>9.6000003814697301</c:v>
                      </c:pt>
                      <c:pt idx="10">
                        <c:v>0</c:v>
                      </c:pt>
                      <c:pt idx="11">
                        <c:v>0</c:v>
                      </c:pt>
                      <c:pt idx="12">
                        <c:v>0</c:v>
                      </c:pt>
                      <c:pt idx="13">
                        <c:v>0</c:v>
                      </c:pt>
                      <c:pt idx="14">
                        <c:v>0</c:v>
                      </c:pt>
                      <c:pt idx="15">
                        <c:v>0</c:v>
                      </c:pt>
                      <c:pt idx="16">
                        <c:v>2.7599999904632599</c:v>
                      </c:pt>
                      <c:pt idx="17">
                        <c:v>0</c:v>
                      </c:pt>
                      <c:pt idx="18">
                        <c:v>0</c:v>
                      </c:pt>
                      <c:pt idx="19">
                        <c:v>5.0100002288818404</c:v>
                      </c:pt>
                      <c:pt idx="20">
                        <c:v>0</c:v>
                      </c:pt>
                      <c:pt idx="21">
                        <c:v>0</c:v>
                      </c:pt>
                    </c:numCache>
                  </c:numRef>
                </c:val>
                <c:smooth val="0"/>
                <c:extLst xmlns:c15="http://schemas.microsoft.com/office/drawing/2012/chart">
                  <c:ext xmlns:c16="http://schemas.microsoft.com/office/drawing/2014/chart" uri="{C3380CC4-5D6E-409C-BE32-E72D297353CC}">
                    <c16:uniqueId val="{00000038-0DBF-478B-9257-82BEBEB5411F}"/>
                  </c:ext>
                </c:extLst>
              </c15:ser>
            </c15:filteredLineSeries>
            <c15:filteredLineSeries>
              <c15:ser>
                <c:idx val="57"/>
                <c:order val="57"/>
                <c:tx>
                  <c:strRef>
                    <c:extLst xmlns:c15="http://schemas.microsoft.com/office/drawing/2012/chart">
                      <c:ext xmlns:c15="http://schemas.microsoft.com/office/drawing/2012/chart" uri="{02D57815-91ED-43cb-92C2-25804820EDAC}">
                        <c15:formulaRef>
                          <c15:sqref>'Data LM'!$A$56</c15:sqref>
                        </c15:formulaRef>
                      </c:ext>
                    </c:extLst>
                    <c:strCache>
                      <c:ptCount val="1"/>
                      <c:pt idx="0">
                        <c:v>Unemployment, youth female (% of female labor force ages 15-24) (modeled ILO estimate)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LM'!$C$56:$X$56</c15:sqref>
                        </c15:formulaRef>
                      </c:ext>
                    </c:extLst>
                    <c:numCache>
                      <c:formatCode>0.0</c:formatCode>
                      <c:ptCount val="22"/>
                      <c:pt idx="0">
                        <c:v>6.8889999389648402</c:v>
                      </c:pt>
                      <c:pt idx="1">
                        <c:v>6.8670001029968297</c:v>
                      </c:pt>
                      <c:pt idx="2">
                        <c:v>6.9120001792907697</c:v>
                      </c:pt>
                      <c:pt idx="3">
                        <c:v>6.90199995040894</c:v>
                      </c:pt>
                      <c:pt idx="4">
                        <c:v>6.9000000953674299</c:v>
                      </c:pt>
                      <c:pt idx="5">
                        <c:v>6.9219999313354501</c:v>
                      </c:pt>
                      <c:pt idx="6">
                        <c:v>6.9640002250671396</c:v>
                      </c:pt>
                      <c:pt idx="7">
                        <c:v>7.01300001144409</c:v>
                      </c:pt>
                      <c:pt idx="8">
                        <c:v>7.1399998664856001</c:v>
                      </c:pt>
                      <c:pt idx="9">
                        <c:v>7.1609997749328604</c:v>
                      </c:pt>
                      <c:pt idx="10">
                        <c:v>7.1539998054504403</c:v>
                      </c:pt>
                      <c:pt idx="11">
                        <c:v>7.2270002365112296</c:v>
                      </c:pt>
                      <c:pt idx="12">
                        <c:v>7.2870001792907697</c:v>
                      </c:pt>
                      <c:pt idx="13">
                        <c:v>7.3109998703002903</c:v>
                      </c:pt>
                      <c:pt idx="14">
                        <c:v>7.3470001220703098</c:v>
                      </c:pt>
                      <c:pt idx="15">
                        <c:v>7.3649997711181596</c:v>
                      </c:pt>
                      <c:pt idx="16">
                        <c:v>7.3810000419616699</c:v>
                      </c:pt>
                      <c:pt idx="17">
                        <c:v>9.2959995269775408</c:v>
                      </c:pt>
                      <c:pt idx="18">
                        <c:v>11.201000213623001</c:v>
                      </c:pt>
                      <c:pt idx="19">
                        <c:v>13.1759996414185</c:v>
                      </c:pt>
                      <c:pt idx="20">
                        <c:v>14.463000297546399</c:v>
                      </c:pt>
                      <c:pt idx="21">
                        <c:v>14.9160003662109</c:v>
                      </c:pt>
                    </c:numCache>
                  </c:numRef>
                </c:val>
                <c:smooth val="0"/>
                <c:extLst xmlns:c15="http://schemas.microsoft.com/office/drawing/2012/chart">
                  <c:ext xmlns:c16="http://schemas.microsoft.com/office/drawing/2014/chart" uri="{C3380CC4-5D6E-409C-BE32-E72D297353CC}">
                    <c16:uniqueId val="{00000039-0DBF-478B-9257-82BEBEB5411F}"/>
                  </c:ext>
                </c:extLst>
              </c15:ser>
            </c15:filteredLineSeries>
            <c15:filteredLineSeries>
              <c15:ser>
                <c:idx val="58"/>
                <c:order val="58"/>
                <c:tx>
                  <c:strRef>
                    <c:extLst xmlns:c15="http://schemas.microsoft.com/office/drawing/2012/chart">
                      <c:ext xmlns:c15="http://schemas.microsoft.com/office/drawing/2012/chart" uri="{02D57815-91ED-43cb-92C2-25804820EDAC}">
                        <c15:formulaRef>
                          <c15:sqref>'Data LM'!$A$57</c15:sqref>
                        </c15:formulaRef>
                      </c:ext>
                    </c:extLst>
                    <c:strCache>
                      <c:ptCount val="1"/>
                      <c:pt idx="0">
                        <c:v>Unemployment, youth female (% of female labor force ages 15-24) (national estimate)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LM'!$C$57:$X$57</c15:sqref>
                        </c15:formulaRef>
                      </c:ext>
                    </c:extLst>
                    <c:numCache>
                      <c:formatCode>0.0</c:formatCode>
                      <c:ptCount val="22"/>
                      <c:pt idx="0">
                        <c:v>0</c:v>
                      </c:pt>
                      <c:pt idx="1">
                        <c:v>0</c:v>
                      </c:pt>
                      <c:pt idx="2">
                        <c:v>0</c:v>
                      </c:pt>
                      <c:pt idx="3">
                        <c:v>0</c:v>
                      </c:pt>
                      <c:pt idx="4">
                        <c:v>0</c:v>
                      </c:pt>
                      <c:pt idx="5">
                        <c:v>20.610000610351602</c:v>
                      </c:pt>
                      <c:pt idx="6">
                        <c:v>20.610000610351602</c:v>
                      </c:pt>
                      <c:pt idx="7">
                        <c:v>0</c:v>
                      </c:pt>
                      <c:pt idx="8">
                        <c:v>0</c:v>
                      </c:pt>
                      <c:pt idx="9">
                        <c:v>0</c:v>
                      </c:pt>
                      <c:pt idx="10">
                        <c:v>0</c:v>
                      </c:pt>
                      <c:pt idx="11">
                        <c:v>0</c:v>
                      </c:pt>
                      <c:pt idx="12">
                        <c:v>0</c:v>
                      </c:pt>
                      <c:pt idx="13">
                        <c:v>0</c:v>
                      </c:pt>
                      <c:pt idx="14">
                        <c:v>0</c:v>
                      </c:pt>
                      <c:pt idx="15">
                        <c:v>0</c:v>
                      </c:pt>
                      <c:pt idx="16">
                        <c:v>7.4299998283386204</c:v>
                      </c:pt>
                      <c:pt idx="17">
                        <c:v>0</c:v>
                      </c:pt>
                      <c:pt idx="18">
                        <c:v>0</c:v>
                      </c:pt>
                      <c:pt idx="19">
                        <c:v>13.8400001525879</c:v>
                      </c:pt>
                      <c:pt idx="20">
                        <c:v>0</c:v>
                      </c:pt>
                      <c:pt idx="21">
                        <c:v>0</c:v>
                      </c:pt>
                    </c:numCache>
                  </c:numRef>
                </c:val>
                <c:smooth val="0"/>
                <c:extLst xmlns:c15="http://schemas.microsoft.com/office/drawing/2012/chart">
                  <c:ext xmlns:c16="http://schemas.microsoft.com/office/drawing/2014/chart" uri="{C3380CC4-5D6E-409C-BE32-E72D297353CC}">
                    <c16:uniqueId val="{0000003A-0DBF-478B-9257-82BEBEB5411F}"/>
                  </c:ext>
                </c:extLst>
              </c15:ser>
            </c15:filteredLineSeries>
            <c15:filteredLineSeries>
              <c15:ser>
                <c:idx val="59"/>
                <c:order val="59"/>
                <c:tx>
                  <c:strRef>
                    <c:extLst xmlns:c15="http://schemas.microsoft.com/office/drawing/2012/chart">
                      <c:ext xmlns:c15="http://schemas.microsoft.com/office/drawing/2012/chart" uri="{02D57815-91ED-43cb-92C2-25804820EDAC}">
                        <c15:formulaRef>
                          <c15:sqref>'Data LM'!$A$58</c15:sqref>
                        </c15:formulaRef>
                      </c:ext>
                    </c:extLst>
                    <c:strCache>
                      <c:ptCount val="1"/>
                      <c:pt idx="0">
                        <c:v>Unemployment, youth male (% of male labor force ages 15-24) (modeled ILO estimate)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LM'!$C$58:$X$58</c15:sqref>
                        </c15:formulaRef>
                      </c:ext>
                    </c:extLst>
                    <c:numCache>
                      <c:formatCode>0.0</c:formatCode>
                      <c:ptCount val="22"/>
                      <c:pt idx="0">
                        <c:v>6.67799997329712</c:v>
                      </c:pt>
                      <c:pt idx="1">
                        <c:v>6.6550002098083496</c:v>
                      </c:pt>
                      <c:pt idx="2">
                        <c:v>6.7059998512268102</c:v>
                      </c:pt>
                      <c:pt idx="3">
                        <c:v>6.69700002670288</c:v>
                      </c:pt>
                      <c:pt idx="4">
                        <c:v>6.6979999542236301</c:v>
                      </c:pt>
                      <c:pt idx="5">
                        <c:v>6.7259998321533203</c:v>
                      </c:pt>
                      <c:pt idx="6">
                        <c:v>6.7779998779296902</c:v>
                      </c:pt>
                      <c:pt idx="7">
                        <c:v>6.8390002250671396</c:v>
                      </c:pt>
                      <c:pt idx="8">
                        <c:v>6.9860000610351598</c:v>
                      </c:pt>
                      <c:pt idx="9">
                        <c:v>7.0139999389648402</c:v>
                      </c:pt>
                      <c:pt idx="10">
                        <c:v>7.0100002288818404</c:v>
                      </c:pt>
                      <c:pt idx="11">
                        <c:v>7.0939998626709002</c:v>
                      </c:pt>
                      <c:pt idx="12">
                        <c:v>7.1640000343322798</c:v>
                      </c:pt>
                      <c:pt idx="13">
                        <c:v>7.1919999122619602</c:v>
                      </c:pt>
                      <c:pt idx="14">
                        <c:v>7.2329998016357404</c:v>
                      </c:pt>
                      <c:pt idx="15">
                        <c:v>7.2529997825622603</c:v>
                      </c:pt>
                      <c:pt idx="16">
                        <c:v>7.2699999809265101</c:v>
                      </c:pt>
                      <c:pt idx="17">
                        <c:v>8.6630001068115199</c:v>
                      </c:pt>
                      <c:pt idx="18">
                        <c:v>10.055000305175801</c:v>
                      </c:pt>
                      <c:pt idx="19">
                        <c:v>11.519000053405801</c:v>
                      </c:pt>
                      <c:pt idx="20">
                        <c:v>12.7340002059937</c:v>
                      </c:pt>
                      <c:pt idx="21">
                        <c:v>12.788999557495099</c:v>
                      </c:pt>
                    </c:numCache>
                  </c:numRef>
                </c:val>
                <c:smooth val="0"/>
                <c:extLst xmlns:c15="http://schemas.microsoft.com/office/drawing/2012/chart">
                  <c:ext xmlns:c16="http://schemas.microsoft.com/office/drawing/2014/chart" uri="{C3380CC4-5D6E-409C-BE32-E72D297353CC}">
                    <c16:uniqueId val="{0000003B-0DBF-478B-9257-82BEBEB5411F}"/>
                  </c:ext>
                </c:extLst>
              </c15:ser>
            </c15:filteredLineSeries>
            <c15:filteredLineSeries>
              <c15:ser>
                <c:idx val="60"/>
                <c:order val="60"/>
                <c:tx>
                  <c:strRef>
                    <c:extLst xmlns:c15="http://schemas.microsoft.com/office/drawing/2012/chart">
                      <c:ext xmlns:c15="http://schemas.microsoft.com/office/drawing/2012/chart" uri="{02D57815-91ED-43cb-92C2-25804820EDAC}">
                        <c15:formulaRef>
                          <c15:sqref>'Data LM'!$A$59</c15:sqref>
                        </c15:formulaRef>
                      </c:ext>
                    </c:extLst>
                    <c:strCache>
                      <c:ptCount val="1"/>
                      <c:pt idx="0">
                        <c:v>Unemployment, youth male (% of male labor force ages 15-24) (national estimate)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LM'!$C$59:$X$59</c15:sqref>
                        </c15:formulaRef>
                      </c:ext>
                    </c:extLst>
                    <c:numCache>
                      <c:formatCode>0.0</c:formatCode>
                      <c:ptCount val="22"/>
                      <c:pt idx="0">
                        <c:v>0</c:v>
                      </c:pt>
                      <c:pt idx="1">
                        <c:v>0</c:v>
                      </c:pt>
                      <c:pt idx="2">
                        <c:v>0</c:v>
                      </c:pt>
                      <c:pt idx="3">
                        <c:v>0</c:v>
                      </c:pt>
                      <c:pt idx="4">
                        <c:v>0</c:v>
                      </c:pt>
                      <c:pt idx="5">
                        <c:v>18.879999160766602</c:v>
                      </c:pt>
                      <c:pt idx="6">
                        <c:v>18.879999160766602</c:v>
                      </c:pt>
                      <c:pt idx="7">
                        <c:v>0</c:v>
                      </c:pt>
                      <c:pt idx="8">
                        <c:v>0</c:v>
                      </c:pt>
                      <c:pt idx="9">
                        <c:v>0</c:v>
                      </c:pt>
                      <c:pt idx="10">
                        <c:v>0</c:v>
                      </c:pt>
                      <c:pt idx="11">
                        <c:v>0</c:v>
                      </c:pt>
                      <c:pt idx="12">
                        <c:v>0</c:v>
                      </c:pt>
                      <c:pt idx="13">
                        <c:v>0</c:v>
                      </c:pt>
                      <c:pt idx="14">
                        <c:v>0</c:v>
                      </c:pt>
                      <c:pt idx="15">
                        <c:v>0</c:v>
                      </c:pt>
                      <c:pt idx="16">
                        <c:v>7.28999996185303</c:v>
                      </c:pt>
                      <c:pt idx="17">
                        <c:v>0</c:v>
                      </c:pt>
                      <c:pt idx="18">
                        <c:v>0</c:v>
                      </c:pt>
                      <c:pt idx="19">
                        <c:v>11.9799995422363</c:v>
                      </c:pt>
                      <c:pt idx="20">
                        <c:v>0</c:v>
                      </c:pt>
                      <c:pt idx="21">
                        <c:v>0</c:v>
                      </c:pt>
                    </c:numCache>
                  </c:numRef>
                </c:val>
                <c:smooth val="0"/>
                <c:extLst xmlns:c15="http://schemas.microsoft.com/office/drawing/2012/chart">
                  <c:ext xmlns:c16="http://schemas.microsoft.com/office/drawing/2014/chart" uri="{C3380CC4-5D6E-409C-BE32-E72D297353CC}">
                    <c16:uniqueId val="{0000003C-0DBF-478B-9257-82BEBEB5411F}"/>
                  </c:ext>
                </c:extLst>
              </c15:ser>
            </c15:filteredLineSeries>
            <c15:filteredLineSeries>
              <c15:ser>
                <c:idx val="61"/>
                <c:order val="61"/>
                <c:tx>
                  <c:strRef>
                    <c:extLst xmlns:c15="http://schemas.microsoft.com/office/drawing/2012/chart">
                      <c:ext xmlns:c15="http://schemas.microsoft.com/office/drawing/2012/chart" uri="{02D57815-91ED-43cb-92C2-25804820EDAC}">
                        <c15:formulaRef>
                          <c15:sqref>'Data LM'!$A$60</c15:sqref>
                        </c15:formulaRef>
                      </c:ext>
                    </c:extLst>
                    <c:strCache>
                      <c:ptCount val="1"/>
                      <c:pt idx="0">
                        <c:v>Unemployment, youth total (% of total labor force ages 15-24) (modeled ILO estimate)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LM'!$C$60:$X$60</c15:sqref>
                        </c15:formulaRef>
                      </c:ext>
                    </c:extLst>
                    <c:numCache>
                      <c:formatCode>0.0</c:formatCode>
                      <c:ptCount val="22"/>
                      <c:pt idx="0">
                        <c:v>6.7880001068115199</c:v>
                      </c:pt>
                      <c:pt idx="1">
                        <c:v>6.7639999389648402</c:v>
                      </c:pt>
                      <c:pt idx="2">
                        <c:v>6.8119997978210396</c:v>
                      </c:pt>
                      <c:pt idx="3">
                        <c:v>6.8020000457763699</c:v>
                      </c:pt>
                      <c:pt idx="4">
                        <c:v>6.8010001182556197</c:v>
                      </c:pt>
                      <c:pt idx="5">
                        <c:v>6.8249998092651403</c:v>
                      </c:pt>
                      <c:pt idx="6">
                        <c:v>6.8720002174377397</c:v>
                      </c:pt>
                      <c:pt idx="7">
                        <c:v>6.9270000457763699</c:v>
                      </c:pt>
                      <c:pt idx="8">
                        <c:v>7.0630002021789604</c:v>
                      </c:pt>
                      <c:pt idx="9">
                        <c:v>7.0869998931884801</c:v>
                      </c:pt>
                      <c:pt idx="10">
                        <c:v>7.0819997787475604</c:v>
                      </c:pt>
                      <c:pt idx="11">
                        <c:v>7.1599998474121103</c:v>
                      </c:pt>
                      <c:pt idx="12">
                        <c:v>7.2249999046325701</c:v>
                      </c:pt>
                      <c:pt idx="13">
                        <c:v>7.25</c:v>
                      </c:pt>
                      <c:pt idx="14">
                        <c:v>7.2880001068115199</c:v>
                      </c:pt>
                      <c:pt idx="15">
                        <c:v>7.3080000877380398</c:v>
                      </c:pt>
                      <c:pt idx="16">
                        <c:v>7.3239998817443803</c:v>
                      </c:pt>
                      <c:pt idx="17">
                        <c:v>8.9709997177124006</c:v>
                      </c:pt>
                      <c:pt idx="18">
                        <c:v>10.616000175476101</c:v>
                      </c:pt>
                      <c:pt idx="19">
                        <c:v>12.3369998931885</c:v>
                      </c:pt>
                      <c:pt idx="20">
                        <c:v>13.586000442504901</c:v>
                      </c:pt>
                      <c:pt idx="21">
                        <c:v>13.8439998626709</c:v>
                      </c:pt>
                    </c:numCache>
                  </c:numRef>
                </c:val>
                <c:smooth val="0"/>
                <c:extLst xmlns:c15="http://schemas.microsoft.com/office/drawing/2012/chart">
                  <c:ext xmlns:c16="http://schemas.microsoft.com/office/drawing/2014/chart" uri="{C3380CC4-5D6E-409C-BE32-E72D297353CC}">
                    <c16:uniqueId val="{0000003D-0DBF-478B-9257-82BEBEB5411F}"/>
                  </c:ext>
                </c:extLst>
              </c15:ser>
            </c15:filteredLineSeries>
            <c15:filteredLineSeries>
              <c15:ser>
                <c:idx val="62"/>
                <c:order val="62"/>
                <c:tx>
                  <c:strRef>
                    <c:extLst xmlns:c15="http://schemas.microsoft.com/office/drawing/2012/chart">
                      <c:ext xmlns:c15="http://schemas.microsoft.com/office/drawing/2012/chart" uri="{02D57815-91ED-43cb-92C2-25804820EDAC}">
                        <c15:formulaRef>
                          <c15:sqref>'Data LM'!$A$61</c15:sqref>
                        </c15:formulaRef>
                      </c:ext>
                    </c:extLst>
                    <c:strCache>
                      <c:ptCount val="1"/>
                      <c:pt idx="0">
                        <c:v>Unemployment, youth total (% of total labor force ages 15-24) (national estimate)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LM'!$C$61:$X$61</c15:sqref>
                        </c15:formulaRef>
                      </c:ext>
                    </c:extLst>
                    <c:numCache>
                      <c:formatCode>0.0</c:formatCode>
                      <c:ptCount val="22"/>
                      <c:pt idx="0">
                        <c:v>0</c:v>
                      </c:pt>
                      <c:pt idx="1">
                        <c:v>0</c:v>
                      </c:pt>
                      <c:pt idx="2">
                        <c:v>0</c:v>
                      </c:pt>
                      <c:pt idx="3">
                        <c:v>0</c:v>
                      </c:pt>
                      <c:pt idx="4">
                        <c:v>0</c:v>
                      </c:pt>
                      <c:pt idx="5">
                        <c:v>19.649999618530298</c:v>
                      </c:pt>
                      <c:pt idx="6">
                        <c:v>19.649999618530298</c:v>
                      </c:pt>
                      <c:pt idx="7">
                        <c:v>0</c:v>
                      </c:pt>
                      <c:pt idx="8">
                        <c:v>0</c:v>
                      </c:pt>
                      <c:pt idx="9">
                        <c:v>0</c:v>
                      </c:pt>
                      <c:pt idx="10">
                        <c:v>0</c:v>
                      </c:pt>
                      <c:pt idx="11">
                        <c:v>0</c:v>
                      </c:pt>
                      <c:pt idx="12">
                        <c:v>0</c:v>
                      </c:pt>
                      <c:pt idx="13">
                        <c:v>0</c:v>
                      </c:pt>
                      <c:pt idx="14">
                        <c:v>0</c:v>
                      </c:pt>
                      <c:pt idx="15">
                        <c:v>0</c:v>
                      </c:pt>
                      <c:pt idx="16">
                        <c:v>7.3600001335143999</c:v>
                      </c:pt>
                      <c:pt idx="17">
                        <c:v>0</c:v>
                      </c:pt>
                      <c:pt idx="18">
                        <c:v>0</c:v>
                      </c:pt>
                      <c:pt idx="19">
                        <c:v>12.8500003814697</c:v>
                      </c:pt>
                      <c:pt idx="20">
                        <c:v>0</c:v>
                      </c:pt>
                      <c:pt idx="21">
                        <c:v>0</c:v>
                      </c:pt>
                    </c:numCache>
                  </c:numRef>
                </c:val>
                <c:smooth val="0"/>
                <c:extLst xmlns:c15="http://schemas.microsoft.com/office/drawing/2012/chart">
                  <c:ext xmlns:c16="http://schemas.microsoft.com/office/drawing/2014/chart" uri="{C3380CC4-5D6E-409C-BE32-E72D297353CC}">
                    <c16:uniqueId val="{0000003E-0DBF-478B-9257-82BEBEB5411F}"/>
                  </c:ext>
                </c:extLst>
              </c15:ser>
            </c15:filteredLineSeries>
            <c15:filteredLineSeries>
              <c15:ser>
                <c:idx val="63"/>
                <c:order val="63"/>
                <c:tx>
                  <c:strRef>
                    <c:extLst xmlns:c15="http://schemas.microsoft.com/office/drawing/2012/chart">
                      <c:ext xmlns:c15="http://schemas.microsoft.com/office/drawing/2012/chart" uri="{02D57815-91ED-43cb-92C2-25804820EDAC}">
                        <c15:formulaRef>
                          <c15:sqref>'Data LM'!$A$62</c15:sqref>
                        </c15:formulaRef>
                      </c:ext>
                    </c:extLst>
                    <c:strCache>
                      <c:ptCount val="1"/>
                      <c:pt idx="0">
                        <c:v>Vulnerable employment, female (% of female employment) (modeled ILO estimate)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LM'!$C$62:$X$62</c15:sqref>
                        </c15:formulaRef>
                      </c:ext>
                    </c:extLst>
                    <c:numCache>
                      <c:formatCode>0.0</c:formatCode>
                      <c:ptCount val="22"/>
                      <c:pt idx="0">
                        <c:v>73.260000228881808</c:v>
                      </c:pt>
                      <c:pt idx="1">
                        <c:v>74.3399982452393</c:v>
                      </c:pt>
                      <c:pt idx="2">
                        <c:v>75.120000839233398</c:v>
                      </c:pt>
                      <c:pt idx="3">
                        <c:v>75.889999389648509</c:v>
                      </c:pt>
                      <c:pt idx="4">
                        <c:v>76.279998779296903</c:v>
                      </c:pt>
                      <c:pt idx="5">
                        <c:v>76.619998931884695</c:v>
                      </c:pt>
                      <c:pt idx="6">
                        <c:v>77.080001831054602</c:v>
                      </c:pt>
                      <c:pt idx="7">
                        <c:v>75.439998626708999</c:v>
                      </c:pt>
                      <c:pt idx="8">
                        <c:v>74.040000915527301</c:v>
                      </c:pt>
                      <c:pt idx="9">
                        <c:v>72.369998931884695</c:v>
                      </c:pt>
                      <c:pt idx="10">
                        <c:v>70.610002517700195</c:v>
                      </c:pt>
                      <c:pt idx="11">
                        <c:v>68.740001678466797</c:v>
                      </c:pt>
                      <c:pt idx="12">
                        <c:v>67</c:v>
                      </c:pt>
                      <c:pt idx="13">
                        <c:v>65.310001373291001</c:v>
                      </c:pt>
                      <c:pt idx="14">
                        <c:v>63.679999351501394</c:v>
                      </c:pt>
                      <c:pt idx="15">
                        <c:v>62.039999008178697</c:v>
                      </c:pt>
                      <c:pt idx="16">
                        <c:v>60.470000267028801</c:v>
                      </c:pt>
                      <c:pt idx="17">
                        <c:v>59.3400011062622</c:v>
                      </c:pt>
                      <c:pt idx="18">
                        <c:v>58.2299995422363</c:v>
                      </c:pt>
                      <c:pt idx="19">
                        <c:v>57.130001068115199</c:v>
                      </c:pt>
                    </c:numCache>
                  </c:numRef>
                </c:val>
                <c:smooth val="0"/>
                <c:extLst xmlns:c15="http://schemas.microsoft.com/office/drawing/2012/chart">
                  <c:ext xmlns:c16="http://schemas.microsoft.com/office/drawing/2014/chart" uri="{C3380CC4-5D6E-409C-BE32-E72D297353CC}">
                    <c16:uniqueId val="{0000003F-0DBF-478B-9257-82BEBEB5411F}"/>
                  </c:ext>
                </c:extLst>
              </c15:ser>
            </c15:filteredLineSeries>
            <c15:filteredLineSeries>
              <c15:ser>
                <c:idx val="64"/>
                <c:order val="64"/>
                <c:tx>
                  <c:strRef>
                    <c:extLst xmlns:c15="http://schemas.microsoft.com/office/drawing/2012/chart">
                      <c:ext xmlns:c15="http://schemas.microsoft.com/office/drawing/2012/chart" uri="{02D57815-91ED-43cb-92C2-25804820EDAC}">
                        <c15:formulaRef>
                          <c15:sqref>'Data LM'!$A$63</c15:sqref>
                        </c15:formulaRef>
                      </c:ext>
                    </c:extLst>
                    <c:strCache>
                      <c:ptCount val="1"/>
                      <c:pt idx="0">
                        <c:v>Vulnerable employment, male (% of male employment) (modeled ILO estimate)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LM'!$C$63:$X$63</c15:sqref>
                        </c15:formulaRef>
                      </c:ext>
                    </c:extLst>
                    <c:numCache>
                      <c:formatCode>0.0</c:formatCode>
                      <c:ptCount val="22"/>
                      <c:pt idx="0">
                        <c:v>47.159999847412095</c:v>
                      </c:pt>
                      <c:pt idx="1">
                        <c:v>49.340000152587905</c:v>
                      </c:pt>
                      <c:pt idx="2">
                        <c:v>51.539999008178697</c:v>
                      </c:pt>
                      <c:pt idx="3">
                        <c:v>53.590000152587805</c:v>
                      </c:pt>
                      <c:pt idx="4">
                        <c:v>54.890001296997099</c:v>
                      </c:pt>
                      <c:pt idx="5">
                        <c:v>55.949998855590898</c:v>
                      </c:pt>
                      <c:pt idx="6">
                        <c:v>57.289999008178704</c:v>
                      </c:pt>
                      <c:pt idx="7">
                        <c:v>55.5</c:v>
                      </c:pt>
                      <c:pt idx="8">
                        <c:v>54.820001602172795</c:v>
                      </c:pt>
                      <c:pt idx="9">
                        <c:v>53.5599975585938</c:v>
                      </c:pt>
                      <c:pt idx="10">
                        <c:v>51.749999046325698</c:v>
                      </c:pt>
                      <c:pt idx="11">
                        <c:v>50.100000381469805</c:v>
                      </c:pt>
                      <c:pt idx="12">
                        <c:v>48.8300008773804</c:v>
                      </c:pt>
                      <c:pt idx="13">
                        <c:v>47.53000164031981</c:v>
                      </c:pt>
                      <c:pt idx="14">
                        <c:v>46.349999427795453</c:v>
                      </c:pt>
                      <c:pt idx="15">
                        <c:v>45.170001983642592</c:v>
                      </c:pt>
                      <c:pt idx="16">
                        <c:v>44.120000362396262</c:v>
                      </c:pt>
                      <c:pt idx="17">
                        <c:v>43.300001621246338</c:v>
                      </c:pt>
                      <c:pt idx="18">
                        <c:v>42.310001850128174</c:v>
                      </c:pt>
                      <c:pt idx="19">
                        <c:v>41.380000114440925</c:v>
                      </c:pt>
                    </c:numCache>
                  </c:numRef>
                </c:val>
                <c:smooth val="0"/>
                <c:extLst xmlns:c15="http://schemas.microsoft.com/office/drawing/2012/chart">
                  <c:ext xmlns:c16="http://schemas.microsoft.com/office/drawing/2014/chart" uri="{C3380CC4-5D6E-409C-BE32-E72D297353CC}">
                    <c16:uniqueId val="{00000040-0DBF-478B-9257-82BEBEB5411F}"/>
                  </c:ext>
                </c:extLst>
              </c15:ser>
            </c15:filteredLineSeries>
            <c15:filteredLineSeries>
              <c15:ser>
                <c:idx val="65"/>
                <c:order val="65"/>
                <c:tx>
                  <c:strRef>
                    <c:extLst xmlns:c15="http://schemas.microsoft.com/office/drawing/2012/chart">
                      <c:ext xmlns:c15="http://schemas.microsoft.com/office/drawing/2012/chart" uri="{02D57815-91ED-43cb-92C2-25804820EDAC}">
                        <c15:formulaRef>
                          <c15:sqref>'Data LM'!$A$64</c15:sqref>
                        </c15:formulaRef>
                      </c:ext>
                    </c:extLst>
                    <c:strCache>
                      <c:ptCount val="1"/>
                      <c:pt idx="0">
                        <c:v>Vulnerable employment, total (% of total employment) (modeled ILO estimate)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LM'!$C$64:$X$64</c15:sqref>
                        </c15:formulaRef>
                      </c:ext>
                    </c:extLst>
                    <c:numCache>
                      <c:formatCode>0.0</c:formatCode>
                      <c:ptCount val="22"/>
                      <c:pt idx="0">
                        <c:v>59.989997863769503</c:v>
                      </c:pt>
                      <c:pt idx="1">
                        <c:v>61.530002593994197</c:v>
                      </c:pt>
                      <c:pt idx="2">
                        <c:v>62.960000991821303</c:v>
                      </c:pt>
                      <c:pt idx="3">
                        <c:v>64.280000686645508</c:v>
                      </c:pt>
                      <c:pt idx="4">
                        <c:v>65.049999237060504</c:v>
                      </c:pt>
                      <c:pt idx="5">
                        <c:v>65.670001983642493</c:v>
                      </c:pt>
                      <c:pt idx="6">
                        <c:v>66.640001296997099</c:v>
                      </c:pt>
                      <c:pt idx="7">
                        <c:v>64.93000030517581</c:v>
                      </c:pt>
                      <c:pt idx="8">
                        <c:v>63.950000762939503</c:v>
                      </c:pt>
                      <c:pt idx="9">
                        <c:v>62.510000228881907</c:v>
                      </c:pt>
                      <c:pt idx="10">
                        <c:v>60.75</c:v>
                      </c:pt>
                      <c:pt idx="11">
                        <c:v>59.020000457763601</c:v>
                      </c:pt>
                      <c:pt idx="12">
                        <c:v>57.559999465942298</c:v>
                      </c:pt>
                      <c:pt idx="13">
                        <c:v>56.0900011062622</c:v>
                      </c:pt>
                      <c:pt idx="14">
                        <c:v>54.720001220703097</c:v>
                      </c:pt>
                      <c:pt idx="15">
                        <c:v>53.319999694824226</c:v>
                      </c:pt>
                      <c:pt idx="16">
                        <c:v>52.050001144409144</c:v>
                      </c:pt>
                      <c:pt idx="17">
                        <c:v>51.110000610351591</c:v>
                      </c:pt>
                      <c:pt idx="18">
                        <c:v>50.100000381469741</c:v>
                      </c:pt>
                      <c:pt idx="19">
                        <c:v>49.100001335144015</c:v>
                      </c:pt>
                      <c:pt idx="20">
                        <c:v>0</c:v>
                      </c:pt>
                      <c:pt idx="21">
                        <c:v>0</c:v>
                      </c:pt>
                    </c:numCache>
                  </c:numRef>
                </c:val>
                <c:smooth val="0"/>
                <c:extLst xmlns:c15="http://schemas.microsoft.com/office/drawing/2012/chart">
                  <c:ext xmlns:c16="http://schemas.microsoft.com/office/drawing/2014/chart" uri="{C3380CC4-5D6E-409C-BE32-E72D297353CC}">
                    <c16:uniqueId val="{00000041-0DBF-478B-9257-82BEBEB5411F}"/>
                  </c:ext>
                </c:extLst>
              </c15:ser>
            </c15:filteredLineSeries>
            <c15:filteredLineSeries>
              <c15:ser>
                <c:idx val="66"/>
                <c:order val="66"/>
                <c:tx>
                  <c:strRef>
                    <c:extLst xmlns:c15="http://schemas.microsoft.com/office/drawing/2012/chart">
                      <c:ext xmlns:c15="http://schemas.microsoft.com/office/drawing/2012/chart" uri="{02D57815-91ED-43cb-92C2-25804820EDAC}">
                        <c15:formulaRef>
                          <c15:sqref>'Data LM'!$A$65</c15:sqref>
                        </c15:formulaRef>
                      </c:ext>
                    </c:extLst>
                    <c:strCache>
                      <c:ptCount val="1"/>
                      <c:pt idx="0">
                        <c:v>Wage and salaried workers, female (% of female employment) (modeled ILO estimate)</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LM'!$C$65:$X$65</c15:sqref>
                        </c15:formulaRef>
                      </c:ext>
                    </c:extLst>
                    <c:numCache>
                      <c:formatCode>0.0</c:formatCode>
                      <c:ptCount val="22"/>
                      <c:pt idx="0">
                        <c:v>20.440000534057599</c:v>
                      </c:pt>
                      <c:pt idx="1">
                        <c:v>20.680000305175799</c:v>
                      </c:pt>
                      <c:pt idx="2">
                        <c:v>20.9899997711182</c:v>
                      </c:pt>
                      <c:pt idx="3">
                        <c:v>21.100000381469702</c:v>
                      </c:pt>
                      <c:pt idx="4">
                        <c:v>21.389999389648398</c:v>
                      </c:pt>
                      <c:pt idx="5">
                        <c:v>21.590000152587901</c:v>
                      </c:pt>
                      <c:pt idx="6">
                        <c:v>21.549999237060501</c:v>
                      </c:pt>
                      <c:pt idx="7">
                        <c:v>23.459999084472699</c:v>
                      </c:pt>
                      <c:pt idx="8">
                        <c:v>25.090000152587901</c:v>
                      </c:pt>
                      <c:pt idx="9">
                        <c:v>26.930000305175799</c:v>
                      </c:pt>
                      <c:pt idx="10">
                        <c:v>28.819999694824201</c:v>
                      </c:pt>
                      <c:pt idx="11">
                        <c:v>30.809999465942401</c:v>
                      </c:pt>
                      <c:pt idx="12">
                        <c:v>32.639999389648402</c:v>
                      </c:pt>
                      <c:pt idx="13">
                        <c:v>34.409999847412102</c:v>
                      </c:pt>
                      <c:pt idx="14">
                        <c:v>36.099998474121101</c:v>
                      </c:pt>
                      <c:pt idx="15">
                        <c:v>37.790000915527301</c:v>
                      </c:pt>
                      <c:pt idx="16">
                        <c:v>39.389999389648402</c:v>
                      </c:pt>
                      <c:pt idx="17">
                        <c:v>40.540000915527301</c:v>
                      </c:pt>
                      <c:pt idx="18">
                        <c:v>41.659999847412102</c:v>
                      </c:pt>
                      <c:pt idx="19">
                        <c:v>42.7700004577637</c:v>
                      </c:pt>
                    </c:numCache>
                  </c:numRef>
                </c:val>
                <c:smooth val="0"/>
                <c:extLst xmlns:c15="http://schemas.microsoft.com/office/drawing/2012/chart">
                  <c:ext xmlns:c16="http://schemas.microsoft.com/office/drawing/2014/chart" uri="{C3380CC4-5D6E-409C-BE32-E72D297353CC}">
                    <c16:uniqueId val="{00000042-0DBF-478B-9257-82BEBEB5411F}"/>
                  </c:ext>
                </c:extLst>
              </c15:ser>
            </c15:filteredLineSeries>
            <c15:filteredLineSeries>
              <c15:ser>
                <c:idx val="67"/>
                <c:order val="67"/>
                <c:tx>
                  <c:strRef>
                    <c:extLst xmlns:c15="http://schemas.microsoft.com/office/drawing/2012/chart">
                      <c:ext xmlns:c15="http://schemas.microsoft.com/office/drawing/2012/chart" uri="{02D57815-91ED-43cb-92C2-25804820EDAC}">
                        <c15:formulaRef>
                          <c15:sqref>'Data LM'!$A$66</c15:sqref>
                        </c15:formulaRef>
                      </c:ext>
                    </c:extLst>
                    <c:strCache>
                      <c:ptCount val="1"/>
                      <c:pt idx="0">
                        <c:v>Wage and salaried workers, male (% of male employment) (modeled ILO estimate)</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LM'!$C$66:$X$66</c15:sqref>
                        </c15:formulaRef>
                      </c:ext>
                    </c:extLst>
                    <c:numCache>
                      <c:formatCode>0.0</c:formatCode>
                      <c:ptCount val="22"/>
                      <c:pt idx="0">
                        <c:v>46.529998779296903</c:v>
                      </c:pt>
                      <c:pt idx="1">
                        <c:v>45.25</c:v>
                      </c:pt>
                      <c:pt idx="2">
                        <c:v>43.840000152587898</c:v>
                      </c:pt>
                      <c:pt idx="3">
                        <c:v>42.509998321533203</c:v>
                      </c:pt>
                      <c:pt idx="4">
                        <c:v>41.810001373291001</c:v>
                      </c:pt>
                      <c:pt idx="5">
                        <c:v>41.2700004577637</c:v>
                      </c:pt>
                      <c:pt idx="6">
                        <c:v>40.360000610351598</c:v>
                      </c:pt>
                      <c:pt idx="7">
                        <c:v>42.549999237060497</c:v>
                      </c:pt>
                      <c:pt idx="8">
                        <c:v>43.580001831054702</c:v>
                      </c:pt>
                      <c:pt idx="9">
                        <c:v>45.099998474121101</c:v>
                      </c:pt>
                      <c:pt idx="10">
                        <c:v>47.130001068115199</c:v>
                      </c:pt>
                      <c:pt idx="11">
                        <c:v>48.9799995422363</c:v>
                      </c:pt>
                      <c:pt idx="12">
                        <c:v>50.419998168945298</c:v>
                      </c:pt>
                      <c:pt idx="13">
                        <c:v>51.849998474121101</c:v>
                      </c:pt>
                      <c:pt idx="14">
                        <c:v>53.150001525878899</c:v>
                      </c:pt>
                      <c:pt idx="15">
                        <c:v>54.419998168945298</c:v>
                      </c:pt>
                      <c:pt idx="16">
                        <c:v>55.540000915527301</c:v>
                      </c:pt>
                      <c:pt idx="17">
                        <c:v>56.409999847412102</c:v>
                      </c:pt>
                      <c:pt idx="18">
                        <c:v>57.419998168945298</c:v>
                      </c:pt>
                      <c:pt idx="19">
                        <c:v>58.369998931884801</c:v>
                      </c:pt>
                    </c:numCache>
                  </c:numRef>
                </c:val>
                <c:smooth val="0"/>
                <c:extLst xmlns:c15="http://schemas.microsoft.com/office/drawing/2012/chart">
                  <c:ext xmlns:c16="http://schemas.microsoft.com/office/drawing/2014/chart" uri="{C3380CC4-5D6E-409C-BE32-E72D297353CC}">
                    <c16:uniqueId val="{00000043-0DBF-478B-9257-82BEBEB5411F}"/>
                  </c:ext>
                </c:extLst>
              </c15:ser>
            </c15:filteredLineSeries>
            <c15:filteredLineSeries>
              <c15:ser>
                <c:idx val="68"/>
                <c:order val="68"/>
                <c:tx>
                  <c:strRef>
                    <c:extLst xmlns:c15="http://schemas.microsoft.com/office/drawing/2012/chart">
                      <c:ext xmlns:c15="http://schemas.microsoft.com/office/drawing/2012/chart" uri="{02D57815-91ED-43cb-92C2-25804820EDAC}">
                        <c15:formulaRef>
                          <c15:sqref>'Data LM'!$A$67</c15:sqref>
                        </c15:formulaRef>
                      </c:ext>
                    </c:extLst>
                    <c:strCache>
                      <c:ptCount val="1"/>
                      <c:pt idx="0">
                        <c:v>Wage and salaried workers, total (% of total employment) (modeled ILO estimate)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LM'!$C$67:$X$67</c15:sqref>
                        </c15:formulaRef>
                      </c:ext>
                    </c:extLst>
                    <c:numCache>
                      <c:formatCode>0.0</c:formatCode>
                      <c:ptCount val="22"/>
                      <c:pt idx="0">
                        <c:v>33.709999084472699</c:v>
                      </c:pt>
                      <c:pt idx="1">
                        <c:v>33.2700004577637</c:v>
                      </c:pt>
                      <c:pt idx="2">
                        <c:v>32.779998779296903</c:v>
                      </c:pt>
                      <c:pt idx="3">
                        <c:v>32.240001678466797</c:v>
                      </c:pt>
                      <c:pt idx="4">
                        <c:v>32.110000610351598</c:v>
                      </c:pt>
                      <c:pt idx="5">
                        <c:v>32.009998321533203</c:v>
                      </c:pt>
                      <c:pt idx="6">
                        <c:v>31.4799995422363</c:v>
                      </c:pt>
                      <c:pt idx="7">
                        <c:v>33.5200004577637</c:v>
                      </c:pt>
                      <c:pt idx="8">
                        <c:v>34.790000915527301</c:v>
                      </c:pt>
                      <c:pt idx="9">
                        <c:v>36.439998626708999</c:v>
                      </c:pt>
                      <c:pt idx="10">
                        <c:v>38.389999389648402</c:v>
                      </c:pt>
                      <c:pt idx="11">
                        <c:v>40.279998779296903</c:v>
                      </c:pt>
                      <c:pt idx="12">
                        <c:v>41.880001068115199</c:v>
                      </c:pt>
                      <c:pt idx="13">
                        <c:v>43.450000762939503</c:v>
                      </c:pt>
                      <c:pt idx="14">
                        <c:v>44.919998168945298</c:v>
                      </c:pt>
                      <c:pt idx="15">
                        <c:v>46.380001068115199</c:v>
                      </c:pt>
                      <c:pt idx="16">
                        <c:v>47.709999084472699</c:v>
                      </c:pt>
                      <c:pt idx="17">
                        <c:v>48.680000305175803</c:v>
                      </c:pt>
                      <c:pt idx="18">
                        <c:v>49.709999084472699</c:v>
                      </c:pt>
                      <c:pt idx="19">
                        <c:v>50.7299995422363</c:v>
                      </c:pt>
                      <c:pt idx="20">
                        <c:v>0</c:v>
                      </c:pt>
                      <c:pt idx="21">
                        <c:v>0</c:v>
                      </c:pt>
                    </c:numCache>
                  </c:numRef>
                </c:val>
                <c:smooth val="0"/>
                <c:extLst xmlns:c15="http://schemas.microsoft.com/office/drawing/2012/chart">
                  <c:ext xmlns:c16="http://schemas.microsoft.com/office/drawing/2014/chart" uri="{C3380CC4-5D6E-409C-BE32-E72D297353CC}">
                    <c16:uniqueId val="{00000044-0DBF-478B-9257-82BEBEB5411F}"/>
                  </c:ext>
                </c:extLst>
              </c15:ser>
            </c15:filteredLineSeries>
          </c:ext>
        </c:extLst>
      </c:lineChart>
      <c:catAx>
        <c:axId val="183984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crossAx val="1839858480"/>
        <c:crosses val="autoZero"/>
        <c:auto val="1"/>
        <c:lblAlgn val="ctr"/>
        <c:lblOffset val="100"/>
        <c:noMultiLvlLbl val="0"/>
      </c:catAx>
      <c:valAx>
        <c:axId val="1839858480"/>
        <c:scaling>
          <c:orientation val="minMax"/>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crossAx val="183984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K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GB" sz="700"/>
              <a:t>(b) Unemployment rates (% of EAP)</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lineChart>
        <c:grouping val="standard"/>
        <c:varyColors val="0"/>
        <c:ser>
          <c:idx val="11"/>
          <c:order val="11"/>
          <c:tx>
            <c:strRef>
              <c:f>'Data LM'!#REF!</c:f>
              <c:strCache>
                <c:ptCount val="1"/>
                <c:pt idx="0">
                  <c:v>#REF!</c:v>
                </c:pt>
              </c:strCache>
              <c:extLst xmlns:c15="http://schemas.microsoft.com/office/drawing/2012/chart"/>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D-E3AE-4555-83FF-07A555BD67A2}"/>
            </c:ext>
          </c:extLst>
        </c:ser>
        <c:ser>
          <c:idx val="12"/>
          <c:order val="12"/>
          <c:tx>
            <c:strRef>
              <c:f>'Data LM'!#REF!</c:f>
              <c:strCache>
                <c:ptCount val="1"/>
                <c:pt idx="0">
                  <c:v>#REF!</c:v>
                </c:pt>
              </c:strCache>
              <c:extLst xmlns:c15="http://schemas.microsoft.com/office/drawing/2012/chart"/>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E-E3AE-4555-83FF-07A555BD67A2}"/>
            </c:ext>
          </c:extLst>
        </c:ser>
        <c:ser>
          <c:idx val="13"/>
          <c:order val="13"/>
          <c:tx>
            <c:strRef>
              <c:f>'Data LM'!#REF!</c:f>
              <c:strCache>
                <c:ptCount val="1"/>
                <c:pt idx="0">
                  <c:v>#REF!</c:v>
                </c:pt>
              </c:strCache>
              <c:extLst xmlns:c15="http://schemas.microsoft.com/office/drawing/2012/chart"/>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F-E3AE-4555-83FF-07A555BD67A2}"/>
            </c:ext>
          </c:extLst>
        </c:ser>
        <c:ser>
          <c:idx val="51"/>
          <c:order val="51"/>
          <c:tx>
            <c:strRef>
              <c:f>'Data LM'!$A$50</c:f>
              <c:strCache>
                <c:ptCount val="1"/>
                <c:pt idx="0">
                  <c:v>Unemployment, female (% of female labor force) (modeled ILO estimate)</c:v>
                </c:pt>
              </c:strCache>
              <c:extLst xmlns:c15="http://schemas.microsoft.com/office/drawing/2012/chart"/>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c:numRef>
          </c:cat>
          <c:val>
            <c:numRef>
              <c:f>'Data LM'!$C$50:$X$50</c:f>
              <c:numCache>
                <c:formatCode>0.0</c:formatCode>
                <c:ptCount val="22"/>
                <c:pt idx="0">
                  <c:v>3.2809998989105198</c:v>
                </c:pt>
                <c:pt idx="1">
                  <c:v>3.2439999580383301</c:v>
                </c:pt>
                <c:pt idx="2">
                  <c:v>3.2469999790191699</c:v>
                </c:pt>
                <c:pt idx="3">
                  <c:v>3.2149999141693102</c:v>
                </c:pt>
                <c:pt idx="4">
                  <c:v>3.1849999427795401</c:v>
                </c:pt>
                <c:pt idx="5">
                  <c:v>3.1619999408721902</c:v>
                </c:pt>
                <c:pt idx="6">
                  <c:v>3.1400001049041699</c:v>
                </c:pt>
                <c:pt idx="7">
                  <c:v>3.1199998855590798</c:v>
                </c:pt>
                <c:pt idx="8">
                  <c:v>3.1400001049041699</c:v>
                </c:pt>
                <c:pt idx="9">
                  <c:v>3.1029999256134002</c:v>
                </c:pt>
                <c:pt idx="10">
                  <c:v>3.05299997329712</c:v>
                </c:pt>
                <c:pt idx="11">
                  <c:v>3.0469999313354501</c:v>
                </c:pt>
                <c:pt idx="12">
                  <c:v>3.03600001335144</c:v>
                </c:pt>
                <c:pt idx="13">
                  <c:v>3.0079998970031698</c:v>
                </c:pt>
                <c:pt idx="14">
                  <c:v>2.9900000095367401</c:v>
                </c:pt>
                <c:pt idx="15">
                  <c:v>2.9670000076293901</c:v>
                </c:pt>
                <c:pt idx="16">
                  <c:v>2.9449999332428001</c:v>
                </c:pt>
                <c:pt idx="17">
                  <c:v>3.7170000076293901</c:v>
                </c:pt>
                <c:pt idx="18">
                  <c:v>4.47300004959106</c:v>
                </c:pt>
                <c:pt idx="19">
                  <c:v>5.2519998550415004</c:v>
                </c:pt>
                <c:pt idx="20">
                  <c:v>5.9899997711181596</c:v>
                </c:pt>
                <c:pt idx="21">
                  <c:v>6.0939998626709002</c:v>
                </c:pt>
              </c:numCache>
              <c:extLst/>
            </c:numRef>
          </c:val>
          <c:smooth val="0"/>
          <c:extLst xmlns:c15="http://schemas.microsoft.com/office/drawing/2012/chart">
            <c:ext xmlns:c16="http://schemas.microsoft.com/office/drawing/2014/chart" uri="{C3380CC4-5D6E-409C-BE32-E72D297353CC}">
              <c16:uniqueId val="{00000000-E3AE-4555-83FF-07A555BD67A2}"/>
            </c:ext>
          </c:extLst>
        </c:ser>
        <c:ser>
          <c:idx val="53"/>
          <c:order val="53"/>
          <c:tx>
            <c:strRef>
              <c:f>'Data LM'!$A$52</c:f>
              <c:strCache>
                <c:ptCount val="1"/>
                <c:pt idx="0">
                  <c:v>Unemployment, male (% of male labor force) (modeled ILO estimate)</c:v>
                </c:pt>
              </c:strCache>
              <c:extLst xmlns:c15="http://schemas.microsoft.com/office/drawing/2012/chart"/>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f>'Data LM'!$C$1:$X$1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extLst/>
            </c:numRef>
          </c:cat>
          <c:val>
            <c:numRef>
              <c:f>'Data LM'!$C$52:$X$52</c:f>
              <c:numCache>
                <c:formatCode>0.0</c:formatCode>
                <c:ptCount val="22"/>
                <c:pt idx="0">
                  <c:v>2.7660000324249299</c:v>
                </c:pt>
                <c:pt idx="1">
                  <c:v>2.7390000820159899</c:v>
                </c:pt>
                <c:pt idx="2">
                  <c:v>2.7509999275207502</c:v>
                </c:pt>
                <c:pt idx="3">
                  <c:v>2.7279999256134002</c:v>
                </c:pt>
                <c:pt idx="4">
                  <c:v>2.7070000171661399</c:v>
                </c:pt>
                <c:pt idx="5">
                  <c:v>2.6930000782012899</c:v>
                </c:pt>
                <c:pt idx="6">
                  <c:v>2.6809999942779501</c:v>
                </c:pt>
                <c:pt idx="7">
                  <c:v>2.6700000762939502</c:v>
                </c:pt>
                <c:pt idx="8">
                  <c:v>2.6989998817443799</c:v>
                </c:pt>
                <c:pt idx="9">
                  <c:v>2.6719999313354501</c:v>
                </c:pt>
                <c:pt idx="10">
                  <c:v>2.6329998970031698</c:v>
                </c:pt>
                <c:pt idx="11">
                  <c:v>2.6359999179840101</c:v>
                </c:pt>
                <c:pt idx="12">
                  <c:v>2.6340000629425</c:v>
                </c:pt>
                <c:pt idx="13">
                  <c:v>2.6170001029968302</c:v>
                </c:pt>
                <c:pt idx="14">
                  <c:v>2.6089999675750701</c:v>
                </c:pt>
                <c:pt idx="15">
                  <c:v>2.5959999561309801</c:v>
                </c:pt>
                <c:pt idx="16">
                  <c:v>2.5840001106262198</c:v>
                </c:pt>
                <c:pt idx="17">
                  <c:v>3.31599998474121</c:v>
                </c:pt>
                <c:pt idx="18">
                  <c:v>4.0329999923706099</c:v>
                </c:pt>
                <c:pt idx="19">
                  <c:v>4.7729997634887704</c:v>
                </c:pt>
                <c:pt idx="20">
                  <c:v>5.4770002365112296</c:v>
                </c:pt>
                <c:pt idx="21">
                  <c:v>5.40199995040894</c:v>
                </c:pt>
              </c:numCache>
              <c:extLst/>
            </c:numRef>
          </c:val>
          <c:smooth val="0"/>
          <c:extLst xmlns:c15="http://schemas.microsoft.com/office/drawing/2012/chart">
            <c:ext xmlns:c16="http://schemas.microsoft.com/office/drawing/2014/chart" uri="{C3380CC4-5D6E-409C-BE32-E72D297353CC}">
              <c16:uniqueId val="{00000001-E3AE-4555-83FF-07A555BD67A2}"/>
            </c:ext>
          </c:extLst>
        </c:ser>
        <c:dLbls>
          <c:showLegendKey val="0"/>
          <c:showVal val="0"/>
          <c:showCatName val="0"/>
          <c:showSerName val="0"/>
          <c:showPercent val="0"/>
          <c:showBubbleSize val="0"/>
        </c:dLbls>
        <c:marker val="1"/>
        <c:smooth val="0"/>
        <c:axId val="1839849744"/>
        <c:axId val="1839858480"/>
        <c:extLst>
          <c:ext xmlns:c15="http://schemas.microsoft.com/office/drawing/2012/chart" uri="{02D57815-91ED-43cb-92C2-25804820EDAC}">
            <c15:filteredLineSeries>
              <c15:ser>
                <c:idx val="0"/>
                <c:order val="0"/>
                <c:tx>
                  <c:strRef>
                    <c:extLst>
                      <c:ext uri="{02D57815-91ED-43cb-92C2-25804820EDAC}">
                        <c15:formulaRef>
                          <c15:sqref>'Data LM'!$A$2</c15:sqref>
                        </c15:formulaRef>
                      </c:ext>
                    </c:extLst>
                    <c:strCache>
                      <c:ptCount val="1"/>
                      <c:pt idx="0">
                        <c:v>Employment in agriculture (% of total employment) (modeled ILO estimate)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c:ext uri="{02D57815-91ED-43cb-92C2-25804820EDAC}">
                        <c15:formulaRef>
                          <c15:sqref>'Data LM'!$C$2:$X$2</c15:sqref>
                        </c15:formulaRef>
                      </c:ext>
                    </c:extLst>
                    <c:numCache>
                      <c:formatCode>0.0</c:formatCode>
                      <c:ptCount val="22"/>
                      <c:pt idx="0">
                        <c:v>48.7299995422363</c:v>
                      </c:pt>
                      <c:pt idx="1">
                        <c:v>51.5</c:v>
                      </c:pt>
                      <c:pt idx="2">
                        <c:v>54.279998779296903</c:v>
                      </c:pt>
                      <c:pt idx="3">
                        <c:v>56.759998321533203</c:v>
                      </c:pt>
                      <c:pt idx="4">
                        <c:v>58.930000305175803</c:v>
                      </c:pt>
                      <c:pt idx="5">
                        <c:v>61.060001373291001</c:v>
                      </c:pt>
                      <c:pt idx="6">
                        <c:v>61.139999389648402</c:v>
                      </c:pt>
                      <c:pt idx="7">
                        <c:v>60.970001220703097</c:v>
                      </c:pt>
                      <c:pt idx="8">
                        <c:v>61.110000610351598</c:v>
                      </c:pt>
                      <c:pt idx="9">
                        <c:v>60.939998626708999</c:v>
                      </c:pt>
                      <c:pt idx="10">
                        <c:v>60.319999694824197</c:v>
                      </c:pt>
                      <c:pt idx="11">
                        <c:v>59.740001678466797</c:v>
                      </c:pt>
                      <c:pt idx="12">
                        <c:v>59.220001220703097</c:v>
                      </c:pt>
                      <c:pt idx="13">
                        <c:v>58.590000152587898</c:v>
                      </c:pt>
                      <c:pt idx="14">
                        <c:v>57.939998626708999</c:v>
                      </c:pt>
                      <c:pt idx="15">
                        <c:v>57.259998321533203</c:v>
                      </c:pt>
                      <c:pt idx="16">
                        <c:v>56.529998779296903</c:v>
                      </c:pt>
                      <c:pt idx="17">
                        <c:v>55.860000610351598</c:v>
                      </c:pt>
                      <c:pt idx="18">
                        <c:v>55.080001831054702</c:v>
                      </c:pt>
                      <c:pt idx="19">
                        <c:v>54.340000152587898</c:v>
                      </c:pt>
                      <c:pt idx="20">
                        <c:v>0</c:v>
                      </c:pt>
                      <c:pt idx="21">
                        <c:v>0</c:v>
                      </c:pt>
                    </c:numCache>
                  </c:numRef>
                </c:val>
                <c:smooth val="0"/>
                <c:extLst>
                  <c:ext xmlns:c16="http://schemas.microsoft.com/office/drawing/2014/chart" uri="{C3380CC4-5D6E-409C-BE32-E72D297353CC}">
                    <c16:uniqueId val="{00000002-E3AE-4555-83FF-07A555BD67A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'Data LM'!$A$3</c15:sqref>
                        </c15:formulaRef>
                      </c:ext>
                    </c:extLst>
                    <c:strCache>
                      <c:ptCount val="1"/>
                      <c:pt idx="0">
                        <c:v>Agriculture modeled ILO estimate)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LM'!$C$3:$X$3</c15:sqref>
                        </c15:formulaRef>
                      </c:ext>
                    </c:extLst>
                    <c:numCache>
                      <c:formatCode>0.0</c:formatCode>
                      <c:ptCount val="22"/>
                      <c:pt idx="0">
                        <c:v>57.740001678466797</c:v>
                      </c:pt>
                      <c:pt idx="1">
                        <c:v>60.290000915527301</c:v>
                      </c:pt>
                      <c:pt idx="2">
                        <c:v>62.599998474121101</c:v>
                      </c:pt>
                      <c:pt idx="3">
                        <c:v>64.660003662109403</c:v>
                      </c:pt>
                      <c:pt idx="4">
                        <c:v>66.459999084472699</c:v>
                      </c:pt>
                      <c:pt idx="5">
                        <c:v>68.110000610351605</c:v>
                      </c:pt>
                      <c:pt idx="6">
                        <c:v>68.330001831054702</c:v>
                      </c:pt>
                      <c:pt idx="7">
                        <c:v>68.129997253417997</c:v>
                      </c:pt>
                      <c:pt idx="8">
                        <c:v>67.879997253417997</c:v>
                      </c:pt>
                      <c:pt idx="9">
                        <c:v>67.449996948242202</c:v>
                      </c:pt>
                      <c:pt idx="10">
                        <c:v>66.790000915527301</c:v>
                      </c:pt>
                      <c:pt idx="11">
                        <c:v>66.069999694824205</c:v>
                      </c:pt>
                      <c:pt idx="12">
                        <c:v>65.360000610351605</c:v>
                      </c:pt>
                      <c:pt idx="13">
                        <c:v>64.589996337890597</c:v>
                      </c:pt>
                      <c:pt idx="14">
                        <c:v>63.779998779296903</c:v>
                      </c:pt>
                      <c:pt idx="15">
                        <c:v>62.919998168945298</c:v>
                      </c:pt>
                      <c:pt idx="16">
                        <c:v>62.049999237060497</c:v>
                      </c:pt>
                      <c:pt idx="17">
                        <c:v>61.150001525878899</c:v>
                      </c:pt>
                      <c:pt idx="18">
                        <c:v>60.240001678466797</c:v>
                      </c:pt>
                      <c:pt idx="19">
                        <c:v>59.340000152587898</c:v>
                      </c:pt>
                      <c:pt idx="20">
                        <c:v>0</c:v>
                      </c:pt>
                      <c:pt idx="21">
                        <c:v>0</c:v>
                      </c:pt>
                    </c:numCache>
                  </c:numRef>
                </c:val>
                <c:smooth val="0"/>
                <c:extLst xmlns:c15="http://schemas.microsoft.com/office/drawing/2012/chart">
                  <c:ext xmlns:c16="http://schemas.microsoft.com/office/drawing/2014/chart" uri="{C3380CC4-5D6E-409C-BE32-E72D297353CC}">
                    <c16:uniqueId val="{00000003-E3AE-4555-83FF-07A555BD67A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'Data LM'!$A$4</c15:sqref>
                        </c15:formulaRef>
                      </c:ext>
                    </c:extLst>
                    <c:strCache>
                      <c:ptCount val="1"/>
                      <c:pt idx="0">
                        <c:v>Agriculture modeled ILO estimate)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LM'!$C$4:$X$4</c15:sqref>
                        </c15:formulaRef>
                      </c:ext>
                    </c:extLst>
                    <c:numCache>
                      <c:formatCode>0.0</c:formatCode>
                      <c:ptCount val="22"/>
                      <c:pt idx="0">
                        <c:v>40.009998321533203</c:v>
                      </c:pt>
                      <c:pt idx="1">
                        <c:v>43.130001068115199</c:v>
                      </c:pt>
                      <c:pt idx="2">
                        <c:v>46.470001220703097</c:v>
                      </c:pt>
                      <c:pt idx="3">
                        <c:v>49.4799995422363</c:v>
                      </c:pt>
                      <c:pt idx="4">
                        <c:v>52.110000610351598</c:v>
                      </c:pt>
                      <c:pt idx="5">
                        <c:v>54.799999237060497</c:v>
                      </c:pt>
                      <c:pt idx="6">
                        <c:v>54.720001220703097</c:v>
                      </c:pt>
                      <c:pt idx="7">
                        <c:v>54.540000915527301</c:v>
                      </c:pt>
                      <c:pt idx="8">
                        <c:v>54.9799995422363</c:v>
                      </c:pt>
                      <c:pt idx="9">
                        <c:v>55.009998321533203</c:v>
                      </c:pt>
                      <c:pt idx="10">
                        <c:v>54.409999847412102</c:v>
                      </c:pt>
                      <c:pt idx="11">
                        <c:v>53.919998168945298</c:v>
                      </c:pt>
                      <c:pt idx="12">
                        <c:v>53.540000915527301</c:v>
                      </c:pt>
                      <c:pt idx="13">
                        <c:v>53.009998321533203</c:v>
                      </c:pt>
                      <c:pt idx="14">
                        <c:v>52.5</c:v>
                      </c:pt>
                      <c:pt idx="15">
                        <c:v>51.939998626708999</c:v>
                      </c:pt>
                      <c:pt idx="16">
                        <c:v>51.330001831054702</c:v>
                      </c:pt>
                      <c:pt idx="17">
                        <c:v>50.830001831054702</c:v>
                      </c:pt>
                      <c:pt idx="18">
                        <c:v>50.139999389648402</c:v>
                      </c:pt>
                      <c:pt idx="19">
                        <c:v>49.549999237060497</c:v>
                      </c:pt>
                      <c:pt idx="20">
                        <c:v>0</c:v>
                      </c:pt>
                      <c:pt idx="21">
                        <c:v>0</c:v>
                      </c:pt>
                    </c:numCache>
                  </c:numRef>
                </c:val>
                <c:smooth val="0"/>
                <c:extLst xmlns:c15="http://schemas.microsoft.com/office/drawing/2012/chart">
                  <c:ext xmlns:c16="http://schemas.microsoft.com/office/drawing/2014/chart" uri="{C3380CC4-5D6E-409C-BE32-E72D297353CC}">
                    <c16:uniqueId val="{00000004-E3AE-4555-83FF-07A555BD67A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LM'!$A$5</c15:sqref>
                        </c15:formulaRef>
                      </c:ext>
                    </c:extLst>
                    <c:strCache>
                      <c:ptCount val="1"/>
                      <c:pt idx="0">
                        <c:v>Employment in industry (% of total employment) (modeled ILO estimate)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LM'!$C$5:$X$5</c15:sqref>
                        </c15:formulaRef>
                      </c:ext>
                    </c:extLst>
                    <c:numCache>
                      <c:formatCode>0.0</c:formatCode>
                      <c:ptCount val="22"/>
                      <c:pt idx="0">
                        <c:v>11.569999694824199</c:v>
                      </c:pt>
                      <c:pt idx="1">
                        <c:v>10.189999580383301</c:v>
                      </c:pt>
                      <c:pt idx="2">
                        <c:v>9.0500001907348597</c:v>
                      </c:pt>
                      <c:pt idx="3">
                        <c:v>8.0900001525878906</c:v>
                      </c:pt>
                      <c:pt idx="4">
                        <c:v>7.3400001525878897</c:v>
                      </c:pt>
                      <c:pt idx="5">
                        <c:v>6.6999998092651403</c:v>
                      </c:pt>
                      <c:pt idx="6">
                        <c:v>6.46000003814697</c:v>
                      </c:pt>
                      <c:pt idx="7">
                        <c:v>6.28999996185303</c:v>
                      </c:pt>
                      <c:pt idx="8">
                        <c:v>6.1300001144409197</c:v>
                      </c:pt>
                      <c:pt idx="9">
                        <c:v>6.03999996185303</c:v>
                      </c:pt>
                      <c:pt idx="10">
                        <c:v>6.0100002288818404</c:v>
                      </c:pt>
                      <c:pt idx="11">
                        <c:v>6.0100002288818404</c:v>
                      </c:pt>
                      <c:pt idx="12">
                        <c:v>6.0100002288818404</c:v>
                      </c:pt>
                      <c:pt idx="13">
                        <c:v>6.0300002098083496</c:v>
                      </c:pt>
                      <c:pt idx="14">
                        <c:v>6.0599999427795401</c:v>
                      </c:pt>
                      <c:pt idx="15">
                        <c:v>6.0900001525878897</c:v>
                      </c:pt>
                      <c:pt idx="16">
                        <c:v>6.1300001144409197</c:v>
                      </c:pt>
                      <c:pt idx="17">
                        <c:v>6.1599998474121103</c:v>
                      </c:pt>
                      <c:pt idx="18">
                        <c:v>6.1900000572204599</c:v>
                      </c:pt>
                      <c:pt idx="19">
                        <c:v>6.2199997901916504</c:v>
                      </c:pt>
                      <c:pt idx="20">
                        <c:v>0</c:v>
                      </c:pt>
                      <c:pt idx="21">
                        <c:v>0</c:v>
                      </c:pt>
                    </c:numCache>
                  </c:numRef>
                </c:val>
                <c:smooth val="0"/>
                <c:extLst xmlns:c15="http://schemas.microsoft.com/office/drawing/2012/chart">
                  <c:ext xmlns:c16="http://schemas.microsoft.com/office/drawing/2014/chart" uri="{C3380CC4-5D6E-409C-BE32-E72D297353CC}">
                    <c16:uniqueId val="{00000005-E3AE-4555-83FF-07A555BD67A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'Data LM'!$A$6</c15:sqref>
                        </c15:formulaRef>
                      </c:ext>
                    </c:extLst>
                    <c:strCache>
                      <c:ptCount val="1"/>
                      <c:pt idx="0">
                        <c:v>Industry (modeled ILO estimate)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LM'!$C$6:$X$6</c15:sqref>
                        </c15:formulaRef>
                      </c:ext>
                    </c:extLst>
                    <c:numCache>
                      <c:formatCode>0.0</c:formatCode>
                      <c:ptCount val="22"/>
                      <c:pt idx="0">
                        <c:v>6.5599999427795401</c:v>
                      </c:pt>
                      <c:pt idx="1">
                        <c:v>5.25</c:v>
                      </c:pt>
                      <c:pt idx="2">
                        <c:v>4.2600002288818404</c:v>
                      </c:pt>
                      <c:pt idx="3">
                        <c:v>3.4400000572204599</c:v>
                      </c:pt>
                      <c:pt idx="4">
                        <c:v>2.7999999523162802</c:v>
                      </c:pt>
                      <c:pt idx="5">
                        <c:v>2.28999996185303</c:v>
                      </c:pt>
                      <c:pt idx="6">
                        <c:v>2.0899999141693102</c:v>
                      </c:pt>
                      <c:pt idx="7">
                        <c:v>1.9400000572204601</c:v>
                      </c:pt>
                      <c:pt idx="8">
                        <c:v>1.8500000238418599</c:v>
                      </c:pt>
                      <c:pt idx="9">
                        <c:v>1.7799999713897701</c:v>
                      </c:pt>
                      <c:pt idx="10">
                        <c:v>1.7200000286102299</c:v>
                      </c:pt>
                      <c:pt idx="11">
                        <c:v>1.6900000572204601</c:v>
                      </c:pt>
                      <c:pt idx="12">
                        <c:v>1.66999995708466</c:v>
                      </c:pt>
                      <c:pt idx="13">
                        <c:v>1.6499999761581401</c:v>
                      </c:pt>
                      <c:pt idx="14">
                        <c:v>1.6399999856948899</c:v>
                      </c:pt>
                      <c:pt idx="15">
                        <c:v>1.62999999523163</c:v>
                      </c:pt>
                      <c:pt idx="16">
                        <c:v>1.62999999523163</c:v>
                      </c:pt>
                      <c:pt idx="17">
                        <c:v>1.62000000476837</c:v>
                      </c:pt>
                      <c:pt idx="18">
                        <c:v>1.62000000476837</c:v>
                      </c:pt>
                      <c:pt idx="19">
                        <c:v>1.62000000476837</c:v>
                      </c:pt>
                      <c:pt idx="20">
                        <c:v>0</c:v>
                      </c:pt>
                      <c:pt idx="21">
                        <c:v>0</c:v>
                      </c:pt>
                    </c:numCache>
                  </c:numRef>
                </c:val>
                <c:smooth val="0"/>
                <c:extLst xmlns:c15="http://schemas.microsoft.com/office/drawing/2012/chart">
                  <c:ext xmlns:c16="http://schemas.microsoft.com/office/drawing/2014/chart" uri="{C3380CC4-5D6E-409C-BE32-E72D297353CC}">
                    <c16:uniqueId val="{00000006-E3AE-4555-83FF-07A555BD67A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LM'!$A$7</c15:sqref>
                        </c15:formulaRef>
                      </c:ext>
                    </c:extLst>
                    <c:strCache>
                      <c:ptCount val="1"/>
                      <c:pt idx="0">
                        <c:v>Industry (modeled ILO estimate)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LM'!$C$7:$X$7</c15:sqref>
                        </c15:formulaRef>
                      </c:ext>
                    </c:extLst>
                    <c:numCache>
                      <c:formatCode>0.0</c:formatCode>
                      <c:ptCount val="22"/>
                      <c:pt idx="0">
                        <c:v>16.420000076293899</c:v>
                      </c:pt>
                      <c:pt idx="1">
                        <c:v>14.8900003433228</c:v>
                      </c:pt>
                      <c:pt idx="2">
                        <c:v>13.539999961853001</c:v>
                      </c:pt>
                      <c:pt idx="3">
                        <c:v>12.3800001144409</c:v>
                      </c:pt>
                      <c:pt idx="4">
                        <c:v>11.449999809265099</c:v>
                      </c:pt>
                      <c:pt idx="5">
                        <c:v>10.6199998855591</c:v>
                      </c:pt>
                      <c:pt idx="6">
                        <c:v>10.3699998855591</c:v>
                      </c:pt>
                      <c:pt idx="7">
                        <c:v>10.189999580383301</c:v>
                      </c:pt>
                      <c:pt idx="8">
                        <c:v>10.0100002288818</c:v>
                      </c:pt>
                      <c:pt idx="9">
                        <c:v>9.9099998474121094</c:v>
                      </c:pt>
                      <c:pt idx="10">
                        <c:v>9.9200000762939506</c:v>
                      </c:pt>
                      <c:pt idx="11">
                        <c:v>9.9700002670288104</c:v>
                      </c:pt>
                      <c:pt idx="12">
                        <c:v>10.0200004577637</c:v>
                      </c:pt>
                      <c:pt idx="13">
                        <c:v>10.1000003814697</c:v>
                      </c:pt>
                      <c:pt idx="14">
                        <c:v>10.180000305175801</c:v>
                      </c:pt>
                      <c:pt idx="15">
                        <c:v>10.2799997329712</c:v>
                      </c:pt>
                      <c:pt idx="16">
                        <c:v>10.3800001144409</c:v>
                      </c:pt>
                      <c:pt idx="17">
                        <c:v>10.4700002670288</c:v>
                      </c:pt>
                      <c:pt idx="18">
                        <c:v>10.579999923706101</c:v>
                      </c:pt>
                      <c:pt idx="19">
                        <c:v>10.6300001144409</c:v>
                      </c:pt>
                      <c:pt idx="20">
                        <c:v>0</c:v>
                      </c:pt>
                      <c:pt idx="21">
                        <c:v>0</c:v>
                      </c:pt>
                    </c:numCache>
                  </c:numRef>
                </c:val>
                <c:smooth val="0"/>
                <c:extLst xmlns:c15="http://schemas.microsoft.com/office/drawing/2012/chart">
                  <c:ext xmlns:c16="http://schemas.microsoft.com/office/drawing/2014/chart" uri="{C3380CC4-5D6E-409C-BE32-E72D297353CC}">
                    <c16:uniqueId val="{00000007-E3AE-4555-83FF-07A555BD67A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'Data LM'!$A$8</c15:sqref>
                        </c15:formulaRef>
                      </c:ext>
                    </c:extLst>
                    <c:strCache>
                      <c:ptCount val="1"/>
                      <c:pt idx="0">
                        <c:v>Employment in services (% of total employment) (modeled ILO estimate)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LM'!$C$8:$X$8</c15:sqref>
                        </c15:formulaRef>
                      </c:ext>
                    </c:extLst>
                    <c:numCache>
                      <c:formatCode>0.0</c:formatCode>
                      <c:ptCount val="22"/>
                      <c:pt idx="0">
                        <c:v>39.700000762939503</c:v>
                      </c:pt>
                      <c:pt idx="1">
                        <c:v>38.319999694824197</c:v>
                      </c:pt>
                      <c:pt idx="2">
                        <c:v>36.669998168945298</c:v>
                      </c:pt>
                      <c:pt idx="3">
                        <c:v>35.150001525878899</c:v>
                      </c:pt>
                      <c:pt idx="4">
                        <c:v>33.7299995422363</c:v>
                      </c:pt>
                      <c:pt idx="5">
                        <c:v>32.240001678466797</c:v>
                      </c:pt>
                      <c:pt idx="6">
                        <c:v>32.400001525878899</c:v>
                      </c:pt>
                      <c:pt idx="7">
                        <c:v>32.740001678466797</c:v>
                      </c:pt>
                      <c:pt idx="8">
                        <c:v>32.7700004577637</c:v>
                      </c:pt>
                      <c:pt idx="9">
                        <c:v>33.029998779296903</c:v>
                      </c:pt>
                      <c:pt idx="10">
                        <c:v>33.680000305175803</c:v>
                      </c:pt>
                      <c:pt idx="11">
                        <c:v>34.25</c:v>
                      </c:pt>
                      <c:pt idx="12">
                        <c:v>34.7700004577637</c:v>
                      </c:pt>
                      <c:pt idx="13">
                        <c:v>35.380001068115199</c:v>
                      </c:pt>
                      <c:pt idx="14">
                        <c:v>36</c:v>
                      </c:pt>
                      <c:pt idx="15">
                        <c:v>36.650001525878899</c:v>
                      </c:pt>
                      <c:pt idx="16">
                        <c:v>37.330001831054702</c:v>
                      </c:pt>
                      <c:pt idx="17">
                        <c:v>37.9799995422363</c:v>
                      </c:pt>
                      <c:pt idx="18">
                        <c:v>38.7299995422363</c:v>
                      </c:pt>
                      <c:pt idx="19">
                        <c:v>39.439998626708999</c:v>
                      </c:pt>
                      <c:pt idx="20">
                        <c:v>0</c:v>
                      </c:pt>
                      <c:pt idx="21">
                        <c:v>0</c:v>
                      </c:pt>
                    </c:numCache>
                  </c:numRef>
                </c:val>
                <c:smooth val="0"/>
                <c:extLst xmlns:c15="http://schemas.microsoft.com/office/drawing/2012/chart">
                  <c:ext xmlns:c16="http://schemas.microsoft.com/office/drawing/2014/chart" uri="{C3380CC4-5D6E-409C-BE32-E72D297353CC}">
                    <c16:uniqueId val="{00000008-E3AE-4555-83FF-07A555BD67A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LM'!$A$9</c15:sqref>
                        </c15:formulaRef>
                      </c:ext>
                    </c:extLst>
                    <c:strCache>
                      <c:ptCount val="1"/>
                      <c:pt idx="0">
                        <c:v>Services (modeled ILO estimate)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LM'!$C$9:$X$9</c15:sqref>
                        </c15:formulaRef>
                      </c:ext>
                    </c:extLst>
                    <c:numCache>
                      <c:formatCode>0.0</c:formatCode>
                      <c:ptCount val="22"/>
                      <c:pt idx="0">
                        <c:v>35.700000762939503</c:v>
                      </c:pt>
                      <c:pt idx="1">
                        <c:v>34.470001220703097</c:v>
                      </c:pt>
                      <c:pt idx="2">
                        <c:v>33.130001068115199</c:v>
                      </c:pt>
                      <c:pt idx="3">
                        <c:v>31.899999618530298</c:v>
                      </c:pt>
                      <c:pt idx="4">
                        <c:v>30.7399997711182</c:v>
                      </c:pt>
                      <c:pt idx="5">
                        <c:v>29.590000152587901</c:v>
                      </c:pt>
                      <c:pt idx="6">
                        <c:v>29.590000152587901</c:v>
                      </c:pt>
                      <c:pt idx="7">
                        <c:v>29.930000305175799</c:v>
                      </c:pt>
                      <c:pt idx="8">
                        <c:v>30.280000686645501</c:v>
                      </c:pt>
                      <c:pt idx="9">
                        <c:v>30.7700004577637</c:v>
                      </c:pt>
                      <c:pt idx="10">
                        <c:v>31.4899997711182</c:v>
                      </c:pt>
                      <c:pt idx="11">
                        <c:v>32.2299995422363</c:v>
                      </c:pt>
                      <c:pt idx="12">
                        <c:v>32.970001220703097</c:v>
                      </c:pt>
                      <c:pt idx="13">
                        <c:v>33.759998321533203</c:v>
                      </c:pt>
                      <c:pt idx="14">
                        <c:v>34.580001831054702</c:v>
                      </c:pt>
                      <c:pt idx="15">
                        <c:v>35.450000762939503</c:v>
                      </c:pt>
                      <c:pt idx="16">
                        <c:v>36.319999694824197</c:v>
                      </c:pt>
                      <c:pt idx="17">
                        <c:v>37.2299995422363</c:v>
                      </c:pt>
                      <c:pt idx="18">
                        <c:v>38.139999389648402</c:v>
                      </c:pt>
                      <c:pt idx="19">
                        <c:v>39.040000915527301</c:v>
                      </c:pt>
                      <c:pt idx="20">
                        <c:v>0</c:v>
                      </c:pt>
                      <c:pt idx="21">
                        <c:v>0</c:v>
                      </c:pt>
                    </c:numCache>
                  </c:numRef>
                </c:val>
                <c:smooth val="0"/>
                <c:extLst xmlns:c15="http://schemas.microsoft.com/office/drawing/2012/chart">
                  <c:ext xmlns:c16="http://schemas.microsoft.com/office/drawing/2014/chart" uri="{C3380CC4-5D6E-409C-BE32-E72D297353CC}">
                    <c16:uniqueId val="{00000009-E3AE-4555-83FF-07A555BD67A2}"/>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'Data LM'!$A$10</c15:sqref>
                        </c15:formulaRef>
                      </c:ext>
                    </c:extLst>
                    <c:strCache>
                      <c:ptCount val="1"/>
                      <c:pt idx="0">
                        <c:v>Services (modeled ILO estimate)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LM'!$C$10:$X$10</c15:sqref>
                        </c15:formulaRef>
                      </c:ext>
                    </c:extLst>
                    <c:numCache>
                      <c:formatCode>0.0</c:formatCode>
                      <c:ptCount val="22"/>
                      <c:pt idx="0">
                        <c:v>43.569999694824197</c:v>
                      </c:pt>
                      <c:pt idx="1">
                        <c:v>41.9799995422363</c:v>
                      </c:pt>
                      <c:pt idx="2">
                        <c:v>39.990001678466797</c:v>
                      </c:pt>
                      <c:pt idx="3">
                        <c:v>38.139999389648402</c:v>
                      </c:pt>
                      <c:pt idx="4">
                        <c:v>36.439998626708999</c:v>
                      </c:pt>
                      <c:pt idx="5">
                        <c:v>34.590000152587898</c:v>
                      </c:pt>
                      <c:pt idx="6">
                        <c:v>34.909999847412102</c:v>
                      </c:pt>
                      <c:pt idx="7">
                        <c:v>35.2700004577637</c:v>
                      </c:pt>
                      <c:pt idx="8">
                        <c:v>35.0200004577637</c:v>
                      </c:pt>
                      <c:pt idx="9">
                        <c:v>35.080001831054702</c:v>
                      </c:pt>
                      <c:pt idx="10">
                        <c:v>35.680000305175803</c:v>
                      </c:pt>
                      <c:pt idx="11">
                        <c:v>36.110000610351598</c:v>
                      </c:pt>
                      <c:pt idx="12">
                        <c:v>36.439998626708999</c:v>
                      </c:pt>
                      <c:pt idx="13">
                        <c:v>36.889999389648402</c:v>
                      </c:pt>
                      <c:pt idx="14">
                        <c:v>37.319999694824197</c:v>
                      </c:pt>
                      <c:pt idx="15">
                        <c:v>37.779998779296903</c:v>
                      </c:pt>
                      <c:pt idx="16">
                        <c:v>38.290000915527301</c:v>
                      </c:pt>
                      <c:pt idx="17">
                        <c:v>38.700000762939503</c:v>
                      </c:pt>
                      <c:pt idx="18">
                        <c:v>39.290000915527301</c:v>
                      </c:pt>
                      <c:pt idx="19">
                        <c:v>39.819999694824197</c:v>
                      </c:pt>
                      <c:pt idx="20">
                        <c:v>0</c:v>
                      </c:pt>
                      <c:pt idx="21">
                        <c:v>0</c:v>
                      </c:pt>
                    </c:numCache>
                  </c:numRef>
                </c:val>
                <c:smooth val="0"/>
                <c:extLst xmlns:c15="http://schemas.microsoft.com/office/drawing/2012/chart">
                  <c:ext xmlns:c16="http://schemas.microsoft.com/office/drawing/2014/chart" uri="{C3380CC4-5D6E-409C-BE32-E72D297353CC}">
                    <c16:uniqueId val="{0000000A-E3AE-4555-83FF-07A555BD67A2}"/>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LM'!$A$11</c15:sqref>
                        </c15:formulaRef>
                      </c:ext>
                    </c:extLst>
                    <c:strCache>
                      <c:ptCount val="1"/>
                      <c:pt idx="0">
                        <c:v>Employment to population ratio, 15+, total (%) (modeled ILO estimate)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LM'!$C$11:$X$11</c15:sqref>
                        </c15:formulaRef>
                      </c:ext>
                    </c:extLst>
                    <c:numCache>
                      <c:formatCode>0.0</c:formatCode>
                      <c:ptCount val="22"/>
                      <c:pt idx="0">
                        <c:v>70.320999145507798</c:v>
                      </c:pt>
                      <c:pt idx="1">
                        <c:v>70.461997985839801</c:v>
                      </c:pt>
                      <c:pt idx="2">
                        <c:v>70.573997497558594</c:v>
                      </c:pt>
                      <c:pt idx="3">
                        <c:v>70.710998535156307</c:v>
                      </c:pt>
                      <c:pt idx="4">
                        <c:v>70.846000671386705</c:v>
                      </c:pt>
                      <c:pt idx="5">
                        <c:v>70.975997924804702</c:v>
                      </c:pt>
                      <c:pt idx="6">
                        <c:v>71.103996276855497</c:v>
                      </c:pt>
                      <c:pt idx="7">
                        <c:v>71.232002258300795</c:v>
                      </c:pt>
                      <c:pt idx="8">
                        <c:v>71.329002380371094</c:v>
                      </c:pt>
                      <c:pt idx="9">
                        <c:v>71.468002319335895</c:v>
                      </c:pt>
                      <c:pt idx="10">
                        <c:v>71.615997314453097</c:v>
                      </c:pt>
                      <c:pt idx="11">
                        <c:v>71.731002807617202</c:v>
                      </c:pt>
                      <c:pt idx="12">
                        <c:v>71.849998474121094</c:v>
                      </c:pt>
                      <c:pt idx="13">
                        <c:v>71.981002807617202</c:v>
                      </c:pt>
                      <c:pt idx="14">
                        <c:v>72.103996276855497</c:v>
                      </c:pt>
                      <c:pt idx="15">
                        <c:v>72.231002807617202</c:v>
                      </c:pt>
                      <c:pt idx="16">
                        <c:v>72.356002807617202</c:v>
                      </c:pt>
                      <c:pt idx="17">
                        <c:v>71.670997619628906</c:v>
                      </c:pt>
                      <c:pt idx="18">
                        <c:v>70.995002746582003</c:v>
                      </c:pt>
                      <c:pt idx="19">
                        <c:v>70.297996520996094</c:v>
                      </c:pt>
                      <c:pt idx="20">
                        <c:v>68.9010009765625</c:v>
                      </c:pt>
                      <c:pt idx="21">
                        <c:v>69.032997131347699</c:v>
                      </c:pt>
                    </c:numCache>
                  </c:numRef>
                </c:val>
                <c:smooth val="0"/>
                <c:extLst xmlns:c15="http://schemas.microsoft.com/office/drawing/2012/chart">
                  <c:ext xmlns:c16="http://schemas.microsoft.com/office/drawing/2014/chart" uri="{C3380CC4-5D6E-409C-BE32-E72D297353CC}">
                    <c16:uniqueId val="{0000000B-E3AE-4555-83FF-07A555BD67A2}"/>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'Data LM'!$A$12</c15:sqref>
                        </c15:formulaRef>
                      </c:ext>
                    </c:extLst>
                    <c:strCache>
                      <c:ptCount val="1"/>
                      <c:pt idx="0">
                        <c:v>Employment to population ratio, ages 15-24, total (%) (national estimate)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LM'!$C$12:$X$12</c15:sqref>
                        </c15:formulaRef>
                      </c:ext>
                    </c:extLst>
                    <c:numCache>
                      <c:formatCode>0.0</c:formatCode>
                      <c:ptCount val="22"/>
                      <c:pt idx="0">
                        <c:v>0</c:v>
                      </c:pt>
                      <c:pt idx="1">
                        <c:v>0</c:v>
                      </c:pt>
                      <c:pt idx="2">
                        <c:v>0</c:v>
                      </c:pt>
                      <c:pt idx="3">
                        <c:v>0</c:v>
                      </c:pt>
                      <c:pt idx="4">
                        <c:v>0</c:v>
                      </c:pt>
                      <c:pt idx="5">
                        <c:v>0</c:v>
                      </c:pt>
                      <c:pt idx="6">
                        <c:v>31.659999847412099</c:v>
                      </c:pt>
                      <c:pt idx="7">
                        <c:v>0</c:v>
                      </c:pt>
                      <c:pt idx="8">
                        <c:v>0</c:v>
                      </c:pt>
                      <c:pt idx="9">
                        <c:v>0</c:v>
                      </c:pt>
                      <c:pt idx="10">
                        <c:v>0</c:v>
                      </c:pt>
                      <c:pt idx="11">
                        <c:v>0</c:v>
                      </c:pt>
                      <c:pt idx="12">
                        <c:v>0</c:v>
                      </c:pt>
                      <c:pt idx="13">
                        <c:v>0</c:v>
                      </c:pt>
                      <c:pt idx="14">
                        <c:v>0</c:v>
                      </c:pt>
                      <c:pt idx="15">
                        <c:v>0</c:v>
                      </c:pt>
                      <c:pt idx="16">
                        <c:v>41.7700004577637</c:v>
                      </c:pt>
                      <c:pt idx="17">
                        <c:v>0</c:v>
                      </c:pt>
                      <c:pt idx="18">
                        <c:v>0</c:v>
                      </c:pt>
                      <c:pt idx="19">
                        <c:v>32.810001373291001</c:v>
                      </c:pt>
                      <c:pt idx="20">
                        <c:v>0</c:v>
                      </c:pt>
                      <c:pt idx="21">
                        <c:v>0</c:v>
                      </c:pt>
                    </c:numCache>
                  </c:numRef>
                </c:val>
                <c:smooth val="0"/>
                <c:extLst xmlns:c15="http://schemas.microsoft.com/office/drawing/2012/chart">
                  <c:ext xmlns:c16="http://schemas.microsoft.com/office/drawing/2014/chart" uri="{C3380CC4-5D6E-409C-BE32-E72D297353CC}">
                    <c16:uniqueId val="{0000000C-E3AE-4555-83FF-07A555BD67A2}"/>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'Data LM'!$A$13</c15:sqref>
                        </c15:formulaRef>
                      </c:ext>
                    </c:extLst>
                    <c:strCache>
                      <c:ptCount val="1"/>
                      <c:pt idx="0">
                        <c:v>Labor force participation rate for ages 15-24, female (%) (modeled ILO estimate)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LM'!$C$13:$X$13</c15:sqref>
                        </c15:formulaRef>
                      </c:ext>
                    </c:extLst>
                    <c:numCache>
                      <c:formatCode>0.0</c:formatCode>
                      <c:ptCount val="22"/>
                      <c:pt idx="0">
                        <c:v>51.655998229980497</c:v>
                      </c:pt>
                      <c:pt idx="1">
                        <c:v>51.219001770019503</c:v>
                      </c:pt>
                      <c:pt idx="2">
                        <c:v>50.780998229980497</c:v>
                      </c:pt>
                      <c:pt idx="3">
                        <c:v>50.333000183105497</c:v>
                      </c:pt>
                      <c:pt idx="4">
                        <c:v>49.867000579833999</c:v>
                      </c:pt>
                      <c:pt idx="5">
                        <c:v>49.377998352050803</c:v>
                      </c:pt>
                      <c:pt idx="6">
                        <c:v>48.840999603271499</c:v>
                      </c:pt>
                      <c:pt idx="7">
                        <c:v>48.287998199462898</c:v>
                      </c:pt>
                      <c:pt idx="8">
                        <c:v>47.728000640869098</c:v>
                      </c:pt>
                      <c:pt idx="9">
                        <c:v>47.173999786377003</c:v>
                      </c:pt>
                      <c:pt idx="10">
                        <c:v>46.632999420166001</c:v>
                      </c:pt>
                      <c:pt idx="11">
                        <c:v>46.090000152587898</c:v>
                      </c:pt>
                      <c:pt idx="12">
                        <c:v>45.557998657226598</c:v>
                      </c:pt>
                      <c:pt idx="13">
                        <c:v>45.041000366210902</c:v>
                      </c:pt>
                      <c:pt idx="14">
                        <c:v>44.541000366210902</c:v>
                      </c:pt>
                      <c:pt idx="15">
                        <c:v>44.061000823974602</c:v>
                      </c:pt>
                      <c:pt idx="16">
                        <c:v>43.590000152587898</c:v>
                      </c:pt>
                      <c:pt idx="17">
                        <c:v>43.111000061035199</c:v>
                      </c:pt>
                      <c:pt idx="18">
                        <c:v>42.6310005187988</c:v>
                      </c:pt>
                      <c:pt idx="19">
                        <c:v>42.126998901367202</c:v>
                      </c:pt>
                      <c:pt idx="20">
                        <c:v>41.306999206542997</c:v>
                      </c:pt>
                      <c:pt idx="21">
                        <c:v>41.874000549316399</c:v>
                      </c:pt>
                    </c:numCache>
                  </c:numRef>
                </c:val>
                <c:smooth val="0"/>
                <c:extLst xmlns:c15="http://schemas.microsoft.com/office/drawing/2012/chart">
                  <c:ext xmlns:c16="http://schemas.microsoft.com/office/drawing/2014/chart" uri="{C3380CC4-5D6E-409C-BE32-E72D297353CC}">
                    <c16:uniqueId val="{00000010-E3AE-4555-83FF-07A555BD67A2}"/>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LM'!$A$14</c15:sqref>
                        </c15:formulaRef>
                      </c:ext>
                    </c:extLst>
                    <c:strCache>
                      <c:ptCount val="1"/>
                      <c:pt idx="0">
                        <c:v>Labor force participation rate for ages 15-24, female (%) (national estimate)</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LM'!$C$14:$X$14</c15:sqref>
                        </c15:formulaRef>
                      </c:ext>
                    </c:extLst>
                    <c:numCache>
                      <c:formatCode>0.0</c:formatCode>
                      <c:ptCount val="22"/>
                      <c:pt idx="0">
                        <c:v>0</c:v>
                      </c:pt>
                      <c:pt idx="1">
                        <c:v>0</c:v>
                      </c:pt>
                      <c:pt idx="2">
                        <c:v>0</c:v>
                      </c:pt>
                      <c:pt idx="3">
                        <c:v>0</c:v>
                      </c:pt>
                      <c:pt idx="4">
                        <c:v>0</c:v>
                      </c:pt>
                      <c:pt idx="5">
                        <c:v>35.180000305175803</c:v>
                      </c:pt>
                      <c:pt idx="6">
                        <c:v>35.090000152587898</c:v>
                      </c:pt>
                      <c:pt idx="7">
                        <c:v>0</c:v>
                      </c:pt>
                      <c:pt idx="8">
                        <c:v>0</c:v>
                      </c:pt>
                      <c:pt idx="9">
                        <c:v>0</c:v>
                      </c:pt>
                      <c:pt idx="10">
                        <c:v>0</c:v>
                      </c:pt>
                      <c:pt idx="11">
                        <c:v>0</c:v>
                      </c:pt>
                      <c:pt idx="12">
                        <c:v>0</c:v>
                      </c:pt>
                      <c:pt idx="13">
                        <c:v>0</c:v>
                      </c:pt>
                      <c:pt idx="14">
                        <c:v>0</c:v>
                      </c:pt>
                      <c:pt idx="15">
                        <c:v>0</c:v>
                      </c:pt>
                      <c:pt idx="16">
                        <c:v>43.439998626708999</c:v>
                      </c:pt>
                      <c:pt idx="17">
                        <c:v>0</c:v>
                      </c:pt>
                      <c:pt idx="18">
                        <c:v>0</c:v>
                      </c:pt>
                      <c:pt idx="19">
                        <c:v>35.110000610351598</c:v>
                      </c:pt>
                      <c:pt idx="20">
                        <c:v>0</c:v>
                      </c:pt>
                      <c:pt idx="21">
                        <c:v>0</c:v>
                      </c:pt>
                    </c:numCache>
                  </c:numRef>
                </c:val>
                <c:smooth val="0"/>
                <c:extLst xmlns:c15="http://schemas.microsoft.com/office/drawing/2012/chart">
                  <c:ext xmlns:c16="http://schemas.microsoft.com/office/drawing/2014/chart" uri="{C3380CC4-5D6E-409C-BE32-E72D297353CC}">
                    <c16:uniqueId val="{00000011-E3AE-4555-83FF-07A555BD67A2}"/>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LM'!$A$15</c15:sqref>
                        </c15:formulaRef>
                      </c:ext>
                    </c:extLst>
                    <c:strCache>
                      <c:ptCount val="1"/>
                      <c:pt idx="0">
                        <c:v>Labor force participation rate for ages 15-24, male (%) (modeled ILO estimate)</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LM'!$C$15:$X$15</c15:sqref>
                        </c15:formulaRef>
                      </c:ext>
                    </c:extLst>
                    <c:numCache>
                      <c:formatCode>0.0</c:formatCode>
                      <c:ptCount val="22"/>
                      <c:pt idx="0">
                        <c:v>48.251998901367202</c:v>
                      </c:pt>
                      <c:pt idx="1">
                        <c:v>48.222000122070298</c:v>
                      </c:pt>
                      <c:pt idx="2">
                        <c:v>48.189998626708999</c:v>
                      </c:pt>
                      <c:pt idx="3">
                        <c:v>48.147998809814503</c:v>
                      </c:pt>
                      <c:pt idx="4">
                        <c:v>48.084999084472699</c:v>
                      </c:pt>
                      <c:pt idx="5">
                        <c:v>47.995998382568402</c:v>
                      </c:pt>
                      <c:pt idx="6">
                        <c:v>47.8489990234375</c:v>
                      </c:pt>
                      <c:pt idx="7">
                        <c:v>47.687999725341797</c:v>
                      </c:pt>
                      <c:pt idx="8">
                        <c:v>47.525001525878899</c:v>
                      </c:pt>
                      <c:pt idx="9">
                        <c:v>47.375999450683601</c:v>
                      </c:pt>
                      <c:pt idx="10">
                        <c:v>47.25</c:v>
                      </c:pt>
                      <c:pt idx="11">
                        <c:v>47.127998352050803</c:v>
                      </c:pt>
                      <c:pt idx="12">
                        <c:v>47.021999359130902</c:v>
                      </c:pt>
                      <c:pt idx="13">
                        <c:v>46.935001373291001</c:v>
                      </c:pt>
                      <c:pt idx="14">
                        <c:v>46.872001647949197</c:v>
                      </c:pt>
                      <c:pt idx="15">
                        <c:v>46.832000732421903</c:v>
                      </c:pt>
                      <c:pt idx="16">
                        <c:v>46.806999206542997</c:v>
                      </c:pt>
                      <c:pt idx="17">
                        <c:v>45.556999206542997</c:v>
                      </c:pt>
                      <c:pt idx="18">
                        <c:v>44.297000885009801</c:v>
                      </c:pt>
                      <c:pt idx="19">
                        <c:v>42.983001708984403</c:v>
                      </c:pt>
                      <c:pt idx="20">
                        <c:v>42.230998992919901</c:v>
                      </c:pt>
                      <c:pt idx="21">
                        <c:v>42.263999938964801</c:v>
                      </c:pt>
                    </c:numCache>
                  </c:numRef>
                </c:val>
                <c:smooth val="0"/>
                <c:extLst xmlns:c15="http://schemas.microsoft.com/office/drawing/2012/chart">
                  <c:ext xmlns:c16="http://schemas.microsoft.com/office/drawing/2014/chart" uri="{C3380CC4-5D6E-409C-BE32-E72D297353CC}">
                    <c16:uniqueId val="{00000012-E3AE-4555-83FF-07A555BD67A2}"/>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LM'!$A$16</c15:sqref>
                        </c15:formulaRef>
                      </c:ext>
                    </c:extLst>
                    <c:strCache>
                      <c:ptCount val="1"/>
                      <c:pt idx="0">
                        <c:v>Labor force participation rate for ages 15-24, male (%) (national estimate)</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LM'!$C$16:$X$16</c15:sqref>
                        </c15:formulaRef>
                      </c:ext>
                    </c:extLst>
                    <c:numCache>
                      <c:formatCode>0.0</c:formatCode>
                      <c:ptCount val="22"/>
                      <c:pt idx="0">
                        <c:v>0</c:v>
                      </c:pt>
                      <c:pt idx="1">
                        <c:v>0</c:v>
                      </c:pt>
                      <c:pt idx="2">
                        <c:v>0</c:v>
                      </c:pt>
                      <c:pt idx="3">
                        <c:v>0</c:v>
                      </c:pt>
                      <c:pt idx="4">
                        <c:v>0</c:v>
                      </c:pt>
                      <c:pt idx="5">
                        <c:v>41.630001068115199</c:v>
                      </c:pt>
                      <c:pt idx="6">
                        <c:v>43.759998321533203</c:v>
                      </c:pt>
                      <c:pt idx="7">
                        <c:v>0</c:v>
                      </c:pt>
                      <c:pt idx="8">
                        <c:v>0</c:v>
                      </c:pt>
                      <c:pt idx="9">
                        <c:v>0</c:v>
                      </c:pt>
                      <c:pt idx="10">
                        <c:v>0</c:v>
                      </c:pt>
                      <c:pt idx="11">
                        <c:v>0</c:v>
                      </c:pt>
                      <c:pt idx="12">
                        <c:v>0</c:v>
                      </c:pt>
                      <c:pt idx="13">
                        <c:v>0</c:v>
                      </c:pt>
                      <c:pt idx="14">
                        <c:v>0</c:v>
                      </c:pt>
                      <c:pt idx="15">
                        <c:v>0</c:v>
                      </c:pt>
                      <c:pt idx="16">
                        <c:v>46.740001678466797</c:v>
                      </c:pt>
                      <c:pt idx="17">
                        <c:v>0</c:v>
                      </c:pt>
                      <c:pt idx="18">
                        <c:v>0</c:v>
                      </c:pt>
                      <c:pt idx="19">
                        <c:v>40.2299995422363</c:v>
                      </c:pt>
                      <c:pt idx="20">
                        <c:v>0</c:v>
                      </c:pt>
                      <c:pt idx="21">
                        <c:v>0</c:v>
                      </c:pt>
                    </c:numCache>
                  </c:numRef>
                </c:val>
                <c:smooth val="0"/>
                <c:extLst xmlns:c15="http://schemas.microsoft.com/office/drawing/2012/chart">
                  <c:ext xmlns:c16="http://schemas.microsoft.com/office/drawing/2014/chart" uri="{C3380CC4-5D6E-409C-BE32-E72D297353CC}">
                    <c16:uniqueId val="{00000013-E3AE-4555-83FF-07A555BD67A2}"/>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LM'!$A$17</c15:sqref>
                        </c15:formulaRef>
                      </c:ext>
                    </c:extLst>
                    <c:strCache>
                      <c:ptCount val="1"/>
                      <c:pt idx="0">
                        <c:v>Labor force participation rate for ages 15-24, total (%) (modeled ILO estimate)</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LM'!$C$17:$X$17</c15:sqref>
                        </c15:formulaRef>
                      </c:ext>
                    </c:extLst>
                    <c:numCache>
                      <c:formatCode>0.0</c:formatCode>
                      <c:ptCount val="22"/>
                      <c:pt idx="0">
                        <c:v>49.955001831054702</c:v>
                      </c:pt>
                      <c:pt idx="1">
                        <c:v>49.722000122070298</c:v>
                      </c:pt>
                      <c:pt idx="2">
                        <c:v>49.4869995117188</c:v>
                      </c:pt>
                      <c:pt idx="3">
                        <c:v>49.243000030517599</c:v>
                      </c:pt>
                      <c:pt idx="4">
                        <c:v>48.978000640869098</c:v>
                      </c:pt>
                      <c:pt idx="5">
                        <c:v>48.688999176025398</c:v>
                      </c:pt>
                      <c:pt idx="6">
                        <c:v>48.347000122070298</c:v>
                      </c:pt>
                      <c:pt idx="7">
                        <c:v>47.988998413085902</c:v>
                      </c:pt>
                      <c:pt idx="8">
                        <c:v>47.626998901367202</c:v>
                      </c:pt>
                      <c:pt idx="9">
                        <c:v>47.275001525878899</c:v>
                      </c:pt>
                      <c:pt idx="10">
                        <c:v>46.941001892089801</c:v>
                      </c:pt>
                      <c:pt idx="11">
                        <c:v>46.606998443603501</c:v>
                      </c:pt>
                      <c:pt idx="12">
                        <c:v>46.287998199462898</c:v>
                      </c:pt>
                      <c:pt idx="13">
                        <c:v>45.986000061035199</c:v>
                      </c:pt>
                      <c:pt idx="14">
                        <c:v>45.705001831054702</c:v>
                      </c:pt>
                      <c:pt idx="15">
                        <c:v>45.444999694824197</c:v>
                      </c:pt>
                      <c:pt idx="16">
                        <c:v>45.199001312255902</c:v>
                      </c:pt>
                      <c:pt idx="17">
                        <c:v>44.334999084472699</c:v>
                      </c:pt>
                      <c:pt idx="18">
                        <c:v>43.465999603271499</c:v>
                      </c:pt>
                      <c:pt idx="19">
                        <c:v>42.555999755859403</c:v>
                      </c:pt>
                      <c:pt idx="20">
                        <c:v>41.7700004577637</c:v>
                      </c:pt>
                      <c:pt idx="21">
                        <c:v>42.069999694824197</c:v>
                      </c:pt>
                    </c:numCache>
                  </c:numRef>
                </c:val>
                <c:smooth val="0"/>
                <c:extLst xmlns:c15="http://schemas.microsoft.com/office/drawing/2012/chart">
                  <c:ext xmlns:c16="http://schemas.microsoft.com/office/drawing/2014/chart" uri="{C3380CC4-5D6E-409C-BE32-E72D297353CC}">
                    <c16:uniqueId val="{00000014-E3AE-4555-83FF-07A555BD67A2}"/>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'Data LM'!$A$18</c15:sqref>
                        </c15:formulaRef>
                      </c:ext>
                    </c:extLst>
                    <c:strCache>
                      <c:ptCount val="1"/>
                      <c:pt idx="0">
                        <c:v>Labor force participation rate for ages 15-24, total (%) (national estimate)</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LM'!$C$18:$X$18</c15:sqref>
                        </c15:formulaRef>
                      </c:ext>
                    </c:extLst>
                    <c:numCache>
                      <c:formatCode>0.0</c:formatCode>
                      <c:ptCount val="22"/>
                      <c:pt idx="0">
                        <c:v>0</c:v>
                      </c:pt>
                      <c:pt idx="1">
                        <c:v>0</c:v>
                      </c:pt>
                      <c:pt idx="2">
                        <c:v>0</c:v>
                      </c:pt>
                      <c:pt idx="3">
                        <c:v>0</c:v>
                      </c:pt>
                      <c:pt idx="4">
                        <c:v>0</c:v>
                      </c:pt>
                      <c:pt idx="5">
                        <c:v>38.349998474121101</c:v>
                      </c:pt>
                      <c:pt idx="6">
                        <c:v>39.409999847412102</c:v>
                      </c:pt>
                      <c:pt idx="7">
                        <c:v>0</c:v>
                      </c:pt>
                      <c:pt idx="8">
                        <c:v>0</c:v>
                      </c:pt>
                      <c:pt idx="9">
                        <c:v>0</c:v>
                      </c:pt>
                      <c:pt idx="10">
                        <c:v>0</c:v>
                      </c:pt>
                      <c:pt idx="11">
                        <c:v>0</c:v>
                      </c:pt>
                      <c:pt idx="12">
                        <c:v>0</c:v>
                      </c:pt>
                      <c:pt idx="13">
                        <c:v>0</c:v>
                      </c:pt>
                      <c:pt idx="14">
                        <c:v>0</c:v>
                      </c:pt>
                      <c:pt idx="15">
                        <c:v>0</c:v>
                      </c:pt>
                      <c:pt idx="16">
                        <c:v>45.080001831054702</c:v>
                      </c:pt>
                      <c:pt idx="17">
                        <c:v>0</c:v>
                      </c:pt>
                      <c:pt idx="18">
                        <c:v>0</c:v>
                      </c:pt>
                      <c:pt idx="19">
                        <c:v>37.650001525878899</c:v>
                      </c:pt>
                      <c:pt idx="20">
                        <c:v>0</c:v>
                      </c:pt>
                      <c:pt idx="21">
                        <c:v>0</c:v>
                      </c:pt>
                    </c:numCache>
                  </c:numRef>
                </c:val>
                <c:smooth val="0"/>
                <c:extLst xmlns:c15="http://schemas.microsoft.com/office/drawing/2012/chart">
                  <c:ext xmlns:c16="http://schemas.microsoft.com/office/drawing/2014/chart" uri="{C3380CC4-5D6E-409C-BE32-E72D297353CC}">
                    <c16:uniqueId val="{00000015-E3AE-4555-83FF-07A555BD67A2}"/>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'Data LM'!$A$19</c15:sqref>
                        </c15:formulaRef>
                      </c:ext>
                    </c:extLst>
                    <c:strCache>
                      <c:ptCount val="1"/>
                      <c:pt idx="0">
                        <c:v>Labor force participation rate, female (% of female population ages 15+) (modeled ILO estimate)</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LM'!$C$19:$X$19</c15:sqref>
                        </c15:formulaRef>
                      </c:ext>
                    </c:extLst>
                    <c:numCache>
                      <c:formatCode>0.0</c:formatCode>
                      <c:ptCount val="22"/>
                      <c:pt idx="0">
                        <c:v>70.485000610351605</c:v>
                      </c:pt>
                      <c:pt idx="1">
                        <c:v>70.543998718261705</c:v>
                      </c:pt>
                      <c:pt idx="2">
                        <c:v>70.603996276855497</c:v>
                      </c:pt>
                      <c:pt idx="3">
                        <c:v>70.664001464843807</c:v>
                      </c:pt>
                      <c:pt idx="4">
                        <c:v>70.722999572753906</c:v>
                      </c:pt>
                      <c:pt idx="5">
                        <c:v>70.782997131347699</c:v>
                      </c:pt>
                      <c:pt idx="6">
                        <c:v>70.843002319335895</c:v>
                      </c:pt>
                      <c:pt idx="7">
                        <c:v>70.902999877929702</c:v>
                      </c:pt>
                      <c:pt idx="8">
                        <c:v>70.962997436523395</c:v>
                      </c:pt>
                      <c:pt idx="9">
                        <c:v>71.023002624511705</c:v>
                      </c:pt>
                      <c:pt idx="10">
                        <c:v>71.083000183105497</c:v>
                      </c:pt>
                      <c:pt idx="11">
                        <c:v>71.141998291015597</c:v>
                      </c:pt>
                      <c:pt idx="12">
                        <c:v>71.202003479003906</c:v>
                      </c:pt>
                      <c:pt idx="13">
                        <c:v>71.261001586914105</c:v>
                      </c:pt>
                      <c:pt idx="14">
                        <c:v>71.320999145507798</c:v>
                      </c:pt>
                      <c:pt idx="15">
                        <c:v>71.379997253417997</c:v>
                      </c:pt>
                      <c:pt idx="16">
                        <c:v>71.440002441406307</c:v>
                      </c:pt>
                      <c:pt idx="17">
                        <c:v>71.643997192382798</c:v>
                      </c:pt>
                      <c:pt idx="18">
                        <c:v>71.859001159667997</c:v>
                      </c:pt>
                      <c:pt idx="19">
                        <c:v>72.085998535156307</c:v>
                      </c:pt>
                      <c:pt idx="20">
                        <c:v>70.845001220703097</c:v>
                      </c:pt>
                      <c:pt idx="21">
                        <c:v>70.984001159667997</c:v>
                      </c:pt>
                    </c:numCache>
                  </c:numRef>
                </c:val>
                <c:smooth val="0"/>
                <c:extLst xmlns:c15="http://schemas.microsoft.com/office/drawing/2012/chart">
                  <c:ext xmlns:c16="http://schemas.microsoft.com/office/drawing/2014/chart" uri="{C3380CC4-5D6E-409C-BE32-E72D297353CC}">
                    <c16:uniqueId val="{00000016-E3AE-4555-83FF-07A555BD67A2}"/>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'Data LM'!$A$20</c15:sqref>
                        </c15:formulaRef>
                      </c:ext>
                    </c:extLst>
                    <c:strCache>
                      <c:ptCount val="1"/>
                      <c:pt idx="0">
                        <c:v>Labor force participation rate, female (% of female population ages 15+) (national estimate)</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LM'!$C$20:$X$20</c15:sqref>
                        </c15:formulaRef>
                      </c:ext>
                    </c:extLst>
                    <c:numCache>
                      <c:formatCode>0.0</c:formatCode>
                      <c:ptCount val="22"/>
                      <c:pt idx="0">
                        <c:v>0</c:v>
                      </c:pt>
                      <c:pt idx="1">
                        <c:v>0</c:v>
                      </c:pt>
                      <c:pt idx="2">
                        <c:v>0</c:v>
                      </c:pt>
                      <c:pt idx="3">
                        <c:v>0</c:v>
                      </c:pt>
                      <c:pt idx="4">
                        <c:v>0</c:v>
                      </c:pt>
                      <c:pt idx="5">
                        <c:v>59.490001678466797</c:v>
                      </c:pt>
                      <c:pt idx="6">
                        <c:v>56.619998931884801</c:v>
                      </c:pt>
                      <c:pt idx="7">
                        <c:v>0</c:v>
                      </c:pt>
                      <c:pt idx="8">
                        <c:v>0</c:v>
                      </c:pt>
                      <c:pt idx="9">
                        <c:v>71.540000915527301</c:v>
                      </c:pt>
                      <c:pt idx="10">
                        <c:v>0</c:v>
                      </c:pt>
                      <c:pt idx="11">
                        <c:v>0</c:v>
                      </c:pt>
                      <c:pt idx="12">
                        <c:v>0</c:v>
                      </c:pt>
                      <c:pt idx="13">
                        <c:v>0</c:v>
                      </c:pt>
                      <c:pt idx="14">
                        <c:v>0</c:v>
                      </c:pt>
                      <c:pt idx="15">
                        <c:v>0</c:v>
                      </c:pt>
                      <c:pt idx="16">
                        <c:v>71.459999084472699</c:v>
                      </c:pt>
                      <c:pt idx="17">
                        <c:v>0</c:v>
                      </c:pt>
                      <c:pt idx="18">
                        <c:v>0</c:v>
                      </c:pt>
                      <c:pt idx="19">
                        <c:v>62.900001525878899</c:v>
                      </c:pt>
                      <c:pt idx="20">
                        <c:v>0</c:v>
                      </c:pt>
                      <c:pt idx="21">
                        <c:v>0</c:v>
                      </c:pt>
                    </c:numCache>
                  </c:numRef>
                </c:val>
                <c:smooth val="0"/>
                <c:extLst xmlns:c15="http://schemas.microsoft.com/office/drawing/2012/chart">
                  <c:ext xmlns:c16="http://schemas.microsoft.com/office/drawing/2014/chart" uri="{C3380CC4-5D6E-409C-BE32-E72D297353CC}">
                    <c16:uniqueId val="{00000017-E3AE-4555-83FF-07A555BD67A2}"/>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'Data LM'!$A$21</c15:sqref>
                        </c15:formulaRef>
                      </c:ext>
                    </c:extLst>
                    <c:strCache>
                      <c:ptCount val="1"/>
                      <c:pt idx="0">
                        <c:v>Labor force participation rate, female (% of female population ages 15-64) (modeled ILO estimate)</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LM'!$C$21:$X$21</c15:sqref>
                        </c15:formulaRef>
                      </c:ext>
                    </c:extLst>
                    <c:numCache>
                      <c:formatCode>0.0</c:formatCode>
                      <c:ptCount val="22"/>
                      <c:pt idx="0">
                        <c:v>69.569999999999993</c:v>
                      </c:pt>
                      <c:pt idx="1">
                        <c:v>67.91</c:v>
                      </c:pt>
                      <c:pt idx="2">
                        <c:v>66.16</c:v>
                      </c:pt>
                      <c:pt idx="3">
                        <c:v>64.349999999999994</c:v>
                      </c:pt>
                      <c:pt idx="4">
                        <c:v>62.51</c:v>
                      </c:pt>
                      <c:pt idx="5">
                        <c:v>60.65</c:v>
                      </c:pt>
                      <c:pt idx="6">
                        <c:v>61.91</c:v>
                      </c:pt>
                      <c:pt idx="7">
                        <c:v>63.19</c:v>
                      </c:pt>
                      <c:pt idx="8">
                        <c:v>64.44</c:v>
                      </c:pt>
                      <c:pt idx="9">
                        <c:v>65.63</c:v>
                      </c:pt>
                      <c:pt idx="10">
                        <c:v>66.739999999999995</c:v>
                      </c:pt>
                      <c:pt idx="11">
                        <c:v>67.78</c:v>
                      </c:pt>
                      <c:pt idx="12">
                        <c:v>68.73</c:v>
                      </c:pt>
                      <c:pt idx="13">
                        <c:v>69.62</c:v>
                      </c:pt>
                      <c:pt idx="14">
                        <c:v>70.47</c:v>
                      </c:pt>
                      <c:pt idx="15">
                        <c:v>71.290000000000006</c:v>
                      </c:pt>
                      <c:pt idx="16">
                        <c:v>72.099999999999994</c:v>
                      </c:pt>
                      <c:pt idx="17">
                        <c:v>72.2</c:v>
                      </c:pt>
                      <c:pt idx="18">
                        <c:v>72.3</c:v>
                      </c:pt>
                      <c:pt idx="19">
                        <c:v>72.41</c:v>
                      </c:pt>
                      <c:pt idx="20">
                        <c:v>0</c:v>
                      </c:pt>
                      <c:pt idx="21">
                        <c:v>0</c:v>
                      </c:pt>
                    </c:numCache>
                  </c:numRef>
                </c:val>
                <c:smooth val="0"/>
                <c:extLst xmlns:c15="http://schemas.microsoft.com/office/drawing/2012/chart">
                  <c:ext xmlns:c16="http://schemas.microsoft.com/office/drawing/2014/chart" uri="{C3380CC4-5D6E-409C-BE32-E72D297353CC}">
                    <c16:uniqueId val="{00000018-E3AE-4555-83FF-07A555BD67A2}"/>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'Data LM'!$A$22</c15:sqref>
                        </c15:formulaRef>
                      </c:ext>
                    </c:extLst>
                    <c:strCache>
                      <c:ptCount val="1"/>
                      <c:pt idx="0">
                        <c:v>Labor force participation rate, male (% of male population ages 15+) (modeled ILO estimate)</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LM'!$C$22:$X$22</c15:sqref>
                        </c15:formulaRef>
                      </c:ext>
                    </c:extLst>
                    <c:numCache>
                      <c:formatCode>0.0</c:formatCode>
                      <c:ptCount val="22"/>
                      <c:pt idx="0">
                        <c:v>74.610000610351605</c:v>
                      </c:pt>
                      <c:pt idx="1">
                        <c:v>74.795997619628906</c:v>
                      </c:pt>
                      <c:pt idx="2">
                        <c:v>74.981002807617202</c:v>
                      </c:pt>
                      <c:pt idx="3">
                        <c:v>75.165000915527301</c:v>
                      </c:pt>
                      <c:pt idx="4">
                        <c:v>75.347999572753906</c:v>
                      </c:pt>
                      <c:pt idx="5">
                        <c:v>75.529998779296903</c:v>
                      </c:pt>
                      <c:pt idx="6">
                        <c:v>75.711997985839801</c:v>
                      </c:pt>
                      <c:pt idx="7">
                        <c:v>75.891998291015597</c:v>
                      </c:pt>
                      <c:pt idx="8">
                        <c:v>76.071998596191406</c:v>
                      </c:pt>
                      <c:pt idx="9">
                        <c:v>76.250999450683594</c:v>
                      </c:pt>
                      <c:pt idx="10">
                        <c:v>76.429000854492202</c:v>
                      </c:pt>
                      <c:pt idx="11">
                        <c:v>76.607002258300795</c:v>
                      </c:pt>
                      <c:pt idx="12">
                        <c:v>76.782997131347699</c:v>
                      </c:pt>
                      <c:pt idx="13">
                        <c:v>76.958000183105497</c:v>
                      </c:pt>
                      <c:pt idx="14">
                        <c:v>77.132003784179702</c:v>
                      </c:pt>
                      <c:pt idx="15">
                        <c:v>77.305000305175795</c:v>
                      </c:pt>
                      <c:pt idx="16">
                        <c:v>77.477996826171903</c:v>
                      </c:pt>
                      <c:pt idx="17">
                        <c:v>77.000999450683594</c:v>
                      </c:pt>
                      <c:pt idx="18">
                        <c:v>76.505996704101605</c:v>
                      </c:pt>
                      <c:pt idx="19">
                        <c:v>75.986999511718807</c:v>
                      </c:pt>
                      <c:pt idx="20">
                        <c:v>75.402999877929702</c:v>
                      </c:pt>
                      <c:pt idx="21">
                        <c:v>75.564002990722699</c:v>
                      </c:pt>
                    </c:numCache>
                  </c:numRef>
                </c:val>
                <c:smooth val="0"/>
                <c:extLst xmlns:c15="http://schemas.microsoft.com/office/drawing/2012/chart">
                  <c:ext xmlns:c16="http://schemas.microsoft.com/office/drawing/2014/chart" uri="{C3380CC4-5D6E-409C-BE32-E72D297353CC}">
                    <c16:uniqueId val="{00000019-E3AE-4555-83FF-07A555BD67A2}"/>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'Data LM'!$A$23</c15:sqref>
                        </c15:formulaRef>
                      </c:ext>
                    </c:extLst>
                    <c:strCache>
                      <c:ptCount val="1"/>
                      <c:pt idx="0">
                        <c:v>Labor force participation rate, male (% of male population ages 15+) (national estimate)</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LM'!$C$23:$X$23</c15:sqref>
                        </c15:formulaRef>
                      </c:ext>
                    </c:extLst>
                    <c:numCache>
                      <c:formatCode>0.0</c:formatCode>
                      <c:ptCount val="22"/>
                      <c:pt idx="0">
                        <c:v>0</c:v>
                      </c:pt>
                      <c:pt idx="1">
                        <c:v>0</c:v>
                      </c:pt>
                      <c:pt idx="2">
                        <c:v>0</c:v>
                      </c:pt>
                      <c:pt idx="3">
                        <c:v>0</c:v>
                      </c:pt>
                      <c:pt idx="4">
                        <c:v>0</c:v>
                      </c:pt>
                      <c:pt idx="5">
                        <c:v>68.610000610351605</c:v>
                      </c:pt>
                      <c:pt idx="6">
                        <c:v>70.220001220703097</c:v>
                      </c:pt>
                      <c:pt idx="7">
                        <c:v>0</c:v>
                      </c:pt>
                      <c:pt idx="8">
                        <c:v>0</c:v>
                      </c:pt>
                      <c:pt idx="9">
                        <c:v>81.75</c:v>
                      </c:pt>
                      <c:pt idx="10">
                        <c:v>0</c:v>
                      </c:pt>
                      <c:pt idx="11">
                        <c:v>0</c:v>
                      </c:pt>
                      <c:pt idx="12">
                        <c:v>0</c:v>
                      </c:pt>
                      <c:pt idx="13">
                        <c:v>0</c:v>
                      </c:pt>
                      <c:pt idx="14">
                        <c:v>0</c:v>
                      </c:pt>
                      <c:pt idx="15">
                        <c:v>0</c:v>
                      </c:pt>
                      <c:pt idx="16">
                        <c:v>77.5</c:v>
                      </c:pt>
                      <c:pt idx="17">
                        <c:v>0</c:v>
                      </c:pt>
                      <c:pt idx="18">
                        <c:v>0</c:v>
                      </c:pt>
                      <c:pt idx="19">
                        <c:v>73</c:v>
                      </c:pt>
                      <c:pt idx="20">
                        <c:v>0</c:v>
                      </c:pt>
                      <c:pt idx="21">
                        <c:v>0</c:v>
                      </c:pt>
                    </c:numCache>
                  </c:numRef>
                </c:val>
                <c:smooth val="0"/>
                <c:extLst xmlns:c15="http://schemas.microsoft.com/office/drawing/2012/chart">
                  <c:ext xmlns:c16="http://schemas.microsoft.com/office/drawing/2014/chart" uri="{C3380CC4-5D6E-409C-BE32-E72D297353CC}">
                    <c16:uniqueId val="{0000001A-E3AE-4555-83FF-07A555BD67A2}"/>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'Data LM'!$A$24</c15:sqref>
                        </c15:formulaRef>
                      </c:ext>
                    </c:extLst>
                    <c:strCache>
                      <c:ptCount val="1"/>
                      <c:pt idx="0">
                        <c:v>Labor force participation rate, male (% of male population ages 15-64) (modeled ILO estimate)</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LM'!$C$24:$X$24</c15:sqref>
                        </c15:formulaRef>
                      </c:ext>
                    </c:extLst>
                    <c:numCache>
                      <c:formatCode>0.0</c:formatCode>
                      <c:ptCount val="22"/>
                      <c:pt idx="0">
                        <c:v>74.099999999999994</c:v>
                      </c:pt>
                      <c:pt idx="1">
                        <c:v>73.430000000000007</c:v>
                      </c:pt>
                      <c:pt idx="2">
                        <c:v>72.7</c:v>
                      </c:pt>
                      <c:pt idx="3">
                        <c:v>71.94</c:v>
                      </c:pt>
                      <c:pt idx="4">
                        <c:v>71.16</c:v>
                      </c:pt>
                      <c:pt idx="5">
                        <c:v>70.36</c:v>
                      </c:pt>
                      <c:pt idx="6">
                        <c:v>71.44</c:v>
                      </c:pt>
                      <c:pt idx="7">
                        <c:v>72.52</c:v>
                      </c:pt>
                      <c:pt idx="8">
                        <c:v>73.540000000000006</c:v>
                      </c:pt>
                      <c:pt idx="9">
                        <c:v>74.459999999999994</c:v>
                      </c:pt>
                      <c:pt idx="10">
                        <c:v>75.260000000000005</c:v>
                      </c:pt>
                      <c:pt idx="11">
                        <c:v>75.98</c:v>
                      </c:pt>
                      <c:pt idx="12">
                        <c:v>76.59</c:v>
                      </c:pt>
                      <c:pt idx="13">
                        <c:v>77.13</c:v>
                      </c:pt>
                      <c:pt idx="14">
                        <c:v>77.63</c:v>
                      </c:pt>
                      <c:pt idx="15">
                        <c:v>78.11</c:v>
                      </c:pt>
                      <c:pt idx="16">
                        <c:v>78.569999999999993</c:v>
                      </c:pt>
                      <c:pt idx="17">
                        <c:v>77.98</c:v>
                      </c:pt>
                      <c:pt idx="18">
                        <c:v>77.37</c:v>
                      </c:pt>
                      <c:pt idx="19">
                        <c:v>76.760000000000005</c:v>
                      </c:pt>
                      <c:pt idx="20">
                        <c:v>0</c:v>
                      </c:pt>
                      <c:pt idx="21">
                        <c:v>0</c:v>
                      </c:pt>
                    </c:numCache>
                  </c:numRef>
                </c:val>
                <c:smooth val="0"/>
                <c:extLst xmlns:c15="http://schemas.microsoft.com/office/drawing/2012/chart">
                  <c:ext xmlns:c16="http://schemas.microsoft.com/office/drawing/2014/chart" uri="{C3380CC4-5D6E-409C-BE32-E72D297353CC}">
                    <c16:uniqueId val="{0000001B-E3AE-4555-83FF-07A555BD67A2}"/>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'Data LM'!$A$25</c15:sqref>
                        </c15:formulaRef>
                      </c:ext>
                    </c:extLst>
                    <c:strCache>
                      <c:ptCount val="1"/>
                      <c:pt idx="0">
                        <c:v>Labor force participation rate, total (% of total population ages 15+) (modeled ILO estimate)</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LM'!$C$25:$X$25</c15:sqref>
                        </c15:formulaRef>
                      </c:ext>
                    </c:extLst>
                    <c:numCache>
                      <c:formatCode>0.0</c:formatCode>
                      <c:ptCount val="22"/>
                      <c:pt idx="0">
                        <c:v>72.512001037597699</c:v>
                      </c:pt>
                      <c:pt idx="1">
                        <c:v>72.633003234863295</c:v>
                      </c:pt>
                      <c:pt idx="2">
                        <c:v>72.753997802734403</c:v>
                      </c:pt>
                      <c:pt idx="3">
                        <c:v>72.874000549316406</c:v>
                      </c:pt>
                      <c:pt idx="4">
                        <c:v>72.994003295898395</c:v>
                      </c:pt>
                      <c:pt idx="5">
                        <c:v>73.113998413085895</c:v>
                      </c:pt>
                      <c:pt idx="6">
                        <c:v>73.234001159667997</c:v>
                      </c:pt>
                      <c:pt idx="7">
                        <c:v>73.352996826171903</c:v>
                      </c:pt>
                      <c:pt idx="8">
                        <c:v>73.472000122070298</c:v>
                      </c:pt>
                      <c:pt idx="9">
                        <c:v>73.589996337890597</c:v>
                      </c:pt>
                      <c:pt idx="10">
                        <c:v>73.708000183105497</c:v>
                      </c:pt>
                      <c:pt idx="11">
                        <c:v>73.825996398925795</c:v>
                      </c:pt>
                      <c:pt idx="12">
                        <c:v>73.944000244140597</c:v>
                      </c:pt>
                      <c:pt idx="13">
                        <c:v>74.060997009277301</c:v>
                      </c:pt>
                      <c:pt idx="14">
                        <c:v>74.177001953125</c:v>
                      </c:pt>
                      <c:pt idx="15">
                        <c:v>74.293998718261705</c:v>
                      </c:pt>
                      <c:pt idx="16">
                        <c:v>74.410003662109403</c:v>
                      </c:pt>
                      <c:pt idx="17">
                        <c:v>74.279998779296903</c:v>
                      </c:pt>
                      <c:pt idx="18">
                        <c:v>74.144996643066406</c:v>
                      </c:pt>
                      <c:pt idx="19">
                        <c:v>74.005996704101605</c:v>
                      </c:pt>
                      <c:pt idx="20">
                        <c:v>73.088996887207003</c:v>
                      </c:pt>
                      <c:pt idx="21">
                        <c:v>73.238998413085895</c:v>
                      </c:pt>
                    </c:numCache>
                  </c:numRef>
                </c:val>
                <c:smooth val="0"/>
                <c:extLst xmlns:c15="http://schemas.microsoft.com/office/drawing/2012/chart">
                  <c:ext xmlns:c16="http://schemas.microsoft.com/office/drawing/2014/chart" uri="{C3380CC4-5D6E-409C-BE32-E72D297353CC}">
                    <c16:uniqueId val="{0000001C-E3AE-4555-83FF-07A555BD67A2}"/>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'Data LM'!$A$26</c15:sqref>
                        </c15:formulaRef>
                      </c:ext>
                    </c:extLst>
                    <c:strCache>
                      <c:ptCount val="1"/>
                      <c:pt idx="0">
                        <c:v>Labor force participation rate, total (% of total population ages 15+) (national estimate)</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LM'!$C$26:$X$26</c15:sqref>
                        </c15:formulaRef>
                      </c:ext>
                    </c:extLst>
                    <c:numCache>
                      <c:formatCode>0.0</c:formatCode>
                      <c:ptCount val="22"/>
                      <c:pt idx="0">
                        <c:v>0</c:v>
                      </c:pt>
                      <c:pt idx="1">
                        <c:v>0</c:v>
                      </c:pt>
                      <c:pt idx="2">
                        <c:v>0</c:v>
                      </c:pt>
                      <c:pt idx="3">
                        <c:v>0</c:v>
                      </c:pt>
                      <c:pt idx="4">
                        <c:v>0</c:v>
                      </c:pt>
                      <c:pt idx="5">
                        <c:v>63.930000305175803</c:v>
                      </c:pt>
                      <c:pt idx="6">
                        <c:v>63.259998321533203</c:v>
                      </c:pt>
                      <c:pt idx="7">
                        <c:v>0</c:v>
                      </c:pt>
                      <c:pt idx="8">
                        <c:v>0</c:v>
                      </c:pt>
                      <c:pt idx="9">
                        <c:v>76.519996643066406</c:v>
                      </c:pt>
                      <c:pt idx="10">
                        <c:v>0</c:v>
                      </c:pt>
                      <c:pt idx="11">
                        <c:v>0</c:v>
                      </c:pt>
                      <c:pt idx="12">
                        <c:v>0</c:v>
                      </c:pt>
                      <c:pt idx="13">
                        <c:v>0</c:v>
                      </c:pt>
                      <c:pt idx="14">
                        <c:v>0</c:v>
                      </c:pt>
                      <c:pt idx="15">
                        <c:v>0</c:v>
                      </c:pt>
                      <c:pt idx="16">
                        <c:v>74.410003662109403</c:v>
                      </c:pt>
                      <c:pt idx="17">
                        <c:v>0</c:v>
                      </c:pt>
                      <c:pt idx="18">
                        <c:v>0</c:v>
                      </c:pt>
                      <c:pt idx="19">
                        <c:v>67.800003051757798</c:v>
                      </c:pt>
                      <c:pt idx="20">
                        <c:v>0</c:v>
                      </c:pt>
                      <c:pt idx="21">
                        <c:v>0</c:v>
                      </c:pt>
                    </c:numCache>
                  </c:numRef>
                </c:val>
                <c:smooth val="0"/>
                <c:extLst xmlns:c15="http://schemas.microsoft.com/office/drawing/2012/chart">
                  <c:ext xmlns:c16="http://schemas.microsoft.com/office/drawing/2014/chart" uri="{C3380CC4-5D6E-409C-BE32-E72D297353CC}">
                    <c16:uniqueId val="{0000001D-E3AE-4555-83FF-07A555BD67A2}"/>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'Data LM'!$A$27</c15:sqref>
                        </c15:formulaRef>
                      </c:ext>
                    </c:extLst>
                    <c:strCache>
                      <c:ptCount val="1"/>
                      <c:pt idx="0">
                        <c:v>Labor force participation rate, total (% of total population ages 15-64) (modeled ILO estimate)</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LM'!$C$27:$X$27</c15:sqref>
                        </c15:formulaRef>
                      </c:ext>
                    </c:extLst>
                    <c:numCache>
                      <c:formatCode>0.0</c:formatCode>
                      <c:ptCount val="22"/>
                      <c:pt idx="0">
                        <c:v>71.8</c:v>
                      </c:pt>
                      <c:pt idx="1">
                        <c:v>70.63</c:v>
                      </c:pt>
                      <c:pt idx="2">
                        <c:v>69.39</c:v>
                      </c:pt>
                      <c:pt idx="3">
                        <c:v>68.099999999999994</c:v>
                      </c:pt>
                      <c:pt idx="4">
                        <c:v>66.78</c:v>
                      </c:pt>
                      <c:pt idx="5">
                        <c:v>65.45</c:v>
                      </c:pt>
                      <c:pt idx="6">
                        <c:v>66.62</c:v>
                      </c:pt>
                      <c:pt idx="7">
                        <c:v>67.790000000000006</c:v>
                      </c:pt>
                      <c:pt idx="8">
                        <c:v>68.930000000000007</c:v>
                      </c:pt>
                      <c:pt idx="9">
                        <c:v>69.989999999999995</c:v>
                      </c:pt>
                      <c:pt idx="10">
                        <c:v>70.95</c:v>
                      </c:pt>
                      <c:pt idx="11">
                        <c:v>71.83</c:v>
                      </c:pt>
                      <c:pt idx="12">
                        <c:v>72.61</c:v>
                      </c:pt>
                      <c:pt idx="13">
                        <c:v>73.33</c:v>
                      </c:pt>
                      <c:pt idx="14">
                        <c:v>74.010000000000005</c:v>
                      </c:pt>
                      <c:pt idx="15">
                        <c:v>74.67</c:v>
                      </c:pt>
                      <c:pt idx="16">
                        <c:v>75.3</c:v>
                      </c:pt>
                      <c:pt idx="17">
                        <c:v>75.06</c:v>
                      </c:pt>
                      <c:pt idx="18">
                        <c:v>74.81</c:v>
                      </c:pt>
                      <c:pt idx="19">
                        <c:v>74.56</c:v>
                      </c:pt>
                      <c:pt idx="20">
                        <c:v>0</c:v>
                      </c:pt>
                      <c:pt idx="21">
                        <c:v>0</c:v>
                      </c:pt>
                    </c:numCache>
                  </c:numRef>
                </c:val>
                <c:smooth val="0"/>
                <c:extLst xmlns:c15="http://schemas.microsoft.com/office/drawing/2012/chart">
                  <c:ext xmlns:c16="http://schemas.microsoft.com/office/drawing/2014/chart" uri="{C3380CC4-5D6E-409C-BE32-E72D297353CC}">
                    <c16:uniqueId val="{0000001E-E3AE-4555-83FF-07A555BD67A2}"/>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'Data LM'!$A$28</c15:sqref>
                        </c15:formulaRef>
                      </c:ext>
                    </c:extLst>
                    <c:strCache>
                      <c:ptCount val="1"/>
                      <c:pt idx="0">
                        <c:v>Labor force with advanced education (% of total working-age population with advanced education)</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LM'!$C$28:$X$28</c15:sqref>
                        </c15:formulaRef>
                      </c:ext>
                    </c:extLst>
                    <c:numCache>
                      <c:formatCode>0.0</c:formatCode>
                      <c:ptCount val="22"/>
                      <c:pt idx="0">
                        <c:v>0</c:v>
                      </c:pt>
                      <c:pt idx="1">
                        <c:v>0</c:v>
                      </c:pt>
                      <c:pt idx="2">
                        <c:v>0</c:v>
                      </c:pt>
                      <c:pt idx="3">
                        <c:v>0</c:v>
                      </c:pt>
                      <c:pt idx="4">
                        <c:v>0</c:v>
                      </c:pt>
                      <c:pt idx="5">
                        <c:v>77.819999694824205</c:v>
                      </c:pt>
                      <c:pt idx="6">
                        <c:v>77.819999694824205</c:v>
                      </c:pt>
                      <c:pt idx="7">
                        <c:v>0</c:v>
                      </c:pt>
                      <c:pt idx="8">
                        <c:v>0</c:v>
                      </c:pt>
                      <c:pt idx="9">
                        <c:v>0</c:v>
                      </c:pt>
                      <c:pt idx="10">
                        <c:v>0</c:v>
                      </c:pt>
                      <c:pt idx="11">
                        <c:v>0</c:v>
                      </c:pt>
                      <c:pt idx="12">
                        <c:v>0</c:v>
                      </c:pt>
                      <c:pt idx="13">
                        <c:v>0</c:v>
                      </c:pt>
                      <c:pt idx="14">
                        <c:v>0</c:v>
                      </c:pt>
                      <c:pt idx="15">
                        <c:v>0</c:v>
                      </c:pt>
                      <c:pt idx="16">
                        <c:v>69.139999389648395</c:v>
                      </c:pt>
                      <c:pt idx="17">
                        <c:v>0</c:v>
                      </c:pt>
                      <c:pt idx="18">
                        <c:v>0</c:v>
                      </c:pt>
                      <c:pt idx="19">
                        <c:v>86.190002441406307</c:v>
                      </c:pt>
                      <c:pt idx="20">
                        <c:v>0</c:v>
                      </c:pt>
                      <c:pt idx="21">
                        <c:v>0</c:v>
                      </c:pt>
                    </c:numCache>
                  </c:numRef>
                </c:val>
                <c:smooth val="0"/>
                <c:extLst xmlns:c15="http://schemas.microsoft.com/office/drawing/2012/chart">
                  <c:ext xmlns:c16="http://schemas.microsoft.com/office/drawing/2014/chart" uri="{C3380CC4-5D6E-409C-BE32-E72D297353CC}">
                    <c16:uniqueId val="{0000001F-E3AE-4555-83FF-07A555BD67A2}"/>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'Data LM'!$A$29</c15:sqref>
                        </c15:formulaRef>
                      </c:ext>
                    </c:extLst>
                    <c:strCache>
                      <c:ptCount val="1"/>
                      <c:pt idx="0">
                        <c:v>Labor force with advanced education, female (% of female working-age population with advanced education)</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LM'!$C$29:$X$29</c15:sqref>
                        </c15:formulaRef>
                      </c:ext>
                    </c:extLst>
                    <c:numCache>
                      <c:formatCode>0.0</c:formatCode>
                      <c:ptCount val="22"/>
                      <c:pt idx="0">
                        <c:v>0</c:v>
                      </c:pt>
                      <c:pt idx="1">
                        <c:v>0</c:v>
                      </c:pt>
                      <c:pt idx="2">
                        <c:v>0</c:v>
                      </c:pt>
                      <c:pt idx="3">
                        <c:v>0</c:v>
                      </c:pt>
                      <c:pt idx="4">
                        <c:v>0</c:v>
                      </c:pt>
                      <c:pt idx="5">
                        <c:v>66.569999694824205</c:v>
                      </c:pt>
                      <c:pt idx="6">
                        <c:v>66.569999694824205</c:v>
                      </c:pt>
                      <c:pt idx="7">
                        <c:v>0</c:v>
                      </c:pt>
                      <c:pt idx="8">
                        <c:v>0</c:v>
                      </c:pt>
                      <c:pt idx="9">
                        <c:v>0</c:v>
                      </c:pt>
                      <c:pt idx="10">
                        <c:v>0</c:v>
                      </c:pt>
                      <c:pt idx="11">
                        <c:v>0</c:v>
                      </c:pt>
                      <c:pt idx="12">
                        <c:v>0</c:v>
                      </c:pt>
                      <c:pt idx="13">
                        <c:v>0</c:v>
                      </c:pt>
                      <c:pt idx="14">
                        <c:v>0</c:v>
                      </c:pt>
                      <c:pt idx="15">
                        <c:v>0</c:v>
                      </c:pt>
                      <c:pt idx="16">
                        <c:v>68.300003051757798</c:v>
                      </c:pt>
                      <c:pt idx="17">
                        <c:v>0</c:v>
                      </c:pt>
                      <c:pt idx="18">
                        <c:v>0</c:v>
                      </c:pt>
                      <c:pt idx="19">
                        <c:v>82.260002136230497</c:v>
                      </c:pt>
                      <c:pt idx="20">
                        <c:v>0</c:v>
                      </c:pt>
                      <c:pt idx="21">
                        <c:v>0</c:v>
                      </c:pt>
                    </c:numCache>
                  </c:numRef>
                </c:val>
                <c:smooth val="0"/>
                <c:extLst xmlns:c15="http://schemas.microsoft.com/office/drawing/2012/chart">
                  <c:ext xmlns:c16="http://schemas.microsoft.com/office/drawing/2014/chart" uri="{C3380CC4-5D6E-409C-BE32-E72D297353CC}">
                    <c16:uniqueId val="{00000020-E3AE-4555-83FF-07A555BD67A2}"/>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'Data LM'!$A$30</c15:sqref>
                        </c15:formulaRef>
                      </c:ext>
                    </c:extLst>
                    <c:strCache>
                      <c:ptCount val="1"/>
                      <c:pt idx="0">
                        <c:v>Labor force with advanced education, male (% of male working-age population with advanced education)</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LM'!$C$30:$X$30</c15:sqref>
                        </c15:formulaRef>
                      </c:ext>
                    </c:extLst>
                    <c:numCache>
                      <c:formatCode>0.0</c:formatCode>
                      <c:ptCount val="22"/>
                      <c:pt idx="0">
                        <c:v>0</c:v>
                      </c:pt>
                      <c:pt idx="1">
                        <c:v>0</c:v>
                      </c:pt>
                      <c:pt idx="2">
                        <c:v>0</c:v>
                      </c:pt>
                      <c:pt idx="3">
                        <c:v>0</c:v>
                      </c:pt>
                      <c:pt idx="4">
                        <c:v>0</c:v>
                      </c:pt>
                      <c:pt idx="5">
                        <c:v>83.129997253417997</c:v>
                      </c:pt>
                      <c:pt idx="6">
                        <c:v>83.129997253417997</c:v>
                      </c:pt>
                      <c:pt idx="7">
                        <c:v>0</c:v>
                      </c:pt>
                      <c:pt idx="8">
                        <c:v>0</c:v>
                      </c:pt>
                      <c:pt idx="9">
                        <c:v>0</c:v>
                      </c:pt>
                      <c:pt idx="10">
                        <c:v>0</c:v>
                      </c:pt>
                      <c:pt idx="11">
                        <c:v>0</c:v>
                      </c:pt>
                      <c:pt idx="12">
                        <c:v>0</c:v>
                      </c:pt>
                      <c:pt idx="13">
                        <c:v>0</c:v>
                      </c:pt>
                      <c:pt idx="14">
                        <c:v>0</c:v>
                      </c:pt>
                      <c:pt idx="15">
                        <c:v>0</c:v>
                      </c:pt>
                      <c:pt idx="16">
                        <c:v>69.699996948242202</c:v>
                      </c:pt>
                      <c:pt idx="17">
                        <c:v>0</c:v>
                      </c:pt>
                      <c:pt idx="18">
                        <c:v>0</c:v>
                      </c:pt>
                      <c:pt idx="19">
                        <c:v>88.879997253417997</c:v>
                      </c:pt>
                      <c:pt idx="20">
                        <c:v>0</c:v>
                      </c:pt>
                      <c:pt idx="21">
                        <c:v>0</c:v>
                      </c:pt>
                    </c:numCache>
                  </c:numRef>
                </c:val>
                <c:smooth val="0"/>
                <c:extLst xmlns:c15="http://schemas.microsoft.com/office/drawing/2012/chart">
                  <c:ext xmlns:c16="http://schemas.microsoft.com/office/drawing/2014/chart" uri="{C3380CC4-5D6E-409C-BE32-E72D297353CC}">
                    <c16:uniqueId val="{00000021-E3AE-4555-83FF-07A555BD67A2}"/>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'Data LM'!$A$31</c15:sqref>
                        </c15:formulaRef>
                      </c:ext>
                    </c:extLst>
                    <c:strCache>
                      <c:ptCount val="1"/>
                      <c:pt idx="0">
                        <c:v>Labor force with basic education (% of total working-age population with basic education)</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LM'!$C$31:$X$31</c15:sqref>
                        </c15:formulaRef>
                      </c:ext>
                    </c:extLst>
                    <c:numCache>
                      <c:formatCode>0.0</c:formatCode>
                      <c:ptCount val="22"/>
                      <c:pt idx="0">
                        <c:v>0</c:v>
                      </c:pt>
                      <c:pt idx="1">
                        <c:v>0</c:v>
                      </c:pt>
                      <c:pt idx="2">
                        <c:v>0</c:v>
                      </c:pt>
                      <c:pt idx="3">
                        <c:v>0</c:v>
                      </c:pt>
                      <c:pt idx="4">
                        <c:v>0</c:v>
                      </c:pt>
                      <c:pt idx="5">
                        <c:v>58.950000762939503</c:v>
                      </c:pt>
                      <c:pt idx="6">
                        <c:v>58.950000762939503</c:v>
                      </c:pt>
                      <c:pt idx="7">
                        <c:v>0</c:v>
                      </c:pt>
                      <c:pt idx="8">
                        <c:v>0</c:v>
                      </c:pt>
                      <c:pt idx="9">
                        <c:v>0</c:v>
                      </c:pt>
                      <c:pt idx="10">
                        <c:v>0</c:v>
                      </c:pt>
                      <c:pt idx="11">
                        <c:v>0</c:v>
                      </c:pt>
                      <c:pt idx="12">
                        <c:v>0</c:v>
                      </c:pt>
                      <c:pt idx="13">
                        <c:v>0</c:v>
                      </c:pt>
                      <c:pt idx="14">
                        <c:v>0</c:v>
                      </c:pt>
                      <c:pt idx="15">
                        <c:v>0</c:v>
                      </c:pt>
                      <c:pt idx="16">
                        <c:v>79.059997558593807</c:v>
                      </c:pt>
                      <c:pt idx="17">
                        <c:v>0</c:v>
                      </c:pt>
                      <c:pt idx="18">
                        <c:v>0</c:v>
                      </c:pt>
                      <c:pt idx="19">
                        <c:v>65.779998779296903</c:v>
                      </c:pt>
                      <c:pt idx="20">
                        <c:v>0</c:v>
                      </c:pt>
                      <c:pt idx="21">
                        <c:v>0</c:v>
                      </c:pt>
                    </c:numCache>
                  </c:numRef>
                </c:val>
                <c:smooth val="0"/>
                <c:extLst xmlns:c15="http://schemas.microsoft.com/office/drawing/2012/chart">
                  <c:ext xmlns:c16="http://schemas.microsoft.com/office/drawing/2014/chart" uri="{C3380CC4-5D6E-409C-BE32-E72D297353CC}">
                    <c16:uniqueId val="{00000022-E3AE-4555-83FF-07A555BD67A2}"/>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'Data LM'!$A$32</c15:sqref>
                        </c15:formulaRef>
                      </c:ext>
                    </c:extLst>
                    <c:strCache>
                      <c:ptCount val="1"/>
                      <c:pt idx="0">
                        <c:v>Labor force with basic education, female (% of female working-age population with basic education)</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LM'!$C$32:$X$32</c15:sqref>
                        </c15:formulaRef>
                      </c:ext>
                    </c:extLst>
                    <c:numCache>
                      <c:formatCode>0.0</c:formatCode>
                      <c:ptCount val="22"/>
                      <c:pt idx="0">
                        <c:v>0</c:v>
                      </c:pt>
                      <c:pt idx="1">
                        <c:v>0</c:v>
                      </c:pt>
                      <c:pt idx="2">
                        <c:v>0</c:v>
                      </c:pt>
                      <c:pt idx="3">
                        <c:v>0</c:v>
                      </c:pt>
                      <c:pt idx="4">
                        <c:v>0</c:v>
                      </c:pt>
                      <c:pt idx="5">
                        <c:v>52.869998931884801</c:v>
                      </c:pt>
                      <c:pt idx="6">
                        <c:v>52.869998931884801</c:v>
                      </c:pt>
                      <c:pt idx="7">
                        <c:v>0</c:v>
                      </c:pt>
                      <c:pt idx="8">
                        <c:v>0</c:v>
                      </c:pt>
                      <c:pt idx="9">
                        <c:v>0</c:v>
                      </c:pt>
                      <c:pt idx="10">
                        <c:v>0</c:v>
                      </c:pt>
                      <c:pt idx="11">
                        <c:v>0</c:v>
                      </c:pt>
                      <c:pt idx="12">
                        <c:v>0</c:v>
                      </c:pt>
                      <c:pt idx="13">
                        <c:v>0</c:v>
                      </c:pt>
                      <c:pt idx="14">
                        <c:v>0</c:v>
                      </c:pt>
                      <c:pt idx="15">
                        <c:v>0</c:v>
                      </c:pt>
                      <c:pt idx="16">
                        <c:v>77.589996337890597</c:v>
                      </c:pt>
                      <c:pt idx="17">
                        <c:v>0</c:v>
                      </c:pt>
                      <c:pt idx="18">
                        <c:v>0</c:v>
                      </c:pt>
                      <c:pt idx="19">
                        <c:v>63</c:v>
                      </c:pt>
                      <c:pt idx="20">
                        <c:v>0</c:v>
                      </c:pt>
                      <c:pt idx="21">
                        <c:v>0</c:v>
                      </c:pt>
                    </c:numCache>
                  </c:numRef>
                </c:val>
                <c:smooth val="0"/>
                <c:extLst xmlns:c15="http://schemas.microsoft.com/office/drawing/2012/chart">
                  <c:ext xmlns:c16="http://schemas.microsoft.com/office/drawing/2014/chart" uri="{C3380CC4-5D6E-409C-BE32-E72D297353CC}">
                    <c16:uniqueId val="{00000023-E3AE-4555-83FF-07A555BD67A2}"/>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'Data LM'!$A$33</c15:sqref>
                        </c15:formulaRef>
                      </c:ext>
                    </c:extLst>
                    <c:strCache>
                      <c:ptCount val="1"/>
                      <c:pt idx="0">
                        <c:v>Labor force with basic education, male (% of male working-age population with basic education)</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LM'!$C$33:$X$33</c15:sqref>
                        </c15:formulaRef>
                      </c:ext>
                    </c:extLst>
                    <c:numCache>
                      <c:formatCode>0.0</c:formatCode>
                      <c:ptCount val="22"/>
                      <c:pt idx="0">
                        <c:v>0</c:v>
                      </c:pt>
                      <c:pt idx="1">
                        <c:v>0</c:v>
                      </c:pt>
                      <c:pt idx="2">
                        <c:v>0</c:v>
                      </c:pt>
                      <c:pt idx="3">
                        <c:v>0</c:v>
                      </c:pt>
                      <c:pt idx="4">
                        <c:v>0</c:v>
                      </c:pt>
                      <c:pt idx="5">
                        <c:v>64.980003356933594</c:v>
                      </c:pt>
                      <c:pt idx="6">
                        <c:v>64.980003356933594</c:v>
                      </c:pt>
                      <c:pt idx="7">
                        <c:v>0</c:v>
                      </c:pt>
                      <c:pt idx="8">
                        <c:v>0</c:v>
                      </c:pt>
                      <c:pt idx="9">
                        <c:v>0</c:v>
                      </c:pt>
                      <c:pt idx="10">
                        <c:v>0</c:v>
                      </c:pt>
                      <c:pt idx="11">
                        <c:v>0</c:v>
                      </c:pt>
                      <c:pt idx="12">
                        <c:v>0</c:v>
                      </c:pt>
                      <c:pt idx="13">
                        <c:v>0</c:v>
                      </c:pt>
                      <c:pt idx="14">
                        <c:v>0</c:v>
                      </c:pt>
                      <c:pt idx="15">
                        <c:v>0</c:v>
                      </c:pt>
                      <c:pt idx="16">
                        <c:v>80.580001831054702</c:v>
                      </c:pt>
                      <c:pt idx="17">
                        <c:v>0</c:v>
                      </c:pt>
                      <c:pt idx="18">
                        <c:v>0</c:v>
                      </c:pt>
                      <c:pt idx="19">
                        <c:v>68.830001831054702</c:v>
                      </c:pt>
                      <c:pt idx="20">
                        <c:v>0</c:v>
                      </c:pt>
                      <c:pt idx="21">
                        <c:v>0</c:v>
                      </c:pt>
                    </c:numCache>
                  </c:numRef>
                </c:val>
                <c:smooth val="0"/>
                <c:extLst xmlns:c15="http://schemas.microsoft.com/office/drawing/2012/chart">
                  <c:ext xmlns:c16="http://schemas.microsoft.com/office/drawing/2014/chart" uri="{C3380CC4-5D6E-409C-BE32-E72D297353CC}">
                    <c16:uniqueId val="{00000024-E3AE-4555-83FF-07A555BD67A2}"/>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'Data LM'!$A$34</c15:sqref>
                        </c15:formulaRef>
                      </c:ext>
                    </c:extLst>
                    <c:strCache>
                      <c:ptCount val="1"/>
                      <c:pt idx="0">
                        <c:v>Labor force with intermediate education (% of total working-age population with intermediate education)</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LM'!$C$34:$X$34</c15:sqref>
                        </c15:formulaRef>
                      </c:ext>
                    </c:extLst>
                    <c:numCache>
                      <c:formatCode>0.0</c:formatCode>
                      <c:ptCount val="22"/>
                      <c:pt idx="0">
                        <c:v>0</c:v>
                      </c:pt>
                      <c:pt idx="1">
                        <c:v>0</c:v>
                      </c:pt>
                      <c:pt idx="2">
                        <c:v>0</c:v>
                      </c:pt>
                      <c:pt idx="3">
                        <c:v>0</c:v>
                      </c:pt>
                      <c:pt idx="4">
                        <c:v>0</c:v>
                      </c:pt>
                      <c:pt idx="5">
                        <c:v>78.089996337890597</c:v>
                      </c:pt>
                      <c:pt idx="6">
                        <c:v>78.089996337890597</c:v>
                      </c:pt>
                      <c:pt idx="7">
                        <c:v>0</c:v>
                      </c:pt>
                      <c:pt idx="8">
                        <c:v>0</c:v>
                      </c:pt>
                      <c:pt idx="9">
                        <c:v>0</c:v>
                      </c:pt>
                      <c:pt idx="10">
                        <c:v>0</c:v>
                      </c:pt>
                      <c:pt idx="11">
                        <c:v>0</c:v>
                      </c:pt>
                      <c:pt idx="12">
                        <c:v>0</c:v>
                      </c:pt>
                      <c:pt idx="13">
                        <c:v>0</c:v>
                      </c:pt>
                      <c:pt idx="14">
                        <c:v>0</c:v>
                      </c:pt>
                      <c:pt idx="15">
                        <c:v>0</c:v>
                      </c:pt>
                      <c:pt idx="16">
                        <c:v>70.879997253417997</c:v>
                      </c:pt>
                      <c:pt idx="17">
                        <c:v>0</c:v>
                      </c:pt>
                      <c:pt idx="18">
                        <c:v>0</c:v>
                      </c:pt>
                      <c:pt idx="19">
                        <c:v>73.410003662109403</c:v>
                      </c:pt>
                      <c:pt idx="20">
                        <c:v>0</c:v>
                      </c:pt>
                      <c:pt idx="21">
                        <c:v>0</c:v>
                      </c:pt>
                    </c:numCache>
                  </c:numRef>
                </c:val>
                <c:smooth val="0"/>
                <c:extLst xmlns:c15="http://schemas.microsoft.com/office/drawing/2012/chart">
                  <c:ext xmlns:c16="http://schemas.microsoft.com/office/drawing/2014/chart" uri="{C3380CC4-5D6E-409C-BE32-E72D297353CC}">
                    <c16:uniqueId val="{00000025-E3AE-4555-83FF-07A555BD67A2}"/>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'Data LM'!$A$35</c15:sqref>
                        </c15:formulaRef>
                      </c:ext>
                    </c:extLst>
                    <c:strCache>
                      <c:ptCount val="1"/>
                      <c:pt idx="0">
                        <c:v>Labor force with intermediate education, female (% of female working-age population with intermediate education)</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LM'!$C$35:$X$35</c15:sqref>
                        </c15:formulaRef>
                      </c:ext>
                    </c:extLst>
                    <c:numCache>
                      <c:formatCode>0.0</c:formatCode>
                      <c:ptCount val="22"/>
                      <c:pt idx="0">
                        <c:v>0</c:v>
                      </c:pt>
                      <c:pt idx="1">
                        <c:v>0</c:v>
                      </c:pt>
                      <c:pt idx="2">
                        <c:v>0</c:v>
                      </c:pt>
                      <c:pt idx="3">
                        <c:v>0</c:v>
                      </c:pt>
                      <c:pt idx="4">
                        <c:v>0</c:v>
                      </c:pt>
                      <c:pt idx="5">
                        <c:v>70.930000305175795</c:v>
                      </c:pt>
                      <c:pt idx="6">
                        <c:v>70.930000305175795</c:v>
                      </c:pt>
                      <c:pt idx="7">
                        <c:v>0</c:v>
                      </c:pt>
                      <c:pt idx="8">
                        <c:v>0</c:v>
                      </c:pt>
                      <c:pt idx="9">
                        <c:v>0</c:v>
                      </c:pt>
                      <c:pt idx="10">
                        <c:v>0</c:v>
                      </c:pt>
                      <c:pt idx="11">
                        <c:v>0</c:v>
                      </c:pt>
                      <c:pt idx="12">
                        <c:v>0</c:v>
                      </c:pt>
                      <c:pt idx="13">
                        <c:v>0</c:v>
                      </c:pt>
                      <c:pt idx="14">
                        <c:v>0</c:v>
                      </c:pt>
                      <c:pt idx="15">
                        <c:v>0</c:v>
                      </c:pt>
                      <c:pt idx="16">
                        <c:v>66.470001220703097</c:v>
                      </c:pt>
                      <c:pt idx="17">
                        <c:v>0</c:v>
                      </c:pt>
                      <c:pt idx="18">
                        <c:v>0</c:v>
                      </c:pt>
                      <c:pt idx="19">
                        <c:v>64.809997558593807</c:v>
                      </c:pt>
                      <c:pt idx="20">
                        <c:v>0</c:v>
                      </c:pt>
                      <c:pt idx="21">
                        <c:v>0</c:v>
                      </c:pt>
                    </c:numCache>
                  </c:numRef>
                </c:val>
                <c:smooth val="0"/>
                <c:extLst xmlns:c15="http://schemas.microsoft.com/office/drawing/2012/chart">
                  <c:ext xmlns:c16="http://schemas.microsoft.com/office/drawing/2014/chart" uri="{C3380CC4-5D6E-409C-BE32-E72D297353CC}">
                    <c16:uniqueId val="{00000026-E3AE-4555-83FF-07A555BD67A2}"/>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'Data LM'!$A$36</c15:sqref>
                        </c15:formulaRef>
                      </c:ext>
                    </c:extLst>
                    <c:strCache>
                      <c:ptCount val="1"/>
                      <c:pt idx="0">
                        <c:v>Labor force with intermediate education, male (% of male working-age population with intermediate education)</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LM'!$C$36:$X$36</c15:sqref>
                        </c15:formulaRef>
                      </c:ext>
                    </c:extLst>
                    <c:numCache>
                      <c:formatCode>0.0</c:formatCode>
                      <c:ptCount val="22"/>
                      <c:pt idx="0">
                        <c:v>0</c:v>
                      </c:pt>
                      <c:pt idx="1">
                        <c:v>0</c:v>
                      </c:pt>
                      <c:pt idx="2">
                        <c:v>0</c:v>
                      </c:pt>
                      <c:pt idx="3">
                        <c:v>0</c:v>
                      </c:pt>
                      <c:pt idx="4">
                        <c:v>0</c:v>
                      </c:pt>
                      <c:pt idx="5">
                        <c:v>83.569999694824205</c:v>
                      </c:pt>
                      <c:pt idx="6">
                        <c:v>83.569999694824205</c:v>
                      </c:pt>
                      <c:pt idx="7">
                        <c:v>0</c:v>
                      </c:pt>
                      <c:pt idx="8">
                        <c:v>0</c:v>
                      </c:pt>
                      <c:pt idx="9">
                        <c:v>0</c:v>
                      </c:pt>
                      <c:pt idx="10">
                        <c:v>0</c:v>
                      </c:pt>
                      <c:pt idx="11">
                        <c:v>0</c:v>
                      </c:pt>
                      <c:pt idx="12">
                        <c:v>0</c:v>
                      </c:pt>
                      <c:pt idx="13">
                        <c:v>0</c:v>
                      </c:pt>
                      <c:pt idx="14">
                        <c:v>0</c:v>
                      </c:pt>
                      <c:pt idx="15">
                        <c:v>0</c:v>
                      </c:pt>
                      <c:pt idx="16">
                        <c:v>74.989997863769503</c:v>
                      </c:pt>
                      <c:pt idx="17">
                        <c:v>0</c:v>
                      </c:pt>
                      <c:pt idx="18">
                        <c:v>0</c:v>
                      </c:pt>
                      <c:pt idx="19">
                        <c:v>79.940002441406307</c:v>
                      </c:pt>
                      <c:pt idx="20">
                        <c:v>0</c:v>
                      </c:pt>
                      <c:pt idx="21">
                        <c:v>0</c:v>
                      </c:pt>
                    </c:numCache>
                  </c:numRef>
                </c:val>
                <c:smooth val="0"/>
                <c:extLst xmlns:c15="http://schemas.microsoft.com/office/drawing/2012/chart">
                  <c:ext xmlns:c16="http://schemas.microsoft.com/office/drawing/2014/chart" uri="{C3380CC4-5D6E-409C-BE32-E72D297353CC}">
                    <c16:uniqueId val="{00000027-E3AE-4555-83FF-07A555BD67A2}"/>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'Data LM'!$A$37</c15:sqref>
                        </c15:formulaRef>
                      </c:ext>
                    </c:extLst>
                    <c:strCache>
                      <c:ptCount val="1"/>
                      <c:pt idx="0">
                        <c:v>Labor force, female (% of total labor force)</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LM'!$C$37:$X$37</c15:sqref>
                        </c15:formulaRef>
                      </c:ext>
                    </c:extLst>
                    <c:numCache>
                      <c:formatCode>0.0</c:formatCode>
                      <c:ptCount val="22"/>
                      <c:pt idx="0">
                        <c:v>49.44905113837391</c:v>
                      </c:pt>
                      <c:pt idx="1">
                        <c:v>49.419118473876118</c:v>
                      </c:pt>
                      <c:pt idx="2">
                        <c:v>49.385341912071013</c:v>
                      </c:pt>
                      <c:pt idx="3">
                        <c:v>49.348688481543284</c:v>
                      </c:pt>
                      <c:pt idx="4">
                        <c:v>49.309857659369641</c:v>
                      </c:pt>
                      <c:pt idx="5">
                        <c:v>49.271817649043101</c:v>
                      </c:pt>
                      <c:pt idx="6">
                        <c:v>49.235928643255825</c:v>
                      </c:pt>
                      <c:pt idx="7">
                        <c:v>49.200012757638021</c:v>
                      </c:pt>
                      <c:pt idx="8">
                        <c:v>49.162796540594336</c:v>
                      </c:pt>
                      <c:pt idx="9">
                        <c:v>49.123351250448636</c:v>
                      </c:pt>
                      <c:pt idx="10">
                        <c:v>49.080251544128657</c:v>
                      </c:pt>
                      <c:pt idx="11">
                        <c:v>49.036485294882731</c:v>
                      </c:pt>
                      <c:pt idx="12">
                        <c:v>48.98793845742086</c:v>
                      </c:pt>
                      <c:pt idx="13">
                        <c:v>48.935622203539381</c:v>
                      </c:pt>
                      <c:pt idx="14">
                        <c:v>48.88403570059662</c:v>
                      </c:pt>
                      <c:pt idx="15">
                        <c:v>48.832268867347736</c:v>
                      </c:pt>
                      <c:pt idx="16">
                        <c:v>48.783468523586691</c:v>
                      </c:pt>
                      <c:pt idx="17">
                        <c:v>48.998449127471297</c:v>
                      </c:pt>
                      <c:pt idx="18">
                        <c:v>49.226604338347698</c:v>
                      </c:pt>
                      <c:pt idx="19">
                        <c:v>49.464802908239527</c:v>
                      </c:pt>
                      <c:pt idx="20">
                        <c:v>49.21040702983737</c:v>
                      </c:pt>
                      <c:pt idx="21">
                        <c:v>49.199469050283696</c:v>
                      </c:pt>
                    </c:numCache>
                  </c:numRef>
                </c:val>
                <c:smooth val="0"/>
                <c:extLst xmlns:c15="http://schemas.microsoft.com/office/drawing/2012/chart">
                  <c:ext xmlns:c16="http://schemas.microsoft.com/office/drawing/2014/chart" uri="{C3380CC4-5D6E-409C-BE32-E72D297353CC}">
                    <c16:uniqueId val="{00000028-E3AE-4555-83FF-07A555BD67A2}"/>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'Data LM'!$A$38</c15:sqref>
                        </c15:formulaRef>
                      </c:ext>
                    </c:extLst>
                    <c:strCache>
                      <c:ptCount val="1"/>
                      <c:pt idx="0">
                        <c:v>Self-employed, female (% of female employment) (modeled ILO estimate)</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LM'!$C$38:$X$38</c15:sqref>
                        </c15:formulaRef>
                      </c:ext>
                    </c:extLst>
                    <c:numCache>
                      <c:formatCode>0.0</c:formatCode>
                      <c:ptCount val="22"/>
                      <c:pt idx="0">
                        <c:v>79.559997558593807</c:v>
                      </c:pt>
                      <c:pt idx="1">
                        <c:v>79.319999694824205</c:v>
                      </c:pt>
                      <c:pt idx="2">
                        <c:v>79.010002136230497</c:v>
                      </c:pt>
                      <c:pt idx="3">
                        <c:v>78.900001525878906</c:v>
                      </c:pt>
                      <c:pt idx="4">
                        <c:v>78.610000610351605</c:v>
                      </c:pt>
                      <c:pt idx="5">
                        <c:v>78.410003662109403</c:v>
                      </c:pt>
                      <c:pt idx="6">
                        <c:v>78.449996948242202</c:v>
                      </c:pt>
                      <c:pt idx="7">
                        <c:v>76.540000915527301</c:v>
                      </c:pt>
                      <c:pt idx="8">
                        <c:v>74.910003662109403</c:v>
                      </c:pt>
                      <c:pt idx="9">
                        <c:v>73.080001831054702</c:v>
                      </c:pt>
                      <c:pt idx="10">
                        <c:v>71.180000305175795</c:v>
                      </c:pt>
                      <c:pt idx="11">
                        <c:v>69.190002441406307</c:v>
                      </c:pt>
                      <c:pt idx="12">
                        <c:v>67.360000610351605</c:v>
                      </c:pt>
                      <c:pt idx="13">
                        <c:v>65.589996337890597</c:v>
                      </c:pt>
                      <c:pt idx="14">
                        <c:v>63.900001525878899</c:v>
                      </c:pt>
                      <c:pt idx="15">
                        <c:v>62.209999084472699</c:v>
                      </c:pt>
                      <c:pt idx="16">
                        <c:v>60.610000610351598</c:v>
                      </c:pt>
                      <c:pt idx="17">
                        <c:v>59.459999084472699</c:v>
                      </c:pt>
                      <c:pt idx="18">
                        <c:v>58.340000152587898</c:v>
                      </c:pt>
                      <c:pt idx="19">
                        <c:v>57.2299995422363</c:v>
                      </c:pt>
                      <c:pt idx="20">
                        <c:v>0</c:v>
                      </c:pt>
                      <c:pt idx="21">
                        <c:v>0</c:v>
                      </c:pt>
                    </c:numCache>
                  </c:numRef>
                </c:val>
                <c:smooth val="0"/>
                <c:extLst xmlns:c15="http://schemas.microsoft.com/office/drawing/2012/chart">
                  <c:ext xmlns:c16="http://schemas.microsoft.com/office/drawing/2014/chart" uri="{C3380CC4-5D6E-409C-BE32-E72D297353CC}">
                    <c16:uniqueId val="{00000029-E3AE-4555-83FF-07A555BD67A2}"/>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'Data LM'!$A$39</c15:sqref>
                        </c15:formulaRef>
                      </c:ext>
                    </c:extLst>
                    <c:strCache>
                      <c:ptCount val="1"/>
                      <c:pt idx="0">
                        <c:v>Self-employed, male (% of male employment) (modeled ILO estimate)</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LM'!$C$39:$X$39</c15:sqref>
                        </c15:formulaRef>
                      </c:ext>
                    </c:extLst>
                    <c:numCache>
                      <c:formatCode>0.0</c:formatCode>
                      <c:ptCount val="22"/>
                      <c:pt idx="0">
                        <c:v>53.470001220703097</c:v>
                      </c:pt>
                      <c:pt idx="1">
                        <c:v>54.75</c:v>
                      </c:pt>
                      <c:pt idx="2">
                        <c:v>56.159999847412102</c:v>
                      </c:pt>
                      <c:pt idx="3">
                        <c:v>57.490001678466797</c:v>
                      </c:pt>
                      <c:pt idx="4">
                        <c:v>58.189998626708999</c:v>
                      </c:pt>
                      <c:pt idx="5">
                        <c:v>58.740001678466797</c:v>
                      </c:pt>
                      <c:pt idx="6">
                        <c:v>59.650001525878899</c:v>
                      </c:pt>
                      <c:pt idx="7">
                        <c:v>57.450000762939503</c:v>
                      </c:pt>
                      <c:pt idx="8">
                        <c:v>56.430000305175803</c:v>
                      </c:pt>
                      <c:pt idx="9">
                        <c:v>54.900001525878899</c:v>
                      </c:pt>
                      <c:pt idx="10">
                        <c:v>52.869998931884801</c:v>
                      </c:pt>
                      <c:pt idx="11">
                        <c:v>51.0200004577637</c:v>
                      </c:pt>
                      <c:pt idx="12">
                        <c:v>49.580001831054702</c:v>
                      </c:pt>
                      <c:pt idx="13">
                        <c:v>48.150001525878899</c:v>
                      </c:pt>
                      <c:pt idx="14">
                        <c:v>46.849998474121101</c:v>
                      </c:pt>
                      <c:pt idx="15">
                        <c:v>45.580001831054702</c:v>
                      </c:pt>
                      <c:pt idx="16">
                        <c:v>44.459999084472699</c:v>
                      </c:pt>
                      <c:pt idx="17">
                        <c:v>43.590000152587898</c:v>
                      </c:pt>
                      <c:pt idx="18">
                        <c:v>42.580001831054702</c:v>
                      </c:pt>
                      <c:pt idx="19">
                        <c:v>41.630001068115199</c:v>
                      </c:pt>
                      <c:pt idx="20">
                        <c:v>0</c:v>
                      </c:pt>
                      <c:pt idx="21">
                        <c:v>0</c:v>
                      </c:pt>
                    </c:numCache>
                  </c:numRef>
                </c:val>
                <c:smooth val="0"/>
                <c:extLst xmlns:c15="http://schemas.microsoft.com/office/drawing/2012/chart">
                  <c:ext xmlns:c16="http://schemas.microsoft.com/office/drawing/2014/chart" uri="{C3380CC4-5D6E-409C-BE32-E72D297353CC}">
                    <c16:uniqueId val="{0000002A-E3AE-4555-83FF-07A555BD67A2}"/>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'Data LM'!$A$40</c15:sqref>
                        </c15:formulaRef>
                      </c:ext>
                    </c:extLst>
                    <c:strCache>
                      <c:ptCount val="1"/>
                      <c:pt idx="0">
                        <c:v>Self-employed, total (% of total employment) (modeled ILO estimate)</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LM'!$C$40:$X$40</c15:sqref>
                        </c15:formulaRef>
                      </c:ext>
                    </c:extLst>
                    <c:numCache>
                      <c:formatCode>0.0</c:formatCode>
                      <c:ptCount val="22"/>
                      <c:pt idx="0">
                        <c:v>66.300003051757798</c:v>
                      </c:pt>
                      <c:pt idx="1">
                        <c:v>66.730003356933594</c:v>
                      </c:pt>
                      <c:pt idx="2">
                        <c:v>67.220001220703097</c:v>
                      </c:pt>
                      <c:pt idx="3">
                        <c:v>67.760002136230497</c:v>
                      </c:pt>
                      <c:pt idx="4">
                        <c:v>67.889999389648395</c:v>
                      </c:pt>
                      <c:pt idx="5">
                        <c:v>67.989997863769503</c:v>
                      </c:pt>
                      <c:pt idx="6">
                        <c:v>68.519996643066406</c:v>
                      </c:pt>
                      <c:pt idx="7">
                        <c:v>66.480003356933594</c:v>
                      </c:pt>
                      <c:pt idx="8">
                        <c:v>65.209999084472699</c:v>
                      </c:pt>
                      <c:pt idx="9">
                        <c:v>63.560001373291001</c:v>
                      </c:pt>
                      <c:pt idx="10">
                        <c:v>61.610000610351598</c:v>
                      </c:pt>
                      <c:pt idx="11">
                        <c:v>59.720001220703097</c:v>
                      </c:pt>
                      <c:pt idx="12">
                        <c:v>58.119998931884801</c:v>
                      </c:pt>
                      <c:pt idx="13">
                        <c:v>56.549999237060497</c:v>
                      </c:pt>
                      <c:pt idx="14">
                        <c:v>55.080001831054702</c:v>
                      </c:pt>
                      <c:pt idx="15">
                        <c:v>53.630001068115199</c:v>
                      </c:pt>
                      <c:pt idx="16">
                        <c:v>52.290000915527301</c:v>
                      </c:pt>
                      <c:pt idx="17">
                        <c:v>51.330001831054702</c:v>
                      </c:pt>
                      <c:pt idx="18">
                        <c:v>50.290000915527301</c:v>
                      </c:pt>
                      <c:pt idx="19">
                        <c:v>49.2700004577637</c:v>
                      </c:pt>
                      <c:pt idx="20">
                        <c:v>0</c:v>
                      </c:pt>
                      <c:pt idx="21">
                        <c:v>0</c:v>
                      </c:pt>
                    </c:numCache>
                  </c:numRef>
                </c:val>
                <c:smooth val="0"/>
                <c:extLst xmlns:c15="http://schemas.microsoft.com/office/drawing/2012/chart">
                  <c:ext xmlns:c16="http://schemas.microsoft.com/office/drawing/2014/chart" uri="{C3380CC4-5D6E-409C-BE32-E72D297353CC}">
                    <c16:uniqueId val="{0000002B-E3AE-4555-83FF-07A555BD67A2}"/>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'Data LM'!$A$41</c15:sqref>
                        </c15:formulaRef>
                      </c:ext>
                    </c:extLst>
                    <c:strCache>
                      <c:ptCount val="1"/>
                      <c:pt idx="0">
                        <c:v>Unemployment with advanced education (% of total labor force with advanced education)</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LM'!$C$41:$X$41</c15:sqref>
                        </c15:formulaRef>
                      </c:ext>
                    </c:extLst>
                    <c:numCache>
                      <c:formatCode>0.0</c:formatCode>
                      <c:ptCount val="22"/>
                      <c:pt idx="0">
                        <c:v>0</c:v>
                      </c:pt>
                      <c:pt idx="1">
                        <c:v>0</c:v>
                      </c:pt>
                      <c:pt idx="2">
                        <c:v>0</c:v>
                      </c:pt>
                      <c:pt idx="3">
                        <c:v>0</c:v>
                      </c:pt>
                      <c:pt idx="4">
                        <c:v>0</c:v>
                      </c:pt>
                      <c:pt idx="5">
                        <c:v>9.0900001525878906</c:v>
                      </c:pt>
                      <c:pt idx="6">
                        <c:v>9.0900001525878906</c:v>
                      </c:pt>
                      <c:pt idx="7">
                        <c:v>0</c:v>
                      </c:pt>
                      <c:pt idx="8">
                        <c:v>0</c:v>
                      </c:pt>
                      <c:pt idx="9">
                        <c:v>0</c:v>
                      </c:pt>
                      <c:pt idx="10">
                        <c:v>0</c:v>
                      </c:pt>
                      <c:pt idx="11">
                        <c:v>0</c:v>
                      </c:pt>
                      <c:pt idx="12">
                        <c:v>0</c:v>
                      </c:pt>
                      <c:pt idx="13">
                        <c:v>0</c:v>
                      </c:pt>
                      <c:pt idx="14">
                        <c:v>0</c:v>
                      </c:pt>
                      <c:pt idx="15">
                        <c:v>0</c:v>
                      </c:pt>
                      <c:pt idx="16">
                        <c:v>7.8200001716613796</c:v>
                      </c:pt>
                      <c:pt idx="17">
                        <c:v>0</c:v>
                      </c:pt>
                      <c:pt idx="18">
                        <c:v>0</c:v>
                      </c:pt>
                      <c:pt idx="19">
                        <c:v>12.329999923706101</c:v>
                      </c:pt>
                      <c:pt idx="20">
                        <c:v>0</c:v>
                      </c:pt>
                      <c:pt idx="21">
                        <c:v>0</c:v>
                      </c:pt>
                    </c:numCache>
                  </c:numRef>
                </c:val>
                <c:smooth val="0"/>
                <c:extLst xmlns:c15="http://schemas.microsoft.com/office/drawing/2012/chart">
                  <c:ext xmlns:c16="http://schemas.microsoft.com/office/drawing/2014/chart" uri="{C3380CC4-5D6E-409C-BE32-E72D297353CC}">
                    <c16:uniqueId val="{0000002C-E3AE-4555-83FF-07A555BD67A2}"/>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'Data LM'!$A$42</c15:sqref>
                        </c15:formulaRef>
                      </c:ext>
                    </c:extLst>
                    <c:strCache>
                      <c:ptCount val="1"/>
                      <c:pt idx="0">
                        <c:v>Unemployment with advanced education, female (% of female labor force with advanced education)</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LM'!$C$42:$X$42</c15:sqref>
                        </c15:formulaRef>
                      </c:ext>
                    </c:extLst>
                    <c:numCache>
                      <c:formatCode>0.0</c:formatCode>
                      <c:ptCount val="22"/>
                      <c:pt idx="0">
                        <c:v>0</c:v>
                      </c:pt>
                      <c:pt idx="1">
                        <c:v>0</c:v>
                      </c:pt>
                      <c:pt idx="2">
                        <c:v>0</c:v>
                      </c:pt>
                      <c:pt idx="3">
                        <c:v>0</c:v>
                      </c:pt>
                      <c:pt idx="4">
                        <c:v>0</c:v>
                      </c:pt>
                      <c:pt idx="5">
                        <c:v>13.810000419616699</c:v>
                      </c:pt>
                      <c:pt idx="6">
                        <c:v>13.810000419616699</c:v>
                      </c:pt>
                      <c:pt idx="7">
                        <c:v>0</c:v>
                      </c:pt>
                      <c:pt idx="8">
                        <c:v>0</c:v>
                      </c:pt>
                      <c:pt idx="9">
                        <c:v>0</c:v>
                      </c:pt>
                      <c:pt idx="10">
                        <c:v>0</c:v>
                      </c:pt>
                      <c:pt idx="11">
                        <c:v>0</c:v>
                      </c:pt>
                      <c:pt idx="12">
                        <c:v>0</c:v>
                      </c:pt>
                      <c:pt idx="13">
                        <c:v>0</c:v>
                      </c:pt>
                      <c:pt idx="14">
                        <c:v>0</c:v>
                      </c:pt>
                      <c:pt idx="15">
                        <c:v>0</c:v>
                      </c:pt>
                      <c:pt idx="16">
                        <c:v>10.0299997329712</c:v>
                      </c:pt>
                      <c:pt idx="17">
                        <c:v>0</c:v>
                      </c:pt>
                      <c:pt idx="18">
                        <c:v>0</c:v>
                      </c:pt>
                      <c:pt idx="19">
                        <c:v>14.2799997329712</c:v>
                      </c:pt>
                      <c:pt idx="20">
                        <c:v>0</c:v>
                      </c:pt>
                      <c:pt idx="21">
                        <c:v>0</c:v>
                      </c:pt>
                    </c:numCache>
                  </c:numRef>
                </c:val>
                <c:smooth val="0"/>
                <c:extLst xmlns:c15="http://schemas.microsoft.com/office/drawing/2012/chart">
                  <c:ext xmlns:c16="http://schemas.microsoft.com/office/drawing/2014/chart" uri="{C3380CC4-5D6E-409C-BE32-E72D297353CC}">
                    <c16:uniqueId val="{0000002D-E3AE-4555-83FF-07A555BD67A2}"/>
                  </c:ext>
                </c:extLst>
              </c15:ser>
            </c15:filteredLineSeries>
            <c15:filteredLineSeries>
              <c15:ser>
                <c:idx val="44"/>
                <c:order val="44"/>
                <c:tx>
                  <c:strRef>
                    <c:extLst xmlns:c15="http://schemas.microsoft.com/office/drawing/2012/chart">
                      <c:ext xmlns:c15="http://schemas.microsoft.com/office/drawing/2012/chart" uri="{02D57815-91ED-43cb-92C2-25804820EDAC}">
                        <c15:formulaRef>
                          <c15:sqref>'Data LM'!$A$43</c15:sqref>
                        </c15:formulaRef>
                      </c:ext>
                    </c:extLst>
                    <c:strCache>
                      <c:ptCount val="1"/>
                      <c:pt idx="0">
                        <c:v>Unemployment with advanced education, male (% of male labor force with advanced education)</c:v>
                      </c:pt>
                    </c:strCache>
                  </c:strRef>
                </c:tx>
                <c:spPr>
                  <a:ln w="28575" cap="rnd">
                    <a:solidFill>
                      <a:schemeClr val="accent3">
                        <a:lumMod val="70000"/>
                      </a:schemeClr>
                    </a:solidFill>
                    <a:round/>
                  </a:ln>
                  <a:effectLst/>
                </c:spPr>
                <c:marker>
                  <c:symbol val="circle"/>
                  <c:size val="5"/>
                  <c:spPr>
                    <a:solidFill>
                      <a:schemeClr val="accent3">
                        <a:lumMod val="70000"/>
                      </a:schemeClr>
                    </a:solidFill>
                    <a:ln w="9525">
                      <a:solidFill>
                        <a:schemeClr val="accent3">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LM'!$C$43:$X$43</c15:sqref>
                        </c15:formulaRef>
                      </c:ext>
                    </c:extLst>
                    <c:numCache>
                      <c:formatCode>0.0</c:formatCode>
                      <c:ptCount val="22"/>
                      <c:pt idx="0">
                        <c:v>0</c:v>
                      </c:pt>
                      <c:pt idx="1">
                        <c:v>0</c:v>
                      </c:pt>
                      <c:pt idx="2">
                        <c:v>0</c:v>
                      </c:pt>
                      <c:pt idx="3">
                        <c:v>0</c:v>
                      </c:pt>
                      <c:pt idx="4">
                        <c:v>0</c:v>
                      </c:pt>
                      <c:pt idx="5">
                        <c:v>7.3099999427795401</c:v>
                      </c:pt>
                      <c:pt idx="6">
                        <c:v>7.3099999427795401</c:v>
                      </c:pt>
                      <c:pt idx="7">
                        <c:v>0</c:v>
                      </c:pt>
                      <c:pt idx="8">
                        <c:v>0</c:v>
                      </c:pt>
                      <c:pt idx="9">
                        <c:v>0</c:v>
                      </c:pt>
                      <c:pt idx="10">
                        <c:v>0</c:v>
                      </c:pt>
                      <c:pt idx="11">
                        <c:v>0</c:v>
                      </c:pt>
                      <c:pt idx="12">
                        <c:v>0</c:v>
                      </c:pt>
                      <c:pt idx="13">
                        <c:v>0</c:v>
                      </c:pt>
                      <c:pt idx="14">
                        <c:v>0</c:v>
                      </c:pt>
                      <c:pt idx="15">
                        <c:v>0</c:v>
                      </c:pt>
                      <c:pt idx="16">
                        <c:v>6.3499999046325701</c:v>
                      </c:pt>
                      <c:pt idx="17">
                        <c:v>0</c:v>
                      </c:pt>
                      <c:pt idx="18">
                        <c:v>0</c:v>
                      </c:pt>
                      <c:pt idx="19">
                        <c:v>11.0900001525879</c:v>
                      </c:pt>
                      <c:pt idx="20">
                        <c:v>0</c:v>
                      </c:pt>
                      <c:pt idx="21">
                        <c:v>0</c:v>
                      </c:pt>
                    </c:numCache>
                  </c:numRef>
                </c:val>
                <c:smooth val="0"/>
                <c:extLst xmlns:c15="http://schemas.microsoft.com/office/drawing/2012/chart">
                  <c:ext xmlns:c16="http://schemas.microsoft.com/office/drawing/2014/chart" uri="{C3380CC4-5D6E-409C-BE32-E72D297353CC}">
                    <c16:uniqueId val="{0000002E-E3AE-4555-83FF-07A555BD67A2}"/>
                  </c:ext>
                </c:extLst>
              </c15:ser>
            </c15:filteredLineSeries>
            <c15:filteredLineSeries>
              <c15:ser>
                <c:idx val="45"/>
                <c:order val="45"/>
                <c:tx>
                  <c:strRef>
                    <c:extLst xmlns:c15="http://schemas.microsoft.com/office/drawing/2012/chart">
                      <c:ext xmlns:c15="http://schemas.microsoft.com/office/drawing/2012/chart" uri="{02D57815-91ED-43cb-92C2-25804820EDAC}">
                        <c15:formulaRef>
                          <c15:sqref>'Data LM'!$A$44</c15:sqref>
                        </c15:formulaRef>
                      </c:ext>
                    </c:extLst>
                    <c:strCache>
                      <c:ptCount val="1"/>
                      <c:pt idx="0">
                        <c:v>Unemployment with basic education (% of total labor force with basic education)</c:v>
                      </c:pt>
                    </c:strCache>
                  </c:strRef>
                </c:tx>
                <c:spPr>
                  <a:ln w="28575" cap="rnd">
                    <a:solidFill>
                      <a:schemeClr val="accent4">
                        <a:lumMod val="70000"/>
                      </a:schemeClr>
                    </a:solidFill>
                    <a:round/>
                  </a:ln>
                  <a:effectLst/>
                </c:spPr>
                <c:marker>
                  <c:symbol val="circle"/>
                  <c:size val="5"/>
                  <c:spPr>
                    <a:solidFill>
                      <a:schemeClr val="accent4">
                        <a:lumMod val="70000"/>
                      </a:schemeClr>
                    </a:solidFill>
                    <a:ln w="9525">
                      <a:solidFill>
                        <a:schemeClr val="accent4">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LM'!$C$44:$X$44</c15:sqref>
                        </c15:formulaRef>
                      </c:ext>
                    </c:extLst>
                    <c:numCache>
                      <c:formatCode>0.0</c:formatCode>
                      <c:ptCount val="22"/>
                      <c:pt idx="0">
                        <c:v>0</c:v>
                      </c:pt>
                      <c:pt idx="1">
                        <c:v>0</c:v>
                      </c:pt>
                      <c:pt idx="2">
                        <c:v>0</c:v>
                      </c:pt>
                      <c:pt idx="3">
                        <c:v>0</c:v>
                      </c:pt>
                      <c:pt idx="4">
                        <c:v>0</c:v>
                      </c:pt>
                      <c:pt idx="5">
                        <c:v>9.3100004196166992</c:v>
                      </c:pt>
                      <c:pt idx="6">
                        <c:v>9.3100004196166992</c:v>
                      </c:pt>
                      <c:pt idx="7">
                        <c:v>0</c:v>
                      </c:pt>
                      <c:pt idx="8">
                        <c:v>0</c:v>
                      </c:pt>
                      <c:pt idx="9">
                        <c:v>0</c:v>
                      </c:pt>
                      <c:pt idx="10">
                        <c:v>0</c:v>
                      </c:pt>
                      <c:pt idx="11">
                        <c:v>0</c:v>
                      </c:pt>
                      <c:pt idx="12">
                        <c:v>0</c:v>
                      </c:pt>
                      <c:pt idx="13">
                        <c:v>0</c:v>
                      </c:pt>
                      <c:pt idx="14">
                        <c:v>0</c:v>
                      </c:pt>
                      <c:pt idx="15">
                        <c:v>0</c:v>
                      </c:pt>
                      <c:pt idx="16">
                        <c:v>1.5900000333786</c:v>
                      </c:pt>
                      <c:pt idx="17">
                        <c:v>0</c:v>
                      </c:pt>
                      <c:pt idx="18">
                        <c:v>0</c:v>
                      </c:pt>
                      <c:pt idx="19">
                        <c:v>4.1399998664856001</c:v>
                      </c:pt>
                      <c:pt idx="20">
                        <c:v>0</c:v>
                      </c:pt>
                      <c:pt idx="21">
                        <c:v>0</c:v>
                      </c:pt>
                    </c:numCache>
                  </c:numRef>
                </c:val>
                <c:smooth val="0"/>
                <c:extLst xmlns:c15="http://schemas.microsoft.com/office/drawing/2012/chart">
                  <c:ext xmlns:c16="http://schemas.microsoft.com/office/drawing/2014/chart" uri="{C3380CC4-5D6E-409C-BE32-E72D297353CC}">
                    <c16:uniqueId val="{0000002F-E3AE-4555-83FF-07A555BD67A2}"/>
                  </c:ext>
                </c:extLst>
              </c15:ser>
            </c15:filteredLineSeries>
            <c15:filteredLineSeries>
              <c15:ser>
                <c:idx val="46"/>
                <c:order val="46"/>
                <c:tx>
                  <c:strRef>
                    <c:extLst xmlns:c15="http://schemas.microsoft.com/office/drawing/2012/chart">
                      <c:ext xmlns:c15="http://schemas.microsoft.com/office/drawing/2012/chart" uri="{02D57815-91ED-43cb-92C2-25804820EDAC}">
                        <c15:formulaRef>
                          <c15:sqref>'Data LM'!$A$45</c15:sqref>
                        </c15:formulaRef>
                      </c:ext>
                    </c:extLst>
                    <c:strCache>
                      <c:ptCount val="1"/>
                      <c:pt idx="0">
                        <c:v>Unemployment with basic education, female (% of female labor force with basic education)</c:v>
                      </c:pt>
                    </c:strCache>
                  </c:strRef>
                </c:tx>
                <c:spPr>
                  <a:ln w="28575" cap="rnd">
                    <a:solidFill>
                      <a:schemeClr val="accent5">
                        <a:lumMod val="70000"/>
                      </a:schemeClr>
                    </a:solidFill>
                    <a:round/>
                  </a:ln>
                  <a:effectLst/>
                </c:spPr>
                <c:marker>
                  <c:symbol val="circle"/>
                  <c:size val="5"/>
                  <c:spPr>
                    <a:solidFill>
                      <a:schemeClr val="accent5">
                        <a:lumMod val="70000"/>
                      </a:schemeClr>
                    </a:solidFill>
                    <a:ln w="9525">
                      <a:solidFill>
                        <a:schemeClr val="accent5">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LM'!$C$45:$X$45</c15:sqref>
                        </c15:formulaRef>
                      </c:ext>
                    </c:extLst>
                    <c:numCache>
                      <c:formatCode>0.0</c:formatCode>
                      <c:ptCount val="22"/>
                      <c:pt idx="0">
                        <c:v>0</c:v>
                      </c:pt>
                      <c:pt idx="1">
                        <c:v>0</c:v>
                      </c:pt>
                      <c:pt idx="2">
                        <c:v>0</c:v>
                      </c:pt>
                      <c:pt idx="3">
                        <c:v>0</c:v>
                      </c:pt>
                      <c:pt idx="4">
                        <c:v>0</c:v>
                      </c:pt>
                      <c:pt idx="5">
                        <c:v>9.0799999237060494</c:v>
                      </c:pt>
                      <c:pt idx="6">
                        <c:v>9.0799999237060494</c:v>
                      </c:pt>
                      <c:pt idx="7">
                        <c:v>0</c:v>
                      </c:pt>
                      <c:pt idx="8">
                        <c:v>0</c:v>
                      </c:pt>
                      <c:pt idx="9">
                        <c:v>0</c:v>
                      </c:pt>
                      <c:pt idx="10">
                        <c:v>0</c:v>
                      </c:pt>
                      <c:pt idx="11">
                        <c:v>0</c:v>
                      </c:pt>
                      <c:pt idx="12">
                        <c:v>0</c:v>
                      </c:pt>
                      <c:pt idx="13">
                        <c:v>0</c:v>
                      </c:pt>
                      <c:pt idx="14">
                        <c:v>0</c:v>
                      </c:pt>
                      <c:pt idx="15">
                        <c:v>0</c:v>
                      </c:pt>
                      <c:pt idx="16">
                        <c:v>1.7799999713897701</c:v>
                      </c:pt>
                      <c:pt idx="17">
                        <c:v>0</c:v>
                      </c:pt>
                      <c:pt idx="18">
                        <c:v>0</c:v>
                      </c:pt>
                      <c:pt idx="19">
                        <c:v>4.2300000190734899</c:v>
                      </c:pt>
                      <c:pt idx="20">
                        <c:v>0</c:v>
                      </c:pt>
                      <c:pt idx="21">
                        <c:v>0</c:v>
                      </c:pt>
                    </c:numCache>
                  </c:numRef>
                </c:val>
                <c:smooth val="0"/>
                <c:extLst xmlns:c15="http://schemas.microsoft.com/office/drawing/2012/chart">
                  <c:ext xmlns:c16="http://schemas.microsoft.com/office/drawing/2014/chart" uri="{C3380CC4-5D6E-409C-BE32-E72D297353CC}">
                    <c16:uniqueId val="{00000030-E3AE-4555-83FF-07A555BD67A2}"/>
                  </c:ext>
                </c:extLst>
              </c15:ser>
            </c15:filteredLineSeries>
            <c15:filteredLineSeries>
              <c15:ser>
                <c:idx val="47"/>
                <c:order val="47"/>
                <c:tx>
                  <c:strRef>
                    <c:extLst xmlns:c15="http://schemas.microsoft.com/office/drawing/2012/chart">
                      <c:ext xmlns:c15="http://schemas.microsoft.com/office/drawing/2012/chart" uri="{02D57815-91ED-43cb-92C2-25804820EDAC}">
                        <c15:formulaRef>
                          <c15:sqref>'Data LM'!$A$46</c15:sqref>
                        </c15:formulaRef>
                      </c:ext>
                    </c:extLst>
                    <c:strCache>
                      <c:ptCount val="1"/>
                      <c:pt idx="0">
                        <c:v>Unemployment with basic education, male (% of male labor force with basic education)</c:v>
                      </c:pt>
                    </c:strCache>
                  </c:strRef>
                </c:tx>
                <c:spPr>
                  <a:ln w="28575" cap="rnd">
                    <a:solidFill>
                      <a:schemeClr val="accent6">
                        <a:lumMod val="70000"/>
                      </a:schemeClr>
                    </a:solidFill>
                    <a:round/>
                  </a:ln>
                  <a:effectLst/>
                </c:spPr>
                <c:marker>
                  <c:symbol val="circle"/>
                  <c:size val="5"/>
                  <c:spPr>
                    <a:solidFill>
                      <a:schemeClr val="accent6">
                        <a:lumMod val="70000"/>
                      </a:schemeClr>
                    </a:solidFill>
                    <a:ln w="9525">
                      <a:solidFill>
                        <a:schemeClr val="accent6">
                          <a:lumMod val="7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LM'!$C$46:$X$46</c15:sqref>
                        </c15:formulaRef>
                      </c:ext>
                    </c:extLst>
                    <c:numCache>
                      <c:formatCode>0.0</c:formatCode>
                      <c:ptCount val="22"/>
                      <c:pt idx="0">
                        <c:v>0</c:v>
                      </c:pt>
                      <c:pt idx="1">
                        <c:v>0</c:v>
                      </c:pt>
                      <c:pt idx="2">
                        <c:v>0</c:v>
                      </c:pt>
                      <c:pt idx="3">
                        <c:v>0</c:v>
                      </c:pt>
                      <c:pt idx="4">
                        <c:v>0</c:v>
                      </c:pt>
                      <c:pt idx="5">
                        <c:v>9.5</c:v>
                      </c:pt>
                      <c:pt idx="6">
                        <c:v>9.5</c:v>
                      </c:pt>
                      <c:pt idx="7">
                        <c:v>0</c:v>
                      </c:pt>
                      <c:pt idx="8">
                        <c:v>0</c:v>
                      </c:pt>
                      <c:pt idx="9">
                        <c:v>0</c:v>
                      </c:pt>
                      <c:pt idx="10">
                        <c:v>0</c:v>
                      </c:pt>
                      <c:pt idx="11">
                        <c:v>0</c:v>
                      </c:pt>
                      <c:pt idx="12">
                        <c:v>0</c:v>
                      </c:pt>
                      <c:pt idx="13">
                        <c:v>0</c:v>
                      </c:pt>
                      <c:pt idx="14">
                        <c:v>0</c:v>
                      </c:pt>
                      <c:pt idx="15">
                        <c:v>0</c:v>
                      </c:pt>
                      <c:pt idx="16">
                        <c:v>1.3999999761581401</c:v>
                      </c:pt>
                      <c:pt idx="17">
                        <c:v>0</c:v>
                      </c:pt>
                      <c:pt idx="18">
                        <c:v>0</c:v>
                      </c:pt>
                      <c:pt idx="19">
                        <c:v>4.0599999427795401</c:v>
                      </c:pt>
                      <c:pt idx="20">
                        <c:v>0</c:v>
                      </c:pt>
                      <c:pt idx="21">
                        <c:v>0</c:v>
                      </c:pt>
                    </c:numCache>
                  </c:numRef>
                </c:val>
                <c:smooth val="0"/>
                <c:extLst xmlns:c15="http://schemas.microsoft.com/office/drawing/2012/chart">
                  <c:ext xmlns:c16="http://schemas.microsoft.com/office/drawing/2014/chart" uri="{C3380CC4-5D6E-409C-BE32-E72D297353CC}">
                    <c16:uniqueId val="{00000031-E3AE-4555-83FF-07A555BD67A2}"/>
                  </c:ext>
                </c:extLst>
              </c15:ser>
            </c15:filteredLineSeries>
            <c15:filteredLineSeries>
              <c15:ser>
                <c:idx val="48"/>
                <c:order val="48"/>
                <c:tx>
                  <c:strRef>
                    <c:extLst xmlns:c15="http://schemas.microsoft.com/office/drawing/2012/chart">
                      <c:ext xmlns:c15="http://schemas.microsoft.com/office/drawing/2012/chart" uri="{02D57815-91ED-43cb-92C2-25804820EDAC}">
                        <c15:formulaRef>
                          <c15:sqref>'Data LM'!$A$47</c15:sqref>
                        </c15:formulaRef>
                      </c:ext>
                    </c:extLst>
                    <c:strCache>
                      <c:ptCount val="1"/>
                      <c:pt idx="0">
                        <c:v>Unemployment with intermediate education (% of total labor force with intermediate education)</c:v>
                      </c:pt>
                    </c:strCache>
                  </c:strRef>
                </c:tx>
                <c:spPr>
                  <a:ln w="28575" cap="rnd">
                    <a:solidFill>
                      <a:schemeClr val="accent1">
                        <a:lumMod val="50000"/>
                        <a:lumOff val="50000"/>
                      </a:schemeClr>
                    </a:solid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LM'!$C$47:$X$47</c15:sqref>
                        </c15:formulaRef>
                      </c:ext>
                    </c:extLst>
                    <c:numCache>
                      <c:formatCode>0.0</c:formatCode>
                      <c:ptCount val="22"/>
                      <c:pt idx="0">
                        <c:v>0</c:v>
                      </c:pt>
                      <c:pt idx="1">
                        <c:v>0</c:v>
                      </c:pt>
                      <c:pt idx="2">
                        <c:v>0</c:v>
                      </c:pt>
                      <c:pt idx="3">
                        <c:v>0</c:v>
                      </c:pt>
                      <c:pt idx="4">
                        <c:v>0</c:v>
                      </c:pt>
                      <c:pt idx="5">
                        <c:v>12.3400001525879</c:v>
                      </c:pt>
                      <c:pt idx="6">
                        <c:v>12.3400001525879</c:v>
                      </c:pt>
                      <c:pt idx="7">
                        <c:v>0</c:v>
                      </c:pt>
                      <c:pt idx="8">
                        <c:v>0</c:v>
                      </c:pt>
                      <c:pt idx="9">
                        <c:v>0</c:v>
                      </c:pt>
                      <c:pt idx="10">
                        <c:v>0</c:v>
                      </c:pt>
                      <c:pt idx="11">
                        <c:v>0</c:v>
                      </c:pt>
                      <c:pt idx="12">
                        <c:v>0</c:v>
                      </c:pt>
                      <c:pt idx="13">
                        <c:v>0</c:v>
                      </c:pt>
                      <c:pt idx="14">
                        <c:v>0</c:v>
                      </c:pt>
                      <c:pt idx="15">
                        <c:v>0</c:v>
                      </c:pt>
                      <c:pt idx="16">
                        <c:v>4.1700000762939498</c:v>
                      </c:pt>
                      <c:pt idx="17">
                        <c:v>0</c:v>
                      </c:pt>
                      <c:pt idx="18">
                        <c:v>0</c:v>
                      </c:pt>
                      <c:pt idx="19">
                        <c:v>8.1400003433227504</c:v>
                      </c:pt>
                      <c:pt idx="20">
                        <c:v>0</c:v>
                      </c:pt>
                      <c:pt idx="21">
                        <c:v>0</c:v>
                      </c:pt>
                    </c:numCache>
                  </c:numRef>
                </c:val>
                <c:smooth val="0"/>
                <c:extLst xmlns:c15="http://schemas.microsoft.com/office/drawing/2012/chart">
                  <c:ext xmlns:c16="http://schemas.microsoft.com/office/drawing/2014/chart" uri="{C3380CC4-5D6E-409C-BE32-E72D297353CC}">
                    <c16:uniqueId val="{00000032-E3AE-4555-83FF-07A555BD67A2}"/>
                  </c:ext>
                </c:extLst>
              </c15:ser>
            </c15:filteredLineSeries>
            <c15:filteredLineSeries>
              <c15:ser>
                <c:idx val="49"/>
                <c:order val="49"/>
                <c:tx>
                  <c:strRef>
                    <c:extLst xmlns:c15="http://schemas.microsoft.com/office/drawing/2012/chart">
                      <c:ext xmlns:c15="http://schemas.microsoft.com/office/drawing/2012/chart" uri="{02D57815-91ED-43cb-92C2-25804820EDAC}">
                        <c15:formulaRef>
                          <c15:sqref>'Data LM'!$A$48</c15:sqref>
                        </c15:formulaRef>
                      </c:ext>
                    </c:extLst>
                    <c:strCache>
                      <c:ptCount val="1"/>
                      <c:pt idx="0">
                        <c:v>Unemployment with intermediate education, female (% of female labor force with intermediate education)</c:v>
                      </c:pt>
                    </c:strCache>
                  </c:strRef>
                </c:tx>
                <c:spPr>
                  <a:ln w="28575" cap="rnd">
                    <a:solidFill>
                      <a:schemeClr val="accent2">
                        <a:lumMod val="50000"/>
                        <a:lumOff val="50000"/>
                      </a:schemeClr>
                    </a:solidFill>
                    <a:round/>
                  </a:ln>
                  <a:effectLst/>
                </c:spPr>
                <c:marker>
                  <c:symbol val="circle"/>
                  <c:size val="5"/>
                  <c:spPr>
                    <a:solidFill>
                      <a:schemeClr val="accent2">
                        <a:lumMod val="50000"/>
                        <a:lumOff val="50000"/>
                      </a:schemeClr>
                    </a:solidFill>
                    <a:ln w="9525">
                      <a:solidFill>
                        <a:schemeClr val="accent2">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LM'!$C$48:$X$48</c15:sqref>
                        </c15:formulaRef>
                      </c:ext>
                    </c:extLst>
                    <c:numCache>
                      <c:formatCode>0.0</c:formatCode>
                      <c:ptCount val="22"/>
                      <c:pt idx="0">
                        <c:v>0</c:v>
                      </c:pt>
                      <c:pt idx="1">
                        <c:v>0</c:v>
                      </c:pt>
                      <c:pt idx="2">
                        <c:v>0</c:v>
                      </c:pt>
                      <c:pt idx="3">
                        <c:v>0</c:v>
                      </c:pt>
                      <c:pt idx="4">
                        <c:v>0</c:v>
                      </c:pt>
                      <c:pt idx="5">
                        <c:v>16.340000152587901</c:v>
                      </c:pt>
                      <c:pt idx="6">
                        <c:v>16.340000152587901</c:v>
                      </c:pt>
                      <c:pt idx="7">
                        <c:v>0</c:v>
                      </c:pt>
                      <c:pt idx="8">
                        <c:v>0</c:v>
                      </c:pt>
                      <c:pt idx="9">
                        <c:v>0</c:v>
                      </c:pt>
                      <c:pt idx="10">
                        <c:v>0</c:v>
                      </c:pt>
                      <c:pt idx="11">
                        <c:v>0</c:v>
                      </c:pt>
                      <c:pt idx="12">
                        <c:v>0</c:v>
                      </c:pt>
                      <c:pt idx="13">
                        <c:v>0</c:v>
                      </c:pt>
                      <c:pt idx="14">
                        <c:v>0</c:v>
                      </c:pt>
                      <c:pt idx="15">
                        <c:v>0</c:v>
                      </c:pt>
                      <c:pt idx="16">
                        <c:v>4.8099999427795401</c:v>
                      </c:pt>
                      <c:pt idx="17">
                        <c:v>0</c:v>
                      </c:pt>
                      <c:pt idx="18">
                        <c:v>0</c:v>
                      </c:pt>
                      <c:pt idx="19">
                        <c:v>10.680000305175801</c:v>
                      </c:pt>
                      <c:pt idx="20">
                        <c:v>0</c:v>
                      </c:pt>
                      <c:pt idx="21">
                        <c:v>0</c:v>
                      </c:pt>
                    </c:numCache>
                  </c:numRef>
                </c:val>
                <c:smooth val="0"/>
                <c:extLst xmlns:c15="http://schemas.microsoft.com/office/drawing/2012/chart">
                  <c:ext xmlns:c16="http://schemas.microsoft.com/office/drawing/2014/chart" uri="{C3380CC4-5D6E-409C-BE32-E72D297353CC}">
                    <c16:uniqueId val="{00000033-E3AE-4555-83FF-07A555BD67A2}"/>
                  </c:ext>
                </c:extLst>
              </c15:ser>
            </c15:filteredLineSeries>
            <c15:filteredLineSeries>
              <c15:ser>
                <c:idx val="50"/>
                <c:order val="50"/>
                <c:tx>
                  <c:strRef>
                    <c:extLst xmlns:c15="http://schemas.microsoft.com/office/drawing/2012/chart">
                      <c:ext xmlns:c15="http://schemas.microsoft.com/office/drawing/2012/chart" uri="{02D57815-91ED-43cb-92C2-25804820EDAC}">
                        <c15:formulaRef>
                          <c15:sqref>'Data LM'!$A$49</c15:sqref>
                        </c15:formulaRef>
                      </c:ext>
                    </c:extLst>
                    <c:strCache>
                      <c:ptCount val="1"/>
                      <c:pt idx="0">
                        <c:v>Unemployment with intermediate education, male (% of male labor force with intermediate education)</c:v>
                      </c:pt>
                    </c:strCache>
                  </c:strRef>
                </c:tx>
                <c:spPr>
                  <a:ln w="28575" cap="rnd">
                    <a:solidFill>
                      <a:schemeClr val="accent3">
                        <a:lumMod val="50000"/>
                        <a:lumOff val="50000"/>
                      </a:schemeClr>
                    </a:solidFill>
                    <a:round/>
                  </a:ln>
                  <a:effectLst/>
                </c:spPr>
                <c:marker>
                  <c:symbol val="circle"/>
                  <c:size val="5"/>
                  <c:spPr>
                    <a:solidFill>
                      <a:schemeClr val="accent3">
                        <a:lumMod val="50000"/>
                        <a:lumOff val="50000"/>
                      </a:schemeClr>
                    </a:solidFill>
                    <a:ln w="9525">
                      <a:solidFill>
                        <a:schemeClr val="accent3">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LM'!$C$49:$X$49</c15:sqref>
                        </c15:formulaRef>
                      </c:ext>
                    </c:extLst>
                    <c:numCache>
                      <c:formatCode>0.0</c:formatCode>
                      <c:ptCount val="22"/>
                      <c:pt idx="0">
                        <c:v>0</c:v>
                      </c:pt>
                      <c:pt idx="1">
                        <c:v>0</c:v>
                      </c:pt>
                      <c:pt idx="2">
                        <c:v>0</c:v>
                      </c:pt>
                      <c:pt idx="3">
                        <c:v>0</c:v>
                      </c:pt>
                      <c:pt idx="4">
                        <c:v>0</c:v>
                      </c:pt>
                      <c:pt idx="5">
                        <c:v>9.7399997711181605</c:v>
                      </c:pt>
                      <c:pt idx="6">
                        <c:v>9.7399997711181605</c:v>
                      </c:pt>
                      <c:pt idx="7">
                        <c:v>0</c:v>
                      </c:pt>
                      <c:pt idx="8">
                        <c:v>0</c:v>
                      </c:pt>
                      <c:pt idx="9">
                        <c:v>0</c:v>
                      </c:pt>
                      <c:pt idx="10">
                        <c:v>0</c:v>
                      </c:pt>
                      <c:pt idx="11">
                        <c:v>0</c:v>
                      </c:pt>
                      <c:pt idx="12">
                        <c:v>0</c:v>
                      </c:pt>
                      <c:pt idx="13">
                        <c:v>0</c:v>
                      </c:pt>
                      <c:pt idx="14">
                        <c:v>0</c:v>
                      </c:pt>
                      <c:pt idx="15">
                        <c:v>0</c:v>
                      </c:pt>
                      <c:pt idx="16">
                        <c:v>3.6500000953674299</c:v>
                      </c:pt>
                      <c:pt idx="17">
                        <c:v>0</c:v>
                      </c:pt>
                      <c:pt idx="18">
                        <c:v>0</c:v>
                      </c:pt>
                      <c:pt idx="19">
                        <c:v>6.5700001716613796</c:v>
                      </c:pt>
                      <c:pt idx="20">
                        <c:v>0</c:v>
                      </c:pt>
                      <c:pt idx="21">
                        <c:v>0</c:v>
                      </c:pt>
                    </c:numCache>
                  </c:numRef>
                </c:val>
                <c:smooth val="0"/>
                <c:extLst xmlns:c15="http://schemas.microsoft.com/office/drawing/2012/chart">
                  <c:ext xmlns:c16="http://schemas.microsoft.com/office/drawing/2014/chart" uri="{C3380CC4-5D6E-409C-BE32-E72D297353CC}">
                    <c16:uniqueId val="{00000034-E3AE-4555-83FF-07A555BD67A2}"/>
                  </c:ext>
                </c:extLst>
              </c15:ser>
            </c15:filteredLineSeries>
            <c15:filteredLineSeries>
              <c15:ser>
                <c:idx val="52"/>
                <c:order val="52"/>
                <c:tx>
                  <c:strRef>
                    <c:extLst xmlns:c15="http://schemas.microsoft.com/office/drawing/2012/chart">
                      <c:ext xmlns:c15="http://schemas.microsoft.com/office/drawing/2012/chart" uri="{02D57815-91ED-43cb-92C2-25804820EDAC}">
                        <c15:formulaRef>
                          <c15:sqref>'Data LM'!$A$51</c15:sqref>
                        </c15:formulaRef>
                      </c:ext>
                    </c:extLst>
                    <c:strCache>
                      <c:ptCount val="1"/>
                      <c:pt idx="0">
                        <c:v>Unemployment, female (% of female labor force) (national estimate)</c:v>
                      </c:pt>
                    </c:strCache>
                  </c:strRef>
                </c:tx>
                <c:spPr>
                  <a:ln w="28575" cap="rnd">
                    <a:solidFill>
                      <a:schemeClr val="accent5">
                        <a:lumMod val="50000"/>
                        <a:lumOff val="50000"/>
                      </a:schemeClr>
                    </a:solidFill>
                    <a:round/>
                  </a:ln>
                  <a:effectLst/>
                </c:spPr>
                <c:marker>
                  <c:symbol val="circle"/>
                  <c:size val="5"/>
                  <c:spPr>
                    <a:solidFill>
                      <a:schemeClr val="accent5">
                        <a:lumMod val="50000"/>
                        <a:lumOff val="50000"/>
                      </a:schemeClr>
                    </a:solidFill>
                    <a:ln w="9525">
                      <a:solidFill>
                        <a:schemeClr val="accent5">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LM'!$C$51:$X$51</c15:sqref>
                        </c15:formulaRef>
                      </c:ext>
                    </c:extLst>
                    <c:numCache>
                      <c:formatCode>0.0</c:formatCode>
                      <c:ptCount val="22"/>
                      <c:pt idx="0">
                        <c:v>0</c:v>
                      </c:pt>
                      <c:pt idx="1">
                        <c:v>0</c:v>
                      </c:pt>
                      <c:pt idx="2">
                        <c:v>0</c:v>
                      </c:pt>
                      <c:pt idx="3">
                        <c:v>0</c:v>
                      </c:pt>
                      <c:pt idx="4">
                        <c:v>0</c:v>
                      </c:pt>
                      <c:pt idx="5">
                        <c:v>10.1300001144409</c:v>
                      </c:pt>
                      <c:pt idx="6">
                        <c:v>10.1300001144409</c:v>
                      </c:pt>
                      <c:pt idx="7">
                        <c:v>0</c:v>
                      </c:pt>
                      <c:pt idx="8">
                        <c:v>0</c:v>
                      </c:pt>
                      <c:pt idx="9">
                        <c:v>9.3999996185302699</c:v>
                      </c:pt>
                      <c:pt idx="10">
                        <c:v>0</c:v>
                      </c:pt>
                      <c:pt idx="11">
                        <c:v>0</c:v>
                      </c:pt>
                      <c:pt idx="12">
                        <c:v>0</c:v>
                      </c:pt>
                      <c:pt idx="13">
                        <c:v>0</c:v>
                      </c:pt>
                      <c:pt idx="14">
                        <c:v>0</c:v>
                      </c:pt>
                      <c:pt idx="15">
                        <c:v>0</c:v>
                      </c:pt>
                      <c:pt idx="16">
                        <c:v>2.9400000572204599</c:v>
                      </c:pt>
                      <c:pt idx="17">
                        <c:v>0</c:v>
                      </c:pt>
                      <c:pt idx="18">
                        <c:v>0</c:v>
                      </c:pt>
                      <c:pt idx="19">
                        <c:v>5.2600002288818404</c:v>
                      </c:pt>
                      <c:pt idx="20">
                        <c:v>0</c:v>
                      </c:pt>
                      <c:pt idx="21">
                        <c:v>0</c:v>
                      </c:pt>
                    </c:numCache>
                  </c:numRef>
                </c:val>
                <c:smooth val="0"/>
                <c:extLst xmlns:c15="http://schemas.microsoft.com/office/drawing/2012/chart">
                  <c:ext xmlns:c16="http://schemas.microsoft.com/office/drawing/2014/chart" uri="{C3380CC4-5D6E-409C-BE32-E72D297353CC}">
                    <c16:uniqueId val="{00000035-E3AE-4555-83FF-07A555BD67A2}"/>
                  </c:ext>
                </c:extLst>
              </c15:ser>
            </c15:filteredLineSeries>
            <c15:filteredLineSeries>
              <c15:ser>
                <c:idx val="54"/>
                <c:order val="54"/>
                <c:tx>
                  <c:strRef>
                    <c:extLst xmlns:c15="http://schemas.microsoft.com/office/drawing/2012/chart">
                      <c:ext xmlns:c15="http://schemas.microsoft.com/office/drawing/2012/chart" uri="{02D57815-91ED-43cb-92C2-25804820EDAC}">
                        <c15:formulaRef>
                          <c15:sqref>'Data LM'!$A$53</c15:sqref>
                        </c15:formulaRef>
                      </c:ext>
                    </c:extLst>
                    <c:strCache>
                      <c:ptCount val="1"/>
                      <c:pt idx="0">
                        <c:v>Unemployment, male (% of male labor force) (national estimate)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LM'!$C$53:$X$53</c15:sqref>
                        </c15:formulaRef>
                      </c:ext>
                    </c:extLst>
                    <c:numCache>
                      <c:formatCode>0.0</c:formatCode>
                      <c:ptCount val="22"/>
                      <c:pt idx="0">
                        <c:v>0</c:v>
                      </c:pt>
                      <c:pt idx="1">
                        <c:v>0</c:v>
                      </c:pt>
                      <c:pt idx="2">
                        <c:v>0</c:v>
                      </c:pt>
                      <c:pt idx="3">
                        <c:v>0</c:v>
                      </c:pt>
                      <c:pt idx="4">
                        <c:v>0</c:v>
                      </c:pt>
                      <c:pt idx="5">
                        <c:v>9.8100004196166992</c:v>
                      </c:pt>
                      <c:pt idx="6">
                        <c:v>9.8100004196166992</c:v>
                      </c:pt>
                      <c:pt idx="7">
                        <c:v>0</c:v>
                      </c:pt>
                      <c:pt idx="8">
                        <c:v>0</c:v>
                      </c:pt>
                      <c:pt idx="9">
                        <c:v>9.8999996185302699</c:v>
                      </c:pt>
                      <c:pt idx="10">
                        <c:v>0</c:v>
                      </c:pt>
                      <c:pt idx="11">
                        <c:v>0</c:v>
                      </c:pt>
                      <c:pt idx="12">
                        <c:v>0</c:v>
                      </c:pt>
                      <c:pt idx="13">
                        <c:v>0</c:v>
                      </c:pt>
                      <c:pt idx="14">
                        <c:v>0</c:v>
                      </c:pt>
                      <c:pt idx="15">
                        <c:v>0</c:v>
                      </c:pt>
                      <c:pt idx="16">
                        <c:v>2.5799999237060498</c:v>
                      </c:pt>
                      <c:pt idx="17">
                        <c:v>0</c:v>
                      </c:pt>
                      <c:pt idx="18">
                        <c:v>0</c:v>
                      </c:pt>
                      <c:pt idx="19">
                        <c:v>4.7800002098083496</c:v>
                      </c:pt>
                      <c:pt idx="20">
                        <c:v>0</c:v>
                      </c:pt>
                      <c:pt idx="21">
                        <c:v>0</c:v>
                      </c:pt>
                    </c:numCache>
                  </c:numRef>
                </c:val>
                <c:smooth val="0"/>
                <c:extLst xmlns:c15="http://schemas.microsoft.com/office/drawing/2012/chart">
                  <c:ext xmlns:c16="http://schemas.microsoft.com/office/drawing/2014/chart" uri="{C3380CC4-5D6E-409C-BE32-E72D297353CC}">
                    <c16:uniqueId val="{00000036-E3AE-4555-83FF-07A555BD67A2}"/>
                  </c:ext>
                </c:extLst>
              </c15:ser>
            </c15:filteredLineSeries>
            <c15:filteredLineSeries>
              <c15:ser>
                <c:idx val="55"/>
                <c:order val="55"/>
                <c:tx>
                  <c:strRef>
                    <c:extLst xmlns:c15="http://schemas.microsoft.com/office/drawing/2012/chart">
                      <c:ext xmlns:c15="http://schemas.microsoft.com/office/drawing/2012/chart" uri="{02D57815-91ED-43cb-92C2-25804820EDAC}">
                        <c15:formulaRef>
                          <c15:sqref>'Data LM'!$A$54</c15:sqref>
                        </c15:formulaRef>
                      </c:ext>
                    </c:extLst>
                    <c:strCache>
                      <c:ptCount val="1"/>
                      <c:pt idx="0">
                        <c:v>Unemployment, total (% of total labor force) (modeled ILO estimate)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LM'!$C$54:$X$54</c15:sqref>
                        </c15:formulaRef>
                      </c:ext>
                    </c:extLst>
                    <c:numCache>
                      <c:formatCode>0.0</c:formatCode>
                      <c:ptCount val="22"/>
                      <c:pt idx="0">
                        <c:v>3.0209999084472701</c:v>
                      </c:pt>
                      <c:pt idx="1">
                        <c:v>2.9890000820159899</c:v>
                      </c:pt>
                      <c:pt idx="2">
                        <c:v>2.99600005149841</c:v>
                      </c:pt>
                      <c:pt idx="3">
                        <c:v>2.9690001010894802</c:v>
                      </c:pt>
                      <c:pt idx="4">
                        <c:v>2.9419999122619598</c:v>
                      </c:pt>
                      <c:pt idx="5">
                        <c:v>2.92400002479553</c:v>
                      </c:pt>
                      <c:pt idx="6">
                        <c:v>2.90700006484985</c:v>
                      </c:pt>
                      <c:pt idx="7">
                        <c:v>2.8910000324249299</c:v>
                      </c:pt>
                      <c:pt idx="8">
                        <c:v>2.9159998893737802</c:v>
                      </c:pt>
                      <c:pt idx="9">
                        <c:v>2.8840000629425</c:v>
                      </c:pt>
                      <c:pt idx="10">
                        <c:v>2.83899998664856</c:v>
                      </c:pt>
                      <c:pt idx="11">
                        <c:v>2.8369998931884801</c:v>
                      </c:pt>
                      <c:pt idx="12">
                        <c:v>2.8310000896453902</c:v>
                      </c:pt>
                      <c:pt idx="13">
                        <c:v>2.8080000877380402</c:v>
                      </c:pt>
                      <c:pt idx="14">
                        <c:v>2.7950000762939502</c:v>
                      </c:pt>
                      <c:pt idx="15">
                        <c:v>2.77699995040894</c:v>
                      </c:pt>
                      <c:pt idx="16">
                        <c:v>2.7599999904632599</c:v>
                      </c:pt>
                      <c:pt idx="17">
                        <c:v>3.51300001144409</c:v>
                      </c:pt>
                      <c:pt idx="18">
                        <c:v>4.2490000724792498</c:v>
                      </c:pt>
                      <c:pt idx="19">
                        <c:v>5.0100002288818404</c:v>
                      </c:pt>
                      <c:pt idx="20">
                        <c:v>5.7290000915527299</c:v>
                      </c:pt>
                      <c:pt idx="21">
                        <c:v>5.7420001029968297</c:v>
                      </c:pt>
                    </c:numCache>
                  </c:numRef>
                </c:val>
                <c:smooth val="0"/>
                <c:extLst xmlns:c15="http://schemas.microsoft.com/office/drawing/2012/chart">
                  <c:ext xmlns:c16="http://schemas.microsoft.com/office/drawing/2014/chart" uri="{C3380CC4-5D6E-409C-BE32-E72D297353CC}">
                    <c16:uniqueId val="{00000037-E3AE-4555-83FF-07A555BD67A2}"/>
                  </c:ext>
                </c:extLst>
              </c15:ser>
            </c15:filteredLineSeries>
            <c15:filteredLineSeries>
              <c15:ser>
                <c:idx val="56"/>
                <c:order val="56"/>
                <c:tx>
                  <c:strRef>
                    <c:extLst xmlns:c15="http://schemas.microsoft.com/office/drawing/2012/chart">
                      <c:ext xmlns:c15="http://schemas.microsoft.com/office/drawing/2012/chart" uri="{02D57815-91ED-43cb-92C2-25804820EDAC}">
                        <c15:formulaRef>
                          <c15:sqref>'Data LM'!$A$55</c15:sqref>
                        </c15:formulaRef>
                      </c:ext>
                    </c:extLst>
                    <c:strCache>
                      <c:ptCount val="1"/>
                      <c:pt idx="0">
                        <c:v>Unemployment, total (% of total labor force) (national estimate)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LM'!$C$55:$X$55</c15:sqref>
                        </c15:formulaRef>
                      </c:ext>
                    </c:extLst>
                    <c:numCache>
                      <c:formatCode>0.0</c:formatCode>
                      <c:ptCount val="22"/>
                      <c:pt idx="0">
                        <c:v>0</c:v>
                      </c:pt>
                      <c:pt idx="1">
                        <c:v>0</c:v>
                      </c:pt>
                      <c:pt idx="2">
                        <c:v>0</c:v>
                      </c:pt>
                      <c:pt idx="3">
                        <c:v>0</c:v>
                      </c:pt>
                      <c:pt idx="4">
                        <c:v>0</c:v>
                      </c:pt>
                      <c:pt idx="5">
                        <c:v>9.9600000381469709</c:v>
                      </c:pt>
                      <c:pt idx="6">
                        <c:v>9.9600000381469709</c:v>
                      </c:pt>
                      <c:pt idx="7">
                        <c:v>0</c:v>
                      </c:pt>
                      <c:pt idx="8">
                        <c:v>0</c:v>
                      </c:pt>
                      <c:pt idx="9">
                        <c:v>9.6000003814697301</c:v>
                      </c:pt>
                      <c:pt idx="10">
                        <c:v>0</c:v>
                      </c:pt>
                      <c:pt idx="11">
                        <c:v>0</c:v>
                      </c:pt>
                      <c:pt idx="12">
                        <c:v>0</c:v>
                      </c:pt>
                      <c:pt idx="13">
                        <c:v>0</c:v>
                      </c:pt>
                      <c:pt idx="14">
                        <c:v>0</c:v>
                      </c:pt>
                      <c:pt idx="15">
                        <c:v>0</c:v>
                      </c:pt>
                      <c:pt idx="16">
                        <c:v>2.7599999904632599</c:v>
                      </c:pt>
                      <c:pt idx="17">
                        <c:v>0</c:v>
                      </c:pt>
                      <c:pt idx="18">
                        <c:v>0</c:v>
                      </c:pt>
                      <c:pt idx="19">
                        <c:v>5.0100002288818404</c:v>
                      </c:pt>
                      <c:pt idx="20">
                        <c:v>0</c:v>
                      </c:pt>
                      <c:pt idx="21">
                        <c:v>0</c:v>
                      </c:pt>
                    </c:numCache>
                  </c:numRef>
                </c:val>
                <c:smooth val="0"/>
                <c:extLst xmlns:c15="http://schemas.microsoft.com/office/drawing/2012/chart">
                  <c:ext xmlns:c16="http://schemas.microsoft.com/office/drawing/2014/chart" uri="{C3380CC4-5D6E-409C-BE32-E72D297353CC}">
                    <c16:uniqueId val="{00000038-E3AE-4555-83FF-07A555BD67A2}"/>
                  </c:ext>
                </c:extLst>
              </c15:ser>
            </c15:filteredLineSeries>
            <c15:filteredLineSeries>
              <c15:ser>
                <c:idx val="57"/>
                <c:order val="57"/>
                <c:tx>
                  <c:strRef>
                    <c:extLst xmlns:c15="http://schemas.microsoft.com/office/drawing/2012/chart">
                      <c:ext xmlns:c15="http://schemas.microsoft.com/office/drawing/2012/chart" uri="{02D57815-91ED-43cb-92C2-25804820EDAC}">
                        <c15:formulaRef>
                          <c15:sqref>'Data LM'!$A$56</c15:sqref>
                        </c15:formulaRef>
                      </c:ext>
                    </c:extLst>
                    <c:strCache>
                      <c:ptCount val="1"/>
                      <c:pt idx="0">
                        <c:v>Unemployment, youth female (% of female labor force ages 15-24) (modeled ILO estimate)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LM'!$C$56:$X$56</c15:sqref>
                        </c15:formulaRef>
                      </c:ext>
                    </c:extLst>
                    <c:numCache>
                      <c:formatCode>0.0</c:formatCode>
                      <c:ptCount val="22"/>
                      <c:pt idx="0">
                        <c:v>6.8889999389648402</c:v>
                      </c:pt>
                      <c:pt idx="1">
                        <c:v>6.8670001029968297</c:v>
                      </c:pt>
                      <c:pt idx="2">
                        <c:v>6.9120001792907697</c:v>
                      </c:pt>
                      <c:pt idx="3">
                        <c:v>6.90199995040894</c:v>
                      </c:pt>
                      <c:pt idx="4">
                        <c:v>6.9000000953674299</c:v>
                      </c:pt>
                      <c:pt idx="5">
                        <c:v>6.9219999313354501</c:v>
                      </c:pt>
                      <c:pt idx="6">
                        <c:v>6.9640002250671396</c:v>
                      </c:pt>
                      <c:pt idx="7">
                        <c:v>7.01300001144409</c:v>
                      </c:pt>
                      <c:pt idx="8">
                        <c:v>7.1399998664856001</c:v>
                      </c:pt>
                      <c:pt idx="9">
                        <c:v>7.1609997749328604</c:v>
                      </c:pt>
                      <c:pt idx="10">
                        <c:v>7.1539998054504403</c:v>
                      </c:pt>
                      <c:pt idx="11">
                        <c:v>7.2270002365112296</c:v>
                      </c:pt>
                      <c:pt idx="12">
                        <c:v>7.2870001792907697</c:v>
                      </c:pt>
                      <c:pt idx="13">
                        <c:v>7.3109998703002903</c:v>
                      </c:pt>
                      <c:pt idx="14">
                        <c:v>7.3470001220703098</c:v>
                      </c:pt>
                      <c:pt idx="15">
                        <c:v>7.3649997711181596</c:v>
                      </c:pt>
                      <c:pt idx="16">
                        <c:v>7.3810000419616699</c:v>
                      </c:pt>
                      <c:pt idx="17">
                        <c:v>9.2959995269775408</c:v>
                      </c:pt>
                      <c:pt idx="18">
                        <c:v>11.201000213623001</c:v>
                      </c:pt>
                      <c:pt idx="19">
                        <c:v>13.1759996414185</c:v>
                      </c:pt>
                      <c:pt idx="20">
                        <c:v>14.463000297546399</c:v>
                      </c:pt>
                      <c:pt idx="21">
                        <c:v>14.9160003662109</c:v>
                      </c:pt>
                    </c:numCache>
                  </c:numRef>
                </c:val>
                <c:smooth val="0"/>
                <c:extLst xmlns:c15="http://schemas.microsoft.com/office/drawing/2012/chart">
                  <c:ext xmlns:c16="http://schemas.microsoft.com/office/drawing/2014/chart" uri="{C3380CC4-5D6E-409C-BE32-E72D297353CC}">
                    <c16:uniqueId val="{00000039-E3AE-4555-83FF-07A555BD67A2}"/>
                  </c:ext>
                </c:extLst>
              </c15:ser>
            </c15:filteredLineSeries>
            <c15:filteredLineSeries>
              <c15:ser>
                <c:idx val="58"/>
                <c:order val="58"/>
                <c:tx>
                  <c:strRef>
                    <c:extLst xmlns:c15="http://schemas.microsoft.com/office/drawing/2012/chart">
                      <c:ext xmlns:c15="http://schemas.microsoft.com/office/drawing/2012/chart" uri="{02D57815-91ED-43cb-92C2-25804820EDAC}">
                        <c15:formulaRef>
                          <c15:sqref>'Data LM'!$A$57</c15:sqref>
                        </c15:formulaRef>
                      </c:ext>
                    </c:extLst>
                    <c:strCache>
                      <c:ptCount val="1"/>
                      <c:pt idx="0">
                        <c:v>Unemployment, youth female (% of female labor force ages 15-24) (national estimate)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LM'!$C$57:$X$57</c15:sqref>
                        </c15:formulaRef>
                      </c:ext>
                    </c:extLst>
                    <c:numCache>
                      <c:formatCode>0.0</c:formatCode>
                      <c:ptCount val="22"/>
                      <c:pt idx="0">
                        <c:v>0</c:v>
                      </c:pt>
                      <c:pt idx="1">
                        <c:v>0</c:v>
                      </c:pt>
                      <c:pt idx="2">
                        <c:v>0</c:v>
                      </c:pt>
                      <c:pt idx="3">
                        <c:v>0</c:v>
                      </c:pt>
                      <c:pt idx="4">
                        <c:v>0</c:v>
                      </c:pt>
                      <c:pt idx="5">
                        <c:v>20.610000610351602</c:v>
                      </c:pt>
                      <c:pt idx="6">
                        <c:v>20.610000610351602</c:v>
                      </c:pt>
                      <c:pt idx="7">
                        <c:v>0</c:v>
                      </c:pt>
                      <c:pt idx="8">
                        <c:v>0</c:v>
                      </c:pt>
                      <c:pt idx="9">
                        <c:v>0</c:v>
                      </c:pt>
                      <c:pt idx="10">
                        <c:v>0</c:v>
                      </c:pt>
                      <c:pt idx="11">
                        <c:v>0</c:v>
                      </c:pt>
                      <c:pt idx="12">
                        <c:v>0</c:v>
                      </c:pt>
                      <c:pt idx="13">
                        <c:v>0</c:v>
                      </c:pt>
                      <c:pt idx="14">
                        <c:v>0</c:v>
                      </c:pt>
                      <c:pt idx="15">
                        <c:v>0</c:v>
                      </c:pt>
                      <c:pt idx="16">
                        <c:v>7.4299998283386204</c:v>
                      </c:pt>
                      <c:pt idx="17">
                        <c:v>0</c:v>
                      </c:pt>
                      <c:pt idx="18">
                        <c:v>0</c:v>
                      </c:pt>
                      <c:pt idx="19">
                        <c:v>13.8400001525879</c:v>
                      </c:pt>
                      <c:pt idx="20">
                        <c:v>0</c:v>
                      </c:pt>
                      <c:pt idx="21">
                        <c:v>0</c:v>
                      </c:pt>
                    </c:numCache>
                  </c:numRef>
                </c:val>
                <c:smooth val="0"/>
                <c:extLst xmlns:c15="http://schemas.microsoft.com/office/drawing/2012/chart">
                  <c:ext xmlns:c16="http://schemas.microsoft.com/office/drawing/2014/chart" uri="{C3380CC4-5D6E-409C-BE32-E72D297353CC}">
                    <c16:uniqueId val="{0000003A-E3AE-4555-83FF-07A555BD67A2}"/>
                  </c:ext>
                </c:extLst>
              </c15:ser>
            </c15:filteredLineSeries>
            <c15:filteredLineSeries>
              <c15:ser>
                <c:idx val="59"/>
                <c:order val="59"/>
                <c:tx>
                  <c:strRef>
                    <c:extLst xmlns:c15="http://schemas.microsoft.com/office/drawing/2012/chart">
                      <c:ext xmlns:c15="http://schemas.microsoft.com/office/drawing/2012/chart" uri="{02D57815-91ED-43cb-92C2-25804820EDAC}">
                        <c15:formulaRef>
                          <c15:sqref>'Data LM'!$A$58</c15:sqref>
                        </c15:formulaRef>
                      </c:ext>
                    </c:extLst>
                    <c:strCache>
                      <c:ptCount val="1"/>
                      <c:pt idx="0">
                        <c:v>Unemployment, youth male (% of male labor force ages 15-24) (modeled ILO estimate)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LM'!$C$58:$X$58</c15:sqref>
                        </c15:formulaRef>
                      </c:ext>
                    </c:extLst>
                    <c:numCache>
                      <c:formatCode>0.0</c:formatCode>
                      <c:ptCount val="22"/>
                      <c:pt idx="0">
                        <c:v>6.67799997329712</c:v>
                      </c:pt>
                      <c:pt idx="1">
                        <c:v>6.6550002098083496</c:v>
                      </c:pt>
                      <c:pt idx="2">
                        <c:v>6.7059998512268102</c:v>
                      </c:pt>
                      <c:pt idx="3">
                        <c:v>6.69700002670288</c:v>
                      </c:pt>
                      <c:pt idx="4">
                        <c:v>6.6979999542236301</c:v>
                      </c:pt>
                      <c:pt idx="5">
                        <c:v>6.7259998321533203</c:v>
                      </c:pt>
                      <c:pt idx="6">
                        <c:v>6.7779998779296902</c:v>
                      </c:pt>
                      <c:pt idx="7">
                        <c:v>6.8390002250671396</c:v>
                      </c:pt>
                      <c:pt idx="8">
                        <c:v>6.9860000610351598</c:v>
                      </c:pt>
                      <c:pt idx="9">
                        <c:v>7.0139999389648402</c:v>
                      </c:pt>
                      <c:pt idx="10">
                        <c:v>7.0100002288818404</c:v>
                      </c:pt>
                      <c:pt idx="11">
                        <c:v>7.0939998626709002</c:v>
                      </c:pt>
                      <c:pt idx="12">
                        <c:v>7.1640000343322798</c:v>
                      </c:pt>
                      <c:pt idx="13">
                        <c:v>7.1919999122619602</c:v>
                      </c:pt>
                      <c:pt idx="14">
                        <c:v>7.2329998016357404</c:v>
                      </c:pt>
                      <c:pt idx="15">
                        <c:v>7.2529997825622603</c:v>
                      </c:pt>
                      <c:pt idx="16">
                        <c:v>7.2699999809265101</c:v>
                      </c:pt>
                      <c:pt idx="17">
                        <c:v>8.6630001068115199</c:v>
                      </c:pt>
                      <c:pt idx="18">
                        <c:v>10.055000305175801</c:v>
                      </c:pt>
                      <c:pt idx="19">
                        <c:v>11.519000053405801</c:v>
                      </c:pt>
                      <c:pt idx="20">
                        <c:v>12.7340002059937</c:v>
                      </c:pt>
                      <c:pt idx="21">
                        <c:v>12.788999557495099</c:v>
                      </c:pt>
                    </c:numCache>
                  </c:numRef>
                </c:val>
                <c:smooth val="0"/>
                <c:extLst xmlns:c15="http://schemas.microsoft.com/office/drawing/2012/chart">
                  <c:ext xmlns:c16="http://schemas.microsoft.com/office/drawing/2014/chart" uri="{C3380CC4-5D6E-409C-BE32-E72D297353CC}">
                    <c16:uniqueId val="{0000003B-E3AE-4555-83FF-07A555BD67A2}"/>
                  </c:ext>
                </c:extLst>
              </c15:ser>
            </c15:filteredLineSeries>
            <c15:filteredLineSeries>
              <c15:ser>
                <c:idx val="60"/>
                <c:order val="60"/>
                <c:tx>
                  <c:strRef>
                    <c:extLst xmlns:c15="http://schemas.microsoft.com/office/drawing/2012/chart">
                      <c:ext xmlns:c15="http://schemas.microsoft.com/office/drawing/2012/chart" uri="{02D57815-91ED-43cb-92C2-25804820EDAC}">
                        <c15:formulaRef>
                          <c15:sqref>'Data LM'!$A$59</c15:sqref>
                        </c15:formulaRef>
                      </c:ext>
                    </c:extLst>
                    <c:strCache>
                      <c:ptCount val="1"/>
                      <c:pt idx="0">
                        <c:v>Unemployment, youth male (% of male labor force ages 15-24) (national estimate)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LM'!$C$59:$X$59</c15:sqref>
                        </c15:formulaRef>
                      </c:ext>
                    </c:extLst>
                    <c:numCache>
                      <c:formatCode>0.0</c:formatCode>
                      <c:ptCount val="22"/>
                      <c:pt idx="0">
                        <c:v>0</c:v>
                      </c:pt>
                      <c:pt idx="1">
                        <c:v>0</c:v>
                      </c:pt>
                      <c:pt idx="2">
                        <c:v>0</c:v>
                      </c:pt>
                      <c:pt idx="3">
                        <c:v>0</c:v>
                      </c:pt>
                      <c:pt idx="4">
                        <c:v>0</c:v>
                      </c:pt>
                      <c:pt idx="5">
                        <c:v>18.879999160766602</c:v>
                      </c:pt>
                      <c:pt idx="6">
                        <c:v>18.879999160766602</c:v>
                      </c:pt>
                      <c:pt idx="7">
                        <c:v>0</c:v>
                      </c:pt>
                      <c:pt idx="8">
                        <c:v>0</c:v>
                      </c:pt>
                      <c:pt idx="9">
                        <c:v>0</c:v>
                      </c:pt>
                      <c:pt idx="10">
                        <c:v>0</c:v>
                      </c:pt>
                      <c:pt idx="11">
                        <c:v>0</c:v>
                      </c:pt>
                      <c:pt idx="12">
                        <c:v>0</c:v>
                      </c:pt>
                      <c:pt idx="13">
                        <c:v>0</c:v>
                      </c:pt>
                      <c:pt idx="14">
                        <c:v>0</c:v>
                      </c:pt>
                      <c:pt idx="15">
                        <c:v>0</c:v>
                      </c:pt>
                      <c:pt idx="16">
                        <c:v>7.28999996185303</c:v>
                      </c:pt>
                      <c:pt idx="17">
                        <c:v>0</c:v>
                      </c:pt>
                      <c:pt idx="18">
                        <c:v>0</c:v>
                      </c:pt>
                      <c:pt idx="19">
                        <c:v>11.9799995422363</c:v>
                      </c:pt>
                      <c:pt idx="20">
                        <c:v>0</c:v>
                      </c:pt>
                      <c:pt idx="21">
                        <c:v>0</c:v>
                      </c:pt>
                    </c:numCache>
                  </c:numRef>
                </c:val>
                <c:smooth val="0"/>
                <c:extLst xmlns:c15="http://schemas.microsoft.com/office/drawing/2012/chart">
                  <c:ext xmlns:c16="http://schemas.microsoft.com/office/drawing/2014/chart" uri="{C3380CC4-5D6E-409C-BE32-E72D297353CC}">
                    <c16:uniqueId val="{0000003C-E3AE-4555-83FF-07A555BD67A2}"/>
                  </c:ext>
                </c:extLst>
              </c15:ser>
            </c15:filteredLineSeries>
            <c15:filteredLineSeries>
              <c15:ser>
                <c:idx val="61"/>
                <c:order val="61"/>
                <c:tx>
                  <c:strRef>
                    <c:extLst xmlns:c15="http://schemas.microsoft.com/office/drawing/2012/chart">
                      <c:ext xmlns:c15="http://schemas.microsoft.com/office/drawing/2012/chart" uri="{02D57815-91ED-43cb-92C2-25804820EDAC}">
                        <c15:formulaRef>
                          <c15:sqref>'Data LM'!$A$60</c15:sqref>
                        </c15:formulaRef>
                      </c:ext>
                    </c:extLst>
                    <c:strCache>
                      <c:ptCount val="1"/>
                      <c:pt idx="0">
                        <c:v>Unemployment, youth total (% of total labor force ages 15-24) (modeled ILO estimate)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LM'!$C$60:$X$60</c15:sqref>
                        </c15:formulaRef>
                      </c:ext>
                    </c:extLst>
                    <c:numCache>
                      <c:formatCode>0.0</c:formatCode>
                      <c:ptCount val="22"/>
                      <c:pt idx="0">
                        <c:v>6.7880001068115199</c:v>
                      </c:pt>
                      <c:pt idx="1">
                        <c:v>6.7639999389648402</c:v>
                      </c:pt>
                      <c:pt idx="2">
                        <c:v>6.8119997978210396</c:v>
                      </c:pt>
                      <c:pt idx="3">
                        <c:v>6.8020000457763699</c:v>
                      </c:pt>
                      <c:pt idx="4">
                        <c:v>6.8010001182556197</c:v>
                      </c:pt>
                      <c:pt idx="5">
                        <c:v>6.8249998092651403</c:v>
                      </c:pt>
                      <c:pt idx="6">
                        <c:v>6.8720002174377397</c:v>
                      </c:pt>
                      <c:pt idx="7">
                        <c:v>6.9270000457763699</c:v>
                      </c:pt>
                      <c:pt idx="8">
                        <c:v>7.0630002021789604</c:v>
                      </c:pt>
                      <c:pt idx="9">
                        <c:v>7.0869998931884801</c:v>
                      </c:pt>
                      <c:pt idx="10">
                        <c:v>7.0819997787475604</c:v>
                      </c:pt>
                      <c:pt idx="11">
                        <c:v>7.1599998474121103</c:v>
                      </c:pt>
                      <c:pt idx="12">
                        <c:v>7.2249999046325701</c:v>
                      </c:pt>
                      <c:pt idx="13">
                        <c:v>7.25</c:v>
                      </c:pt>
                      <c:pt idx="14">
                        <c:v>7.2880001068115199</c:v>
                      </c:pt>
                      <c:pt idx="15">
                        <c:v>7.3080000877380398</c:v>
                      </c:pt>
                      <c:pt idx="16">
                        <c:v>7.3239998817443803</c:v>
                      </c:pt>
                      <c:pt idx="17">
                        <c:v>8.9709997177124006</c:v>
                      </c:pt>
                      <c:pt idx="18">
                        <c:v>10.616000175476101</c:v>
                      </c:pt>
                      <c:pt idx="19">
                        <c:v>12.3369998931885</c:v>
                      </c:pt>
                      <c:pt idx="20">
                        <c:v>13.586000442504901</c:v>
                      </c:pt>
                      <c:pt idx="21">
                        <c:v>13.8439998626709</c:v>
                      </c:pt>
                    </c:numCache>
                  </c:numRef>
                </c:val>
                <c:smooth val="0"/>
                <c:extLst xmlns:c15="http://schemas.microsoft.com/office/drawing/2012/chart">
                  <c:ext xmlns:c16="http://schemas.microsoft.com/office/drawing/2014/chart" uri="{C3380CC4-5D6E-409C-BE32-E72D297353CC}">
                    <c16:uniqueId val="{0000003D-E3AE-4555-83FF-07A555BD67A2}"/>
                  </c:ext>
                </c:extLst>
              </c15:ser>
            </c15:filteredLineSeries>
            <c15:filteredLineSeries>
              <c15:ser>
                <c:idx val="62"/>
                <c:order val="62"/>
                <c:tx>
                  <c:strRef>
                    <c:extLst xmlns:c15="http://schemas.microsoft.com/office/drawing/2012/chart">
                      <c:ext xmlns:c15="http://schemas.microsoft.com/office/drawing/2012/chart" uri="{02D57815-91ED-43cb-92C2-25804820EDAC}">
                        <c15:formulaRef>
                          <c15:sqref>'Data LM'!$A$61</c15:sqref>
                        </c15:formulaRef>
                      </c:ext>
                    </c:extLst>
                    <c:strCache>
                      <c:ptCount val="1"/>
                      <c:pt idx="0">
                        <c:v>Unemployment, youth total (% of total labor force ages 15-24) (national estimate)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LM'!$C$61:$X$61</c15:sqref>
                        </c15:formulaRef>
                      </c:ext>
                    </c:extLst>
                    <c:numCache>
                      <c:formatCode>0.0</c:formatCode>
                      <c:ptCount val="22"/>
                      <c:pt idx="0">
                        <c:v>0</c:v>
                      </c:pt>
                      <c:pt idx="1">
                        <c:v>0</c:v>
                      </c:pt>
                      <c:pt idx="2">
                        <c:v>0</c:v>
                      </c:pt>
                      <c:pt idx="3">
                        <c:v>0</c:v>
                      </c:pt>
                      <c:pt idx="4">
                        <c:v>0</c:v>
                      </c:pt>
                      <c:pt idx="5">
                        <c:v>19.649999618530298</c:v>
                      </c:pt>
                      <c:pt idx="6">
                        <c:v>19.649999618530298</c:v>
                      </c:pt>
                      <c:pt idx="7">
                        <c:v>0</c:v>
                      </c:pt>
                      <c:pt idx="8">
                        <c:v>0</c:v>
                      </c:pt>
                      <c:pt idx="9">
                        <c:v>0</c:v>
                      </c:pt>
                      <c:pt idx="10">
                        <c:v>0</c:v>
                      </c:pt>
                      <c:pt idx="11">
                        <c:v>0</c:v>
                      </c:pt>
                      <c:pt idx="12">
                        <c:v>0</c:v>
                      </c:pt>
                      <c:pt idx="13">
                        <c:v>0</c:v>
                      </c:pt>
                      <c:pt idx="14">
                        <c:v>0</c:v>
                      </c:pt>
                      <c:pt idx="15">
                        <c:v>0</c:v>
                      </c:pt>
                      <c:pt idx="16">
                        <c:v>7.3600001335143999</c:v>
                      </c:pt>
                      <c:pt idx="17">
                        <c:v>0</c:v>
                      </c:pt>
                      <c:pt idx="18">
                        <c:v>0</c:v>
                      </c:pt>
                      <c:pt idx="19">
                        <c:v>12.8500003814697</c:v>
                      </c:pt>
                      <c:pt idx="20">
                        <c:v>0</c:v>
                      </c:pt>
                      <c:pt idx="21">
                        <c:v>0</c:v>
                      </c:pt>
                    </c:numCache>
                  </c:numRef>
                </c:val>
                <c:smooth val="0"/>
                <c:extLst xmlns:c15="http://schemas.microsoft.com/office/drawing/2012/chart">
                  <c:ext xmlns:c16="http://schemas.microsoft.com/office/drawing/2014/chart" uri="{C3380CC4-5D6E-409C-BE32-E72D297353CC}">
                    <c16:uniqueId val="{0000003E-E3AE-4555-83FF-07A555BD67A2}"/>
                  </c:ext>
                </c:extLst>
              </c15:ser>
            </c15:filteredLineSeries>
            <c15:filteredLineSeries>
              <c15:ser>
                <c:idx val="63"/>
                <c:order val="63"/>
                <c:tx>
                  <c:strRef>
                    <c:extLst xmlns:c15="http://schemas.microsoft.com/office/drawing/2012/chart">
                      <c:ext xmlns:c15="http://schemas.microsoft.com/office/drawing/2012/chart" uri="{02D57815-91ED-43cb-92C2-25804820EDAC}">
                        <c15:formulaRef>
                          <c15:sqref>'Data LM'!$A$62</c15:sqref>
                        </c15:formulaRef>
                      </c:ext>
                    </c:extLst>
                    <c:strCache>
                      <c:ptCount val="1"/>
                      <c:pt idx="0">
                        <c:v>Vulnerable employment, female (% of female employment) (modeled ILO estimate)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LM'!$C$62:$X$62</c15:sqref>
                        </c15:formulaRef>
                      </c:ext>
                    </c:extLst>
                    <c:numCache>
                      <c:formatCode>0.0</c:formatCode>
                      <c:ptCount val="22"/>
                      <c:pt idx="0">
                        <c:v>73.260000228881808</c:v>
                      </c:pt>
                      <c:pt idx="1">
                        <c:v>74.3399982452393</c:v>
                      </c:pt>
                      <c:pt idx="2">
                        <c:v>75.120000839233398</c:v>
                      </c:pt>
                      <c:pt idx="3">
                        <c:v>75.889999389648509</c:v>
                      </c:pt>
                      <c:pt idx="4">
                        <c:v>76.279998779296903</c:v>
                      </c:pt>
                      <c:pt idx="5">
                        <c:v>76.619998931884695</c:v>
                      </c:pt>
                      <c:pt idx="6">
                        <c:v>77.080001831054602</c:v>
                      </c:pt>
                      <c:pt idx="7">
                        <c:v>75.439998626708999</c:v>
                      </c:pt>
                      <c:pt idx="8">
                        <c:v>74.040000915527301</c:v>
                      </c:pt>
                      <c:pt idx="9">
                        <c:v>72.369998931884695</c:v>
                      </c:pt>
                      <c:pt idx="10">
                        <c:v>70.610002517700195</c:v>
                      </c:pt>
                      <c:pt idx="11">
                        <c:v>68.740001678466797</c:v>
                      </c:pt>
                      <c:pt idx="12">
                        <c:v>67</c:v>
                      </c:pt>
                      <c:pt idx="13">
                        <c:v>65.310001373291001</c:v>
                      </c:pt>
                      <c:pt idx="14">
                        <c:v>63.679999351501394</c:v>
                      </c:pt>
                      <c:pt idx="15">
                        <c:v>62.039999008178697</c:v>
                      </c:pt>
                      <c:pt idx="16">
                        <c:v>60.470000267028801</c:v>
                      </c:pt>
                      <c:pt idx="17">
                        <c:v>59.3400011062622</c:v>
                      </c:pt>
                      <c:pt idx="18">
                        <c:v>58.2299995422363</c:v>
                      </c:pt>
                      <c:pt idx="19">
                        <c:v>57.130001068115199</c:v>
                      </c:pt>
                    </c:numCache>
                  </c:numRef>
                </c:val>
                <c:smooth val="0"/>
                <c:extLst xmlns:c15="http://schemas.microsoft.com/office/drawing/2012/chart">
                  <c:ext xmlns:c16="http://schemas.microsoft.com/office/drawing/2014/chart" uri="{C3380CC4-5D6E-409C-BE32-E72D297353CC}">
                    <c16:uniqueId val="{0000003F-E3AE-4555-83FF-07A555BD67A2}"/>
                  </c:ext>
                </c:extLst>
              </c15:ser>
            </c15:filteredLineSeries>
            <c15:filteredLineSeries>
              <c15:ser>
                <c:idx val="64"/>
                <c:order val="64"/>
                <c:tx>
                  <c:strRef>
                    <c:extLst xmlns:c15="http://schemas.microsoft.com/office/drawing/2012/chart">
                      <c:ext xmlns:c15="http://schemas.microsoft.com/office/drawing/2012/chart" uri="{02D57815-91ED-43cb-92C2-25804820EDAC}">
                        <c15:formulaRef>
                          <c15:sqref>'Data LM'!$A$63</c15:sqref>
                        </c15:formulaRef>
                      </c:ext>
                    </c:extLst>
                    <c:strCache>
                      <c:ptCount val="1"/>
                      <c:pt idx="0">
                        <c:v>Vulnerable employment, male (% of male employment) (modeled ILO estimate)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LM'!$C$63:$X$63</c15:sqref>
                        </c15:formulaRef>
                      </c:ext>
                    </c:extLst>
                    <c:numCache>
                      <c:formatCode>0.0</c:formatCode>
                      <c:ptCount val="22"/>
                      <c:pt idx="0">
                        <c:v>47.159999847412095</c:v>
                      </c:pt>
                      <c:pt idx="1">
                        <c:v>49.340000152587905</c:v>
                      </c:pt>
                      <c:pt idx="2">
                        <c:v>51.539999008178697</c:v>
                      </c:pt>
                      <c:pt idx="3">
                        <c:v>53.590000152587805</c:v>
                      </c:pt>
                      <c:pt idx="4">
                        <c:v>54.890001296997099</c:v>
                      </c:pt>
                      <c:pt idx="5">
                        <c:v>55.949998855590898</c:v>
                      </c:pt>
                      <c:pt idx="6">
                        <c:v>57.289999008178704</c:v>
                      </c:pt>
                      <c:pt idx="7">
                        <c:v>55.5</c:v>
                      </c:pt>
                      <c:pt idx="8">
                        <c:v>54.820001602172795</c:v>
                      </c:pt>
                      <c:pt idx="9">
                        <c:v>53.5599975585938</c:v>
                      </c:pt>
                      <c:pt idx="10">
                        <c:v>51.749999046325698</c:v>
                      </c:pt>
                      <c:pt idx="11">
                        <c:v>50.100000381469805</c:v>
                      </c:pt>
                      <c:pt idx="12">
                        <c:v>48.8300008773804</c:v>
                      </c:pt>
                      <c:pt idx="13">
                        <c:v>47.53000164031981</c:v>
                      </c:pt>
                      <c:pt idx="14">
                        <c:v>46.349999427795453</c:v>
                      </c:pt>
                      <c:pt idx="15">
                        <c:v>45.170001983642592</c:v>
                      </c:pt>
                      <c:pt idx="16">
                        <c:v>44.120000362396262</c:v>
                      </c:pt>
                      <c:pt idx="17">
                        <c:v>43.300001621246338</c:v>
                      </c:pt>
                      <c:pt idx="18">
                        <c:v>42.310001850128174</c:v>
                      </c:pt>
                      <c:pt idx="19">
                        <c:v>41.380000114440925</c:v>
                      </c:pt>
                    </c:numCache>
                  </c:numRef>
                </c:val>
                <c:smooth val="0"/>
                <c:extLst xmlns:c15="http://schemas.microsoft.com/office/drawing/2012/chart">
                  <c:ext xmlns:c16="http://schemas.microsoft.com/office/drawing/2014/chart" uri="{C3380CC4-5D6E-409C-BE32-E72D297353CC}">
                    <c16:uniqueId val="{00000040-E3AE-4555-83FF-07A555BD67A2}"/>
                  </c:ext>
                </c:extLst>
              </c15:ser>
            </c15:filteredLineSeries>
            <c15:filteredLineSeries>
              <c15:ser>
                <c:idx val="65"/>
                <c:order val="65"/>
                <c:tx>
                  <c:strRef>
                    <c:extLst xmlns:c15="http://schemas.microsoft.com/office/drawing/2012/chart">
                      <c:ext xmlns:c15="http://schemas.microsoft.com/office/drawing/2012/chart" uri="{02D57815-91ED-43cb-92C2-25804820EDAC}">
                        <c15:formulaRef>
                          <c15:sqref>'Data LM'!$A$64</c15:sqref>
                        </c15:formulaRef>
                      </c:ext>
                    </c:extLst>
                    <c:strCache>
                      <c:ptCount val="1"/>
                      <c:pt idx="0">
                        <c:v>Vulnerable employment, total (% of total employment) (modeled ILO estimate)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LM'!$C$64:$X$64</c15:sqref>
                        </c15:formulaRef>
                      </c:ext>
                    </c:extLst>
                    <c:numCache>
                      <c:formatCode>0.0</c:formatCode>
                      <c:ptCount val="22"/>
                      <c:pt idx="0">
                        <c:v>59.989997863769503</c:v>
                      </c:pt>
                      <c:pt idx="1">
                        <c:v>61.530002593994197</c:v>
                      </c:pt>
                      <c:pt idx="2">
                        <c:v>62.960000991821303</c:v>
                      </c:pt>
                      <c:pt idx="3">
                        <c:v>64.280000686645508</c:v>
                      </c:pt>
                      <c:pt idx="4">
                        <c:v>65.049999237060504</c:v>
                      </c:pt>
                      <c:pt idx="5">
                        <c:v>65.670001983642493</c:v>
                      </c:pt>
                      <c:pt idx="6">
                        <c:v>66.640001296997099</c:v>
                      </c:pt>
                      <c:pt idx="7">
                        <c:v>64.93000030517581</c:v>
                      </c:pt>
                      <c:pt idx="8">
                        <c:v>63.950000762939503</c:v>
                      </c:pt>
                      <c:pt idx="9">
                        <c:v>62.510000228881907</c:v>
                      </c:pt>
                      <c:pt idx="10">
                        <c:v>60.75</c:v>
                      </c:pt>
                      <c:pt idx="11">
                        <c:v>59.020000457763601</c:v>
                      </c:pt>
                      <c:pt idx="12">
                        <c:v>57.559999465942298</c:v>
                      </c:pt>
                      <c:pt idx="13">
                        <c:v>56.0900011062622</c:v>
                      </c:pt>
                      <c:pt idx="14">
                        <c:v>54.720001220703097</c:v>
                      </c:pt>
                      <c:pt idx="15">
                        <c:v>53.319999694824226</c:v>
                      </c:pt>
                      <c:pt idx="16">
                        <c:v>52.050001144409144</c:v>
                      </c:pt>
                      <c:pt idx="17">
                        <c:v>51.110000610351591</c:v>
                      </c:pt>
                      <c:pt idx="18">
                        <c:v>50.100000381469741</c:v>
                      </c:pt>
                      <c:pt idx="19">
                        <c:v>49.100001335144015</c:v>
                      </c:pt>
                      <c:pt idx="20">
                        <c:v>0</c:v>
                      </c:pt>
                      <c:pt idx="21">
                        <c:v>0</c:v>
                      </c:pt>
                    </c:numCache>
                  </c:numRef>
                </c:val>
                <c:smooth val="0"/>
                <c:extLst xmlns:c15="http://schemas.microsoft.com/office/drawing/2012/chart">
                  <c:ext xmlns:c16="http://schemas.microsoft.com/office/drawing/2014/chart" uri="{C3380CC4-5D6E-409C-BE32-E72D297353CC}">
                    <c16:uniqueId val="{00000041-E3AE-4555-83FF-07A555BD67A2}"/>
                  </c:ext>
                </c:extLst>
              </c15:ser>
            </c15:filteredLineSeries>
            <c15:filteredLineSeries>
              <c15:ser>
                <c:idx val="66"/>
                <c:order val="66"/>
                <c:tx>
                  <c:strRef>
                    <c:extLst xmlns:c15="http://schemas.microsoft.com/office/drawing/2012/chart">
                      <c:ext xmlns:c15="http://schemas.microsoft.com/office/drawing/2012/chart" uri="{02D57815-91ED-43cb-92C2-25804820EDAC}">
                        <c15:formulaRef>
                          <c15:sqref>'Data LM'!$A$65</c15:sqref>
                        </c15:formulaRef>
                      </c:ext>
                    </c:extLst>
                    <c:strCache>
                      <c:ptCount val="1"/>
                      <c:pt idx="0">
                        <c:v>Wage and salaried workers, female (% of female employment) (modeled ILO estimate)</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LM'!$C$65:$X$65</c15:sqref>
                        </c15:formulaRef>
                      </c:ext>
                    </c:extLst>
                    <c:numCache>
                      <c:formatCode>0.0</c:formatCode>
                      <c:ptCount val="22"/>
                      <c:pt idx="0">
                        <c:v>20.440000534057599</c:v>
                      </c:pt>
                      <c:pt idx="1">
                        <c:v>20.680000305175799</c:v>
                      </c:pt>
                      <c:pt idx="2">
                        <c:v>20.9899997711182</c:v>
                      </c:pt>
                      <c:pt idx="3">
                        <c:v>21.100000381469702</c:v>
                      </c:pt>
                      <c:pt idx="4">
                        <c:v>21.389999389648398</c:v>
                      </c:pt>
                      <c:pt idx="5">
                        <c:v>21.590000152587901</c:v>
                      </c:pt>
                      <c:pt idx="6">
                        <c:v>21.549999237060501</c:v>
                      </c:pt>
                      <c:pt idx="7">
                        <c:v>23.459999084472699</c:v>
                      </c:pt>
                      <c:pt idx="8">
                        <c:v>25.090000152587901</c:v>
                      </c:pt>
                      <c:pt idx="9">
                        <c:v>26.930000305175799</c:v>
                      </c:pt>
                      <c:pt idx="10">
                        <c:v>28.819999694824201</c:v>
                      </c:pt>
                      <c:pt idx="11">
                        <c:v>30.809999465942401</c:v>
                      </c:pt>
                      <c:pt idx="12">
                        <c:v>32.639999389648402</c:v>
                      </c:pt>
                      <c:pt idx="13">
                        <c:v>34.409999847412102</c:v>
                      </c:pt>
                      <c:pt idx="14">
                        <c:v>36.099998474121101</c:v>
                      </c:pt>
                      <c:pt idx="15">
                        <c:v>37.790000915527301</c:v>
                      </c:pt>
                      <c:pt idx="16">
                        <c:v>39.389999389648402</c:v>
                      </c:pt>
                      <c:pt idx="17">
                        <c:v>40.540000915527301</c:v>
                      </c:pt>
                      <c:pt idx="18">
                        <c:v>41.659999847412102</c:v>
                      </c:pt>
                      <c:pt idx="19">
                        <c:v>42.7700004577637</c:v>
                      </c:pt>
                    </c:numCache>
                  </c:numRef>
                </c:val>
                <c:smooth val="0"/>
                <c:extLst xmlns:c15="http://schemas.microsoft.com/office/drawing/2012/chart">
                  <c:ext xmlns:c16="http://schemas.microsoft.com/office/drawing/2014/chart" uri="{C3380CC4-5D6E-409C-BE32-E72D297353CC}">
                    <c16:uniqueId val="{00000042-E3AE-4555-83FF-07A555BD67A2}"/>
                  </c:ext>
                </c:extLst>
              </c15:ser>
            </c15:filteredLineSeries>
            <c15:filteredLineSeries>
              <c15:ser>
                <c:idx val="67"/>
                <c:order val="67"/>
                <c:tx>
                  <c:strRef>
                    <c:extLst xmlns:c15="http://schemas.microsoft.com/office/drawing/2012/chart">
                      <c:ext xmlns:c15="http://schemas.microsoft.com/office/drawing/2012/chart" uri="{02D57815-91ED-43cb-92C2-25804820EDAC}">
                        <c15:formulaRef>
                          <c15:sqref>'Data LM'!$A$66</c15:sqref>
                        </c15:formulaRef>
                      </c:ext>
                    </c:extLst>
                    <c:strCache>
                      <c:ptCount val="1"/>
                      <c:pt idx="0">
                        <c:v>Wage and salaried workers, male (% of male employment) (modeled ILO estimate)</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LM'!$C$66:$X$66</c15:sqref>
                        </c15:formulaRef>
                      </c:ext>
                    </c:extLst>
                    <c:numCache>
                      <c:formatCode>0.0</c:formatCode>
                      <c:ptCount val="22"/>
                      <c:pt idx="0">
                        <c:v>46.529998779296903</c:v>
                      </c:pt>
                      <c:pt idx="1">
                        <c:v>45.25</c:v>
                      </c:pt>
                      <c:pt idx="2">
                        <c:v>43.840000152587898</c:v>
                      </c:pt>
                      <c:pt idx="3">
                        <c:v>42.509998321533203</c:v>
                      </c:pt>
                      <c:pt idx="4">
                        <c:v>41.810001373291001</c:v>
                      </c:pt>
                      <c:pt idx="5">
                        <c:v>41.2700004577637</c:v>
                      </c:pt>
                      <c:pt idx="6">
                        <c:v>40.360000610351598</c:v>
                      </c:pt>
                      <c:pt idx="7">
                        <c:v>42.549999237060497</c:v>
                      </c:pt>
                      <c:pt idx="8">
                        <c:v>43.580001831054702</c:v>
                      </c:pt>
                      <c:pt idx="9">
                        <c:v>45.099998474121101</c:v>
                      </c:pt>
                      <c:pt idx="10">
                        <c:v>47.130001068115199</c:v>
                      </c:pt>
                      <c:pt idx="11">
                        <c:v>48.9799995422363</c:v>
                      </c:pt>
                      <c:pt idx="12">
                        <c:v>50.419998168945298</c:v>
                      </c:pt>
                      <c:pt idx="13">
                        <c:v>51.849998474121101</c:v>
                      </c:pt>
                      <c:pt idx="14">
                        <c:v>53.150001525878899</c:v>
                      </c:pt>
                      <c:pt idx="15">
                        <c:v>54.419998168945298</c:v>
                      </c:pt>
                      <c:pt idx="16">
                        <c:v>55.540000915527301</c:v>
                      </c:pt>
                      <c:pt idx="17">
                        <c:v>56.409999847412102</c:v>
                      </c:pt>
                      <c:pt idx="18">
                        <c:v>57.419998168945298</c:v>
                      </c:pt>
                      <c:pt idx="19">
                        <c:v>58.369998931884801</c:v>
                      </c:pt>
                    </c:numCache>
                  </c:numRef>
                </c:val>
                <c:smooth val="0"/>
                <c:extLst xmlns:c15="http://schemas.microsoft.com/office/drawing/2012/chart">
                  <c:ext xmlns:c16="http://schemas.microsoft.com/office/drawing/2014/chart" uri="{C3380CC4-5D6E-409C-BE32-E72D297353CC}">
                    <c16:uniqueId val="{00000043-E3AE-4555-83FF-07A555BD67A2}"/>
                  </c:ext>
                </c:extLst>
              </c15:ser>
            </c15:filteredLineSeries>
            <c15:filteredLineSeries>
              <c15:ser>
                <c:idx val="68"/>
                <c:order val="68"/>
                <c:tx>
                  <c:strRef>
                    <c:extLst xmlns:c15="http://schemas.microsoft.com/office/drawing/2012/chart">
                      <c:ext xmlns:c15="http://schemas.microsoft.com/office/drawing/2012/chart" uri="{02D57815-91ED-43cb-92C2-25804820EDAC}">
                        <c15:formulaRef>
                          <c15:sqref>'Data LM'!$A$67</c15:sqref>
                        </c15:formulaRef>
                      </c:ext>
                    </c:extLst>
                    <c:strCache>
                      <c:ptCount val="1"/>
                      <c:pt idx="0">
                        <c:v>Wage and salaried workers, total (% of total employment) (modeled ILO estimate)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LM'!$C$1:$X$1</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c:ext xmlns:c15="http://schemas.microsoft.com/office/drawing/2012/chart" uri="{02D57815-91ED-43cb-92C2-25804820EDAC}">
                        <c15:formulaRef>
                          <c15:sqref>'Data LM'!$C$67:$X$67</c15:sqref>
                        </c15:formulaRef>
                      </c:ext>
                    </c:extLst>
                    <c:numCache>
                      <c:formatCode>0.0</c:formatCode>
                      <c:ptCount val="22"/>
                      <c:pt idx="0">
                        <c:v>33.709999084472699</c:v>
                      </c:pt>
                      <c:pt idx="1">
                        <c:v>33.2700004577637</c:v>
                      </c:pt>
                      <c:pt idx="2">
                        <c:v>32.779998779296903</c:v>
                      </c:pt>
                      <c:pt idx="3">
                        <c:v>32.240001678466797</c:v>
                      </c:pt>
                      <c:pt idx="4">
                        <c:v>32.110000610351598</c:v>
                      </c:pt>
                      <c:pt idx="5">
                        <c:v>32.009998321533203</c:v>
                      </c:pt>
                      <c:pt idx="6">
                        <c:v>31.4799995422363</c:v>
                      </c:pt>
                      <c:pt idx="7">
                        <c:v>33.5200004577637</c:v>
                      </c:pt>
                      <c:pt idx="8">
                        <c:v>34.790000915527301</c:v>
                      </c:pt>
                      <c:pt idx="9">
                        <c:v>36.439998626708999</c:v>
                      </c:pt>
                      <c:pt idx="10">
                        <c:v>38.389999389648402</c:v>
                      </c:pt>
                      <c:pt idx="11">
                        <c:v>40.279998779296903</c:v>
                      </c:pt>
                      <c:pt idx="12">
                        <c:v>41.880001068115199</c:v>
                      </c:pt>
                      <c:pt idx="13">
                        <c:v>43.450000762939503</c:v>
                      </c:pt>
                      <c:pt idx="14">
                        <c:v>44.919998168945298</c:v>
                      </c:pt>
                      <c:pt idx="15">
                        <c:v>46.380001068115199</c:v>
                      </c:pt>
                      <c:pt idx="16">
                        <c:v>47.709999084472699</c:v>
                      </c:pt>
                      <c:pt idx="17">
                        <c:v>48.680000305175803</c:v>
                      </c:pt>
                      <c:pt idx="18">
                        <c:v>49.709999084472699</c:v>
                      </c:pt>
                      <c:pt idx="19">
                        <c:v>50.7299995422363</c:v>
                      </c:pt>
                      <c:pt idx="20">
                        <c:v>0</c:v>
                      </c:pt>
                      <c:pt idx="21">
                        <c:v>0</c:v>
                      </c:pt>
                    </c:numCache>
                  </c:numRef>
                </c:val>
                <c:smooth val="0"/>
                <c:extLst xmlns:c15="http://schemas.microsoft.com/office/drawing/2012/chart">
                  <c:ext xmlns:c16="http://schemas.microsoft.com/office/drawing/2014/chart" uri="{C3380CC4-5D6E-409C-BE32-E72D297353CC}">
                    <c16:uniqueId val="{00000044-E3AE-4555-83FF-07A555BD67A2}"/>
                  </c:ext>
                </c:extLst>
              </c15:ser>
            </c15:filteredLineSeries>
          </c:ext>
        </c:extLst>
      </c:lineChart>
      <c:catAx>
        <c:axId val="183984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crossAx val="1839858480"/>
        <c:crosses val="autoZero"/>
        <c:auto val="1"/>
        <c:lblAlgn val="ctr"/>
        <c:lblOffset val="100"/>
        <c:noMultiLvlLbl val="0"/>
      </c:catAx>
      <c:valAx>
        <c:axId val="1839858480"/>
        <c:scaling>
          <c:orientation val="minMax"/>
          <c:max val="6.5"/>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crossAx val="183984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K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(b) Vulnerable employment (% of total employment)</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lineChart>
        <c:grouping val="standard"/>
        <c:varyColors val="0"/>
        <c:ser>
          <c:idx val="11"/>
          <c:order val="11"/>
          <c:tx>
            <c:strRef>
              <c:f>'Data LM'!#REF!</c:f>
              <c:strCache>
                <c:ptCount val="1"/>
                <c:pt idx="0">
                  <c:v>#REF!</c:v>
                </c:pt>
              </c:strCache>
              <c:extLst xmlns:c15="http://schemas.microsoft.com/office/drawing/2012/chart"/>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D-A1B9-4AF6-84C5-0202E4F52068}"/>
            </c:ext>
          </c:extLst>
        </c:ser>
        <c:ser>
          <c:idx val="12"/>
          <c:order val="12"/>
          <c:tx>
            <c:strRef>
              <c:f>'Data LM'!#REF!</c:f>
              <c:strCache>
                <c:ptCount val="1"/>
                <c:pt idx="0">
                  <c:v>#REF!</c:v>
                </c:pt>
              </c:strCache>
              <c:extLst xmlns:c15="http://schemas.microsoft.com/office/drawing/2012/chart"/>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E-A1B9-4AF6-84C5-0202E4F52068}"/>
            </c:ext>
          </c:extLst>
        </c:ser>
        <c:ser>
          <c:idx val="13"/>
          <c:order val="13"/>
          <c:tx>
            <c:strRef>
              <c:f>'Data LM'!#REF!</c:f>
              <c:strCache>
                <c:ptCount val="1"/>
                <c:pt idx="0">
                  <c:v>#REF!</c:v>
                </c:pt>
              </c:strCache>
              <c:extLst xmlns:c15="http://schemas.microsoft.com/office/drawing/2012/chart"/>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xmlns:c15="http://schemas.microsoft.com/office/drawing/2012/chart"/>
            </c:numRef>
          </c:cat>
          <c:val>
            <c:numRef>
              <c:f>'Data LM'!#REF!</c:f>
              <c:extLst xmlns:c15="http://schemas.microsoft.com/office/drawing/2012/chart"/>
            </c:numRef>
          </c:val>
          <c:smooth val="0"/>
          <c:extLst xmlns:c15="http://schemas.microsoft.com/office/drawing/2012/chart">
            <c:ext xmlns:c16="http://schemas.microsoft.com/office/drawing/2014/chart" uri="{C3380CC4-5D6E-409C-BE32-E72D297353CC}">
              <c16:uniqueId val="{0000000F-A1B9-4AF6-84C5-0202E4F52068}"/>
            </c:ext>
          </c:extLst>
        </c:ser>
        <c:ser>
          <c:idx val="63"/>
          <c:order val="63"/>
          <c:tx>
            <c:strRef>
              <c:f>'Data LM'!$A$62</c:f>
              <c:strCache>
                <c:ptCount val="1"/>
                <c:pt idx="0">
                  <c:v>Vulnerable employment, female (% of female employment) (modeled ILO estimate)</c:v>
                </c:pt>
              </c:strCache>
              <c:extLst xmlns:c15="http://schemas.microsoft.com/office/drawing/2012/chart"/>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LM'!$C$62:$V$62</c:f>
              <c:numCache>
                <c:formatCode>0.0</c:formatCode>
                <c:ptCount val="20"/>
                <c:pt idx="0">
                  <c:v>73.260000228881808</c:v>
                </c:pt>
                <c:pt idx="1">
                  <c:v>74.3399982452393</c:v>
                </c:pt>
                <c:pt idx="2">
                  <c:v>75.120000839233398</c:v>
                </c:pt>
                <c:pt idx="3">
                  <c:v>75.889999389648509</c:v>
                </c:pt>
                <c:pt idx="4">
                  <c:v>76.279998779296903</c:v>
                </c:pt>
                <c:pt idx="5">
                  <c:v>76.619998931884695</c:v>
                </c:pt>
                <c:pt idx="6">
                  <c:v>77.080001831054602</c:v>
                </c:pt>
                <c:pt idx="7">
                  <c:v>75.439998626708999</c:v>
                </c:pt>
                <c:pt idx="8">
                  <c:v>74.040000915527301</c:v>
                </c:pt>
                <c:pt idx="9">
                  <c:v>72.369998931884695</c:v>
                </c:pt>
                <c:pt idx="10">
                  <c:v>70.610002517700195</c:v>
                </c:pt>
                <c:pt idx="11">
                  <c:v>68.740001678466797</c:v>
                </c:pt>
                <c:pt idx="12">
                  <c:v>67</c:v>
                </c:pt>
                <c:pt idx="13">
                  <c:v>65.310001373291001</c:v>
                </c:pt>
                <c:pt idx="14">
                  <c:v>63.679999351501394</c:v>
                </c:pt>
                <c:pt idx="15">
                  <c:v>62.039999008178697</c:v>
                </c:pt>
                <c:pt idx="16">
                  <c:v>60.470000267028801</c:v>
                </c:pt>
                <c:pt idx="17">
                  <c:v>59.3400011062622</c:v>
                </c:pt>
                <c:pt idx="18">
                  <c:v>58.2299995422363</c:v>
                </c:pt>
                <c:pt idx="19">
                  <c:v>57.130001068115199</c:v>
                </c:pt>
              </c:numCache>
              <c:extLst/>
            </c:numRef>
          </c:val>
          <c:smooth val="0"/>
          <c:extLst xmlns:c15="http://schemas.microsoft.com/office/drawing/2012/chart">
            <c:ext xmlns:c16="http://schemas.microsoft.com/office/drawing/2014/chart" uri="{C3380CC4-5D6E-409C-BE32-E72D297353CC}">
              <c16:uniqueId val="{00000000-A1B9-4AF6-84C5-0202E4F52068}"/>
            </c:ext>
          </c:extLst>
        </c:ser>
        <c:ser>
          <c:idx val="64"/>
          <c:order val="64"/>
          <c:tx>
            <c:strRef>
              <c:f>'Data LM'!$A$63</c:f>
              <c:strCache>
                <c:ptCount val="1"/>
                <c:pt idx="0">
                  <c:v>Vulnerable employment, male (% of male employment) (modeled ILO estimate)</c:v>
                </c:pt>
              </c:strCache>
              <c:extLst xmlns:c15="http://schemas.microsoft.com/office/drawing/2012/chart"/>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f>'Data LM'!$C$1:$V$1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extLst/>
            </c:numRef>
          </c:cat>
          <c:val>
            <c:numRef>
              <c:f>'Data LM'!$C$63:$V$63</c:f>
              <c:numCache>
                <c:formatCode>0.0</c:formatCode>
                <c:ptCount val="20"/>
                <c:pt idx="0">
                  <c:v>47.159999847412095</c:v>
                </c:pt>
                <c:pt idx="1">
                  <c:v>49.340000152587905</c:v>
                </c:pt>
                <c:pt idx="2">
                  <c:v>51.539999008178697</c:v>
                </c:pt>
                <c:pt idx="3">
                  <c:v>53.590000152587805</c:v>
                </c:pt>
                <c:pt idx="4">
                  <c:v>54.890001296997099</c:v>
                </c:pt>
                <c:pt idx="5">
                  <c:v>55.949998855590898</c:v>
                </c:pt>
                <c:pt idx="6">
                  <c:v>57.289999008178704</c:v>
                </c:pt>
                <c:pt idx="7">
                  <c:v>55.5</c:v>
                </c:pt>
                <c:pt idx="8">
                  <c:v>54.820001602172795</c:v>
                </c:pt>
                <c:pt idx="9">
                  <c:v>53.5599975585938</c:v>
                </c:pt>
                <c:pt idx="10">
                  <c:v>51.749999046325698</c:v>
                </c:pt>
                <c:pt idx="11">
                  <c:v>50.100000381469805</c:v>
                </c:pt>
                <c:pt idx="12">
                  <c:v>48.8300008773804</c:v>
                </c:pt>
                <c:pt idx="13">
                  <c:v>47.53000164031981</c:v>
                </c:pt>
                <c:pt idx="14">
                  <c:v>46.349999427795453</c:v>
                </c:pt>
                <c:pt idx="15">
                  <c:v>45.170001983642592</c:v>
                </c:pt>
                <c:pt idx="16">
                  <c:v>44.120000362396262</c:v>
                </c:pt>
                <c:pt idx="17">
                  <c:v>43.300001621246338</c:v>
                </c:pt>
                <c:pt idx="18">
                  <c:v>42.310001850128174</c:v>
                </c:pt>
                <c:pt idx="19">
                  <c:v>41.380000114440925</c:v>
                </c:pt>
              </c:numCache>
              <c:extLst/>
            </c:numRef>
          </c:val>
          <c:smooth val="0"/>
          <c:extLst xmlns:c15="http://schemas.microsoft.com/office/drawing/2012/chart">
            <c:ext xmlns:c16="http://schemas.microsoft.com/office/drawing/2014/chart" uri="{C3380CC4-5D6E-409C-BE32-E72D297353CC}">
              <c16:uniqueId val="{00000001-A1B9-4AF6-84C5-0202E4F52068}"/>
            </c:ext>
          </c:extLst>
        </c:ser>
        <c:dLbls>
          <c:showLegendKey val="0"/>
          <c:showVal val="0"/>
          <c:showCatName val="0"/>
          <c:showSerName val="0"/>
          <c:showPercent val="0"/>
          <c:showBubbleSize val="0"/>
        </c:dLbls>
        <c:marker val="1"/>
        <c:smooth val="0"/>
        <c:axId val="1839849744"/>
        <c:axId val="1839858480"/>
        <c:extLst>
          <c:ext xmlns:c15="http://schemas.microsoft.com/office/drawing/2012/chart" uri="{02D57815-91ED-43cb-92C2-25804820EDAC}">
            <c15:filteredLineSeries>
              <c15:ser>
                <c:idx val="0"/>
                <c:order val="0"/>
                <c:tx>
                  <c:strRef>
                    <c:extLst>
                      <c:ext uri="{02D57815-91ED-43cb-92C2-25804820EDAC}">
                        <c15:formulaRef>
                          <c15:sqref>'Data LM'!$A$2</c15:sqref>
                        </c15:formulaRef>
                      </c:ext>
                    </c:extLst>
                    <c:strCache>
                      <c:ptCount val="1"/>
                      <c:pt idx="0">
                        <c:v>Employment in agriculture (% of total employment) (modeled ILO estimate)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'Data LM'!$C$2:$V$2</c15:sqref>
                        </c15:formulaRef>
                      </c:ext>
                    </c:extLst>
                    <c:numCache>
                      <c:formatCode>0.0</c:formatCode>
                      <c:ptCount val="20"/>
                      <c:pt idx="0">
                        <c:v>48.7299995422363</c:v>
                      </c:pt>
                      <c:pt idx="1">
                        <c:v>51.5</c:v>
                      </c:pt>
                      <c:pt idx="2">
                        <c:v>54.279998779296903</c:v>
                      </c:pt>
                      <c:pt idx="3">
                        <c:v>56.759998321533203</c:v>
                      </c:pt>
                      <c:pt idx="4">
                        <c:v>58.930000305175803</c:v>
                      </c:pt>
                      <c:pt idx="5">
                        <c:v>61.060001373291001</c:v>
                      </c:pt>
                      <c:pt idx="6">
                        <c:v>61.139999389648402</c:v>
                      </c:pt>
                      <c:pt idx="7">
                        <c:v>60.970001220703097</c:v>
                      </c:pt>
                      <c:pt idx="8">
                        <c:v>61.110000610351598</c:v>
                      </c:pt>
                      <c:pt idx="9">
                        <c:v>60.939998626708999</c:v>
                      </c:pt>
                      <c:pt idx="10">
                        <c:v>60.319999694824197</c:v>
                      </c:pt>
                      <c:pt idx="11">
                        <c:v>59.740001678466797</c:v>
                      </c:pt>
                      <c:pt idx="12">
                        <c:v>59.220001220703097</c:v>
                      </c:pt>
                      <c:pt idx="13">
                        <c:v>58.590000152587898</c:v>
                      </c:pt>
                      <c:pt idx="14">
                        <c:v>57.939998626708999</c:v>
                      </c:pt>
                      <c:pt idx="15">
                        <c:v>57.259998321533203</c:v>
                      </c:pt>
                      <c:pt idx="16">
                        <c:v>56.529998779296903</c:v>
                      </c:pt>
                      <c:pt idx="17">
                        <c:v>55.860000610351598</c:v>
                      </c:pt>
                      <c:pt idx="18">
                        <c:v>55.080001831054702</c:v>
                      </c:pt>
                      <c:pt idx="19">
                        <c:v>54.340000152587898</c:v>
                      </c:pt>
                    </c:numCache>
                  </c:numRef>
                </c:val>
                <c:smooth val="0"/>
                <c:extLst>
                  <c:ext xmlns:c16="http://schemas.microsoft.com/office/drawing/2014/chart" uri="{C3380CC4-5D6E-409C-BE32-E72D297353CC}">
                    <c16:uniqueId val="{00000002-A1B9-4AF6-84C5-0202E4F5206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'Data LM'!$A$3</c15:sqref>
                        </c15:formulaRef>
                      </c:ext>
                    </c:extLst>
                    <c:strCache>
                      <c:ptCount val="1"/>
                      <c:pt idx="0">
                        <c:v>Agriculture modeled ILO estimate)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LM'!$C$3:$V$3</c15:sqref>
                        </c15:formulaRef>
                      </c:ext>
                    </c:extLst>
                    <c:numCache>
                      <c:formatCode>0.0</c:formatCode>
                      <c:ptCount val="20"/>
                      <c:pt idx="0">
                        <c:v>57.740001678466797</c:v>
                      </c:pt>
                      <c:pt idx="1">
                        <c:v>60.290000915527301</c:v>
                      </c:pt>
                      <c:pt idx="2">
                        <c:v>62.599998474121101</c:v>
                      </c:pt>
                      <c:pt idx="3">
                        <c:v>64.660003662109403</c:v>
                      </c:pt>
                      <c:pt idx="4">
                        <c:v>66.459999084472699</c:v>
                      </c:pt>
                      <c:pt idx="5">
                        <c:v>68.110000610351605</c:v>
                      </c:pt>
                      <c:pt idx="6">
                        <c:v>68.330001831054702</c:v>
                      </c:pt>
                      <c:pt idx="7">
                        <c:v>68.129997253417997</c:v>
                      </c:pt>
                      <c:pt idx="8">
                        <c:v>67.879997253417997</c:v>
                      </c:pt>
                      <c:pt idx="9">
                        <c:v>67.449996948242202</c:v>
                      </c:pt>
                      <c:pt idx="10">
                        <c:v>66.790000915527301</c:v>
                      </c:pt>
                      <c:pt idx="11">
                        <c:v>66.069999694824205</c:v>
                      </c:pt>
                      <c:pt idx="12">
                        <c:v>65.360000610351605</c:v>
                      </c:pt>
                      <c:pt idx="13">
                        <c:v>64.589996337890597</c:v>
                      </c:pt>
                      <c:pt idx="14">
                        <c:v>63.779998779296903</c:v>
                      </c:pt>
                      <c:pt idx="15">
                        <c:v>62.919998168945298</c:v>
                      </c:pt>
                      <c:pt idx="16">
                        <c:v>62.049999237060497</c:v>
                      </c:pt>
                      <c:pt idx="17">
                        <c:v>61.150001525878899</c:v>
                      </c:pt>
                      <c:pt idx="18">
                        <c:v>60.240001678466797</c:v>
                      </c:pt>
                      <c:pt idx="19">
                        <c:v>59.340000152587898</c:v>
                      </c:pt>
                    </c:numCache>
                  </c:numRef>
                </c:val>
                <c:smooth val="0"/>
                <c:extLst xmlns:c15="http://schemas.microsoft.com/office/drawing/2012/chart">
                  <c:ext xmlns:c16="http://schemas.microsoft.com/office/drawing/2014/chart" uri="{C3380CC4-5D6E-409C-BE32-E72D297353CC}">
                    <c16:uniqueId val="{00000003-A1B9-4AF6-84C5-0202E4F520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'Data LM'!$A$4</c15:sqref>
                        </c15:formulaRef>
                      </c:ext>
                    </c:extLst>
                    <c:strCache>
                      <c:ptCount val="1"/>
                      <c:pt idx="0">
                        <c:v>Agriculture modeled ILO estimate)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LM'!$C$4:$V$4</c15:sqref>
                        </c15:formulaRef>
                      </c:ext>
                    </c:extLst>
                    <c:numCache>
                      <c:formatCode>0.0</c:formatCode>
                      <c:ptCount val="20"/>
                      <c:pt idx="0">
                        <c:v>40.009998321533203</c:v>
                      </c:pt>
                      <c:pt idx="1">
                        <c:v>43.130001068115199</c:v>
                      </c:pt>
                      <c:pt idx="2">
                        <c:v>46.470001220703097</c:v>
                      </c:pt>
                      <c:pt idx="3">
                        <c:v>49.4799995422363</c:v>
                      </c:pt>
                      <c:pt idx="4">
                        <c:v>52.110000610351598</c:v>
                      </c:pt>
                      <c:pt idx="5">
                        <c:v>54.799999237060497</c:v>
                      </c:pt>
                      <c:pt idx="6">
                        <c:v>54.720001220703097</c:v>
                      </c:pt>
                      <c:pt idx="7">
                        <c:v>54.540000915527301</c:v>
                      </c:pt>
                      <c:pt idx="8">
                        <c:v>54.9799995422363</c:v>
                      </c:pt>
                      <c:pt idx="9">
                        <c:v>55.009998321533203</c:v>
                      </c:pt>
                      <c:pt idx="10">
                        <c:v>54.409999847412102</c:v>
                      </c:pt>
                      <c:pt idx="11">
                        <c:v>53.919998168945298</c:v>
                      </c:pt>
                      <c:pt idx="12">
                        <c:v>53.540000915527301</c:v>
                      </c:pt>
                      <c:pt idx="13">
                        <c:v>53.009998321533203</c:v>
                      </c:pt>
                      <c:pt idx="14">
                        <c:v>52.5</c:v>
                      </c:pt>
                      <c:pt idx="15">
                        <c:v>51.939998626708999</c:v>
                      </c:pt>
                      <c:pt idx="16">
                        <c:v>51.330001831054702</c:v>
                      </c:pt>
                      <c:pt idx="17">
                        <c:v>50.830001831054702</c:v>
                      </c:pt>
                      <c:pt idx="18">
                        <c:v>50.139999389648402</c:v>
                      </c:pt>
                      <c:pt idx="19">
                        <c:v>49.549999237060497</c:v>
                      </c:pt>
                    </c:numCache>
                  </c:numRef>
                </c:val>
                <c:smooth val="0"/>
                <c:extLst xmlns:c15="http://schemas.microsoft.com/office/drawing/2012/chart">
                  <c:ext xmlns:c16="http://schemas.microsoft.com/office/drawing/2014/chart" uri="{C3380CC4-5D6E-409C-BE32-E72D297353CC}">
                    <c16:uniqueId val="{00000004-A1B9-4AF6-84C5-0202E4F520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'Data LM'!$A$5</c15:sqref>
                        </c15:formulaRef>
                      </c:ext>
                    </c:extLst>
                    <c:strCache>
                      <c:ptCount val="1"/>
                      <c:pt idx="0">
                        <c:v>Employment in industry (% of total employment) (modeled ILO estimate)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LM'!$C$5:$V$5</c15:sqref>
                        </c15:formulaRef>
                      </c:ext>
                    </c:extLst>
                    <c:numCache>
                      <c:formatCode>0.0</c:formatCode>
                      <c:ptCount val="20"/>
                      <c:pt idx="0">
                        <c:v>11.569999694824199</c:v>
                      </c:pt>
                      <c:pt idx="1">
                        <c:v>10.189999580383301</c:v>
                      </c:pt>
                      <c:pt idx="2">
                        <c:v>9.0500001907348597</c:v>
                      </c:pt>
                      <c:pt idx="3">
                        <c:v>8.0900001525878906</c:v>
                      </c:pt>
                      <c:pt idx="4">
                        <c:v>7.3400001525878897</c:v>
                      </c:pt>
                      <c:pt idx="5">
                        <c:v>6.6999998092651403</c:v>
                      </c:pt>
                      <c:pt idx="6">
                        <c:v>6.46000003814697</c:v>
                      </c:pt>
                      <c:pt idx="7">
                        <c:v>6.28999996185303</c:v>
                      </c:pt>
                      <c:pt idx="8">
                        <c:v>6.1300001144409197</c:v>
                      </c:pt>
                      <c:pt idx="9">
                        <c:v>6.03999996185303</c:v>
                      </c:pt>
                      <c:pt idx="10">
                        <c:v>6.0100002288818404</c:v>
                      </c:pt>
                      <c:pt idx="11">
                        <c:v>6.0100002288818404</c:v>
                      </c:pt>
                      <c:pt idx="12">
                        <c:v>6.0100002288818404</c:v>
                      </c:pt>
                      <c:pt idx="13">
                        <c:v>6.0300002098083496</c:v>
                      </c:pt>
                      <c:pt idx="14">
                        <c:v>6.0599999427795401</c:v>
                      </c:pt>
                      <c:pt idx="15">
                        <c:v>6.0900001525878897</c:v>
                      </c:pt>
                      <c:pt idx="16">
                        <c:v>6.1300001144409197</c:v>
                      </c:pt>
                      <c:pt idx="17">
                        <c:v>6.1599998474121103</c:v>
                      </c:pt>
                      <c:pt idx="18">
                        <c:v>6.1900000572204599</c:v>
                      </c:pt>
                      <c:pt idx="19">
                        <c:v>6.2199997901916504</c:v>
                      </c:pt>
                    </c:numCache>
                  </c:numRef>
                </c:val>
                <c:smooth val="0"/>
                <c:extLst xmlns:c15="http://schemas.microsoft.com/office/drawing/2012/chart">
                  <c:ext xmlns:c16="http://schemas.microsoft.com/office/drawing/2014/chart" uri="{C3380CC4-5D6E-409C-BE32-E72D297353CC}">
                    <c16:uniqueId val="{00000005-A1B9-4AF6-84C5-0202E4F520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'Data LM'!$A$6</c15:sqref>
                        </c15:formulaRef>
                      </c:ext>
                    </c:extLst>
                    <c:strCache>
                      <c:ptCount val="1"/>
                      <c:pt idx="0">
                        <c:v>Industry (modeled ILO estimate)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LM'!$C$6:$V$6</c15:sqref>
                        </c15:formulaRef>
                      </c:ext>
                    </c:extLst>
                    <c:numCache>
                      <c:formatCode>0.0</c:formatCode>
                      <c:ptCount val="20"/>
                      <c:pt idx="0">
                        <c:v>6.5599999427795401</c:v>
                      </c:pt>
                      <c:pt idx="1">
                        <c:v>5.25</c:v>
                      </c:pt>
                      <c:pt idx="2">
                        <c:v>4.2600002288818404</c:v>
                      </c:pt>
                      <c:pt idx="3">
                        <c:v>3.4400000572204599</c:v>
                      </c:pt>
                      <c:pt idx="4">
                        <c:v>2.7999999523162802</c:v>
                      </c:pt>
                      <c:pt idx="5">
                        <c:v>2.28999996185303</c:v>
                      </c:pt>
                      <c:pt idx="6">
                        <c:v>2.0899999141693102</c:v>
                      </c:pt>
                      <c:pt idx="7">
                        <c:v>1.9400000572204601</c:v>
                      </c:pt>
                      <c:pt idx="8">
                        <c:v>1.8500000238418599</c:v>
                      </c:pt>
                      <c:pt idx="9">
                        <c:v>1.7799999713897701</c:v>
                      </c:pt>
                      <c:pt idx="10">
                        <c:v>1.7200000286102299</c:v>
                      </c:pt>
                      <c:pt idx="11">
                        <c:v>1.6900000572204601</c:v>
                      </c:pt>
                      <c:pt idx="12">
                        <c:v>1.66999995708466</c:v>
                      </c:pt>
                      <c:pt idx="13">
                        <c:v>1.6499999761581401</c:v>
                      </c:pt>
                      <c:pt idx="14">
                        <c:v>1.6399999856948899</c:v>
                      </c:pt>
                      <c:pt idx="15">
                        <c:v>1.62999999523163</c:v>
                      </c:pt>
                      <c:pt idx="16">
                        <c:v>1.62999999523163</c:v>
                      </c:pt>
                      <c:pt idx="17">
                        <c:v>1.62000000476837</c:v>
                      </c:pt>
                      <c:pt idx="18">
                        <c:v>1.62000000476837</c:v>
                      </c:pt>
                      <c:pt idx="19">
                        <c:v>1.62000000476837</c:v>
                      </c:pt>
                    </c:numCache>
                  </c:numRef>
                </c:val>
                <c:smooth val="0"/>
                <c:extLst xmlns:c15="http://schemas.microsoft.com/office/drawing/2012/chart">
                  <c:ext xmlns:c16="http://schemas.microsoft.com/office/drawing/2014/chart" uri="{C3380CC4-5D6E-409C-BE32-E72D297353CC}">
                    <c16:uniqueId val="{00000006-A1B9-4AF6-84C5-0202E4F5206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'Data LM'!$A$7</c15:sqref>
                        </c15:formulaRef>
                      </c:ext>
                    </c:extLst>
                    <c:strCache>
                      <c:ptCount val="1"/>
                      <c:pt idx="0">
                        <c:v>Industry (modeled ILO estimate)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LM'!$C$7:$V$7</c15:sqref>
                        </c15:formulaRef>
                      </c:ext>
                    </c:extLst>
                    <c:numCache>
                      <c:formatCode>0.0</c:formatCode>
                      <c:ptCount val="20"/>
                      <c:pt idx="0">
                        <c:v>16.420000076293899</c:v>
                      </c:pt>
                      <c:pt idx="1">
                        <c:v>14.8900003433228</c:v>
                      </c:pt>
                      <c:pt idx="2">
                        <c:v>13.539999961853001</c:v>
                      </c:pt>
                      <c:pt idx="3">
                        <c:v>12.3800001144409</c:v>
                      </c:pt>
                      <c:pt idx="4">
                        <c:v>11.449999809265099</c:v>
                      </c:pt>
                      <c:pt idx="5">
                        <c:v>10.6199998855591</c:v>
                      </c:pt>
                      <c:pt idx="6">
                        <c:v>10.3699998855591</c:v>
                      </c:pt>
                      <c:pt idx="7">
                        <c:v>10.189999580383301</c:v>
                      </c:pt>
                      <c:pt idx="8">
                        <c:v>10.0100002288818</c:v>
                      </c:pt>
                      <c:pt idx="9">
                        <c:v>9.9099998474121094</c:v>
                      </c:pt>
                      <c:pt idx="10">
                        <c:v>9.9200000762939506</c:v>
                      </c:pt>
                      <c:pt idx="11">
                        <c:v>9.9700002670288104</c:v>
                      </c:pt>
                      <c:pt idx="12">
                        <c:v>10.0200004577637</c:v>
                      </c:pt>
                      <c:pt idx="13">
                        <c:v>10.1000003814697</c:v>
                      </c:pt>
                      <c:pt idx="14">
                        <c:v>10.180000305175801</c:v>
                      </c:pt>
                      <c:pt idx="15">
                        <c:v>10.2799997329712</c:v>
                      </c:pt>
                      <c:pt idx="16">
                        <c:v>10.3800001144409</c:v>
                      </c:pt>
                      <c:pt idx="17">
                        <c:v>10.4700002670288</c:v>
                      </c:pt>
                      <c:pt idx="18">
                        <c:v>10.579999923706101</c:v>
                      </c:pt>
                      <c:pt idx="19">
                        <c:v>10.6300001144409</c:v>
                      </c:pt>
                    </c:numCache>
                  </c:numRef>
                </c:val>
                <c:smooth val="0"/>
                <c:extLst xmlns:c15="http://schemas.microsoft.com/office/drawing/2012/chart">
                  <c:ext xmlns:c16="http://schemas.microsoft.com/office/drawing/2014/chart" uri="{C3380CC4-5D6E-409C-BE32-E72D297353CC}">
                    <c16:uniqueId val="{00000007-A1B9-4AF6-84C5-0202E4F5206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'Data LM'!$A$8</c15:sqref>
                        </c15:formulaRef>
                      </c:ext>
                    </c:extLst>
                    <c:strCache>
                      <c:ptCount val="1"/>
                      <c:pt idx="0">
                        <c:v>Employment in services (% of total employment) (modeled ILO estimate)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LM'!$C$8:$V$8</c15:sqref>
                        </c15:formulaRef>
                      </c:ext>
                    </c:extLst>
                    <c:numCache>
                      <c:formatCode>0.0</c:formatCode>
                      <c:ptCount val="20"/>
                      <c:pt idx="0">
                        <c:v>39.700000762939503</c:v>
                      </c:pt>
                      <c:pt idx="1">
                        <c:v>38.319999694824197</c:v>
                      </c:pt>
                      <c:pt idx="2">
                        <c:v>36.669998168945298</c:v>
                      </c:pt>
                      <c:pt idx="3">
                        <c:v>35.150001525878899</c:v>
                      </c:pt>
                      <c:pt idx="4">
                        <c:v>33.7299995422363</c:v>
                      </c:pt>
                      <c:pt idx="5">
                        <c:v>32.240001678466797</c:v>
                      </c:pt>
                      <c:pt idx="6">
                        <c:v>32.400001525878899</c:v>
                      </c:pt>
                      <c:pt idx="7">
                        <c:v>32.740001678466797</c:v>
                      </c:pt>
                      <c:pt idx="8">
                        <c:v>32.7700004577637</c:v>
                      </c:pt>
                      <c:pt idx="9">
                        <c:v>33.029998779296903</c:v>
                      </c:pt>
                      <c:pt idx="10">
                        <c:v>33.680000305175803</c:v>
                      </c:pt>
                      <c:pt idx="11">
                        <c:v>34.25</c:v>
                      </c:pt>
                      <c:pt idx="12">
                        <c:v>34.7700004577637</c:v>
                      </c:pt>
                      <c:pt idx="13">
                        <c:v>35.380001068115199</c:v>
                      </c:pt>
                      <c:pt idx="14">
                        <c:v>36</c:v>
                      </c:pt>
                      <c:pt idx="15">
                        <c:v>36.650001525878899</c:v>
                      </c:pt>
                      <c:pt idx="16">
                        <c:v>37.330001831054702</c:v>
                      </c:pt>
                      <c:pt idx="17">
                        <c:v>37.9799995422363</c:v>
                      </c:pt>
                      <c:pt idx="18">
                        <c:v>38.7299995422363</c:v>
                      </c:pt>
                      <c:pt idx="19">
                        <c:v>39.439998626708999</c:v>
                      </c:pt>
                    </c:numCache>
                  </c:numRef>
                </c:val>
                <c:smooth val="0"/>
                <c:extLst xmlns:c15="http://schemas.microsoft.com/office/drawing/2012/chart">
                  <c:ext xmlns:c16="http://schemas.microsoft.com/office/drawing/2014/chart" uri="{C3380CC4-5D6E-409C-BE32-E72D297353CC}">
                    <c16:uniqueId val="{00000008-A1B9-4AF6-84C5-0202E4F5206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'Data LM'!$A$9</c15:sqref>
                        </c15:formulaRef>
                      </c:ext>
                    </c:extLst>
                    <c:strCache>
                      <c:ptCount val="1"/>
                      <c:pt idx="0">
                        <c:v>Services (modeled ILO estimate)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LM'!$C$9:$V$9</c15:sqref>
                        </c15:formulaRef>
                      </c:ext>
                    </c:extLst>
                    <c:numCache>
                      <c:formatCode>0.0</c:formatCode>
                      <c:ptCount val="20"/>
                      <c:pt idx="0">
                        <c:v>35.700000762939503</c:v>
                      </c:pt>
                      <c:pt idx="1">
                        <c:v>34.470001220703097</c:v>
                      </c:pt>
                      <c:pt idx="2">
                        <c:v>33.130001068115199</c:v>
                      </c:pt>
                      <c:pt idx="3">
                        <c:v>31.899999618530298</c:v>
                      </c:pt>
                      <c:pt idx="4">
                        <c:v>30.7399997711182</c:v>
                      </c:pt>
                      <c:pt idx="5">
                        <c:v>29.590000152587901</c:v>
                      </c:pt>
                      <c:pt idx="6">
                        <c:v>29.590000152587901</c:v>
                      </c:pt>
                      <c:pt idx="7">
                        <c:v>29.930000305175799</c:v>
                      </c:pt>
                      <c:pt idx="8">
                        <c:v>30.280000686645501</c:v>
                      </c:pt>
                      <c:pt idx="9">
                        <c:v>30.7700004577637</c:v>
                      </c:pt>
                      <c:pt idx="10">
                        <c:v>31.4899997711182</c:v>
                      </c:pt>
                      <c:pt idx="11">
                        <c:v>32.2299995422363</c:v>
                      </c:pt>
                      <c:pt idx="12">
                        <c:v>32.970001220703097</c:v>
                      </c:pt>
                      <c:pt idx="13">
                        <c:v>33.759998321533203</c:v>
                      </c:pt>
                      <c:pt idx="14">
                        <c:v>34.580001831054702</c:v>
                      </c:pt>
                      <c:pt idx="15">
                        <c:v>35.450000762939503</c:v>
                      </c:pt>
                      <c:pt idx="16">
                        <c:v>36.319999694824197</c:v>
                      </c:pt>
                      <c:pt idx="17">
                        <c:v>37.2299995422363</c:v>
                      </c:pt>
                      <c:pt idx="18">
                        <c:v>38.139999389648402</c:v>
                      </c:pt>
                      <c:pt idx="19">
                        <c:v>39.040000915527301</c:v>
                      </c:pt>
                    </c:numCache>
                  </c:numRef>
                </c:val>
                <c:smooth val="0"/>
                <c:extLst xmlns:c15="http://schemas.microsoft.com/office/drawing/2012/chart">
                  <c:ext xmlns:c16="http://schemas.microsoft.com/office/drawing/2014/chart" uri="{C3380CC4-5D6E-409C-BE32-E72D297353CC}">
                    <c16:uniqueId val="{00000009-A1B9-4AF6-84C5-0202E4F5206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'Data LM'!$A$10</c15:sqref>
                        </c15:formulaRef>
                      </c:ext>
                    </c:extLst>
                    <c:strCache>
                      <c:ptCount val="1"/>
                      <c:pt idx="0">
                        <c:v>Services (modeled ILO estimate)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LM'!$C$10:$V$10</c15:sqref>
                        </c15:formulaRef>
                      </c:ext>
                    </c:extLst>
                    <c:numCache>
                      <c:formatCode>0.0</c:formatCode>
                      <c:ptCount val="20"/>
                      <c:pt idx="0">
                        <c:v>43.569999694824197</c:v>
                      </c:pt>
                      <c:pt idx="1">
                        <c:v>41.9799995422363</c:v>
                      </c:pt>
                      <c:pt idx="2">
                        <c:v>39.990001678466797</c:v>
                      </c:pt>
                      <c:pt idx="3">
                        <c:v>38.139999389648402</c:v>
                      </c:pt>
                      <c:pt idx="4">
                        <c:v>36.439998626708999</c:v>
                      </c:pt>
                      <c:pt idx="5">
                        <c:v>34.590000152587898</c:v>
                      </c:pt>
                      <c:pt idx="6">
                        <c:v>34.909999847412102</c:v>
                      </c:pt>
                      <c:pt idx="7">
                        <c:v>35.2700004577637</c:v>
                      </c:pt>
                      <c:pt idx="8">
                        <c:v>35.0200004577637</c:v>
                      </c:pt>
                      <c:pt idx="9">
                        <c:v>35.080001831054702</c:v>
                      </c:pt>
                      <c:pt idx="10">
                        <c:v>35.680000305175803</c:v>
                      </c:pt>
                      <c:pt idx="11">
                        <c:v>36.110000610351598</c:v>
                      </c:pt>
                      <c:pt idx="12">
                        <c:v>36.439998626708999</c:v>
                      </c:pt>
                      <c:pt idx="13">
                        <c:v>36.889999389648402</c:v>
                      </c:pt>
                      <c:pt idx="14">
                        <c:v>37.319999694824197</c:v>
                      </c:pt>
                      <c:pt idx="15">
                        <c:v>37.779998779296903</c:v>
                      </c:pt>
                      <c:pt idx="16">
                        <c:v>38.290000915527301</c:v>
                      </c:pt>
                      <c:pt idx="17">
                        <c:v>38.700000762939503</c:v>
                      </c:pt>
                      <c:pt idx="18">
                        <c:v>39.290000915527301</c:v>
                      </c:pt>
                      <c:pt idx="19">
                        <c:v>39.819999694824197</c:v>
                      </c:pt>
                    </c:numCache>
                  </c:numRef>
                </c:val>
                <c:smooth val="0"/>
                <c:extLst xmlns:c15="http://schemas.microsoft.com/office/drawing/2012/chart">
                  <c:ext xmlns:c16="http://schemas.microsoft.com/office/drawing/2014/chart" uri="{C3380CC4-5D6E-409C-BE32-E72D297353CC}">
                    <c16:uniqueId val="{0000000A-A1B9-4AF6-84C5-0202E4F5206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'Data LM'!$A$11</c15:sqref>
                        </c15:formulaRef>
                      </c:ext>
                    </c:extLst>
                    <c:strCache>
                      <c:ptCount val="1"/>
                      <c:pt idx="0">
                        <c:v>Employment to population ratio, 15+, total (%) (modeled ILO estimate)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LM'!$C$11:$V$11</c15:sqref>
                        </c15:formulaRef>
                      </c:ext>
                    </c:extLst>
                    <c:numCache>
                      <c:formatCode>0.0</c:formatCode>
                      <c:ptCount val="20"/>
                      <c:pt idx="0">
                        <c:v>70.320999145507798</c:v>
                      </c:pt>
                      <c:pt idx="1">
                        <c:v>70.461997985839801</c:v>
                      </c:pt>
                      <c:pt idx="2">
                        <c:v>70.573997497558594</c:v>
                      </c:pt>
                      <c:pt idx="3">
                        <c:v>70.710998535156307</c:v>
                      </c:pt>
                      <c:pt idx="4">
                        <c:v>70.846000671386705</c:v>
                      </c:pt>
                      <c:pt idx="5">
                        <c:v>70.975997924804702</c:v>
                      </c:pt>
                      <c:pt idx="6">
                        <c:v>71.103996276855497</c:v>
                      </c:pt>
                      <c:pt idx="7">
                        <c:v>71.232002258300795</c:v>
                      </c:pt>
                      <c:pt idx="8">
                        <c:v>71.329002380371094</c:v>
                      </c:pt>
                      <c:pt idx="9">
                        <c:v>71.468002319335895</c:v>
                      </c:pt>
                      <c:pt idx="10">
                        <c:v>71.615997314453097</c:v>
                      </c:pt>
                      <c:pt idx="11">
                        <c:v>71.731002807617202</c:v>
                      </c:pt>
                      <c:pt idx="12">
                        <c:v>71.849998474121094</c:v>
                      </c:pt>
                      <c:pt idx="13">
                        <c:v>71.981002807617202</c:v>
                      </c:pt>
                      <c:pt idx="14">
                        <c:v>72.103996276855497</c:v>
                      </c:pt>
                      <c:pt idx="15">
                        <c:v>72.231002807617202</c:v>
                      </c:pt>
                      <c:pt idx="16">
                        <c:v>72.356002807617202</c:v>
                      </c:pt>
                      <c:pt idx="17">
                        <c:v>71.670997619628906</c:v>
                      </c:pt>
                      <c:pt idx="18">
                        <c:v>70.995002746582003</c:v>
                      </c:pt>
                      <c:pt idx="19">
                        <c:v>70.297996520996094</c:v>
                      </c:pt>
                    </c:numCache>
                  </c:numRef>
                </c:val>
                <c:smooth val="0"/>
                <c:extLst xmlns:c15="http://schemas.microsoft.com/office/drawing/2012/chart">
                  <c:ext xmlns:c16="http://schemas.microsoft.com/office/drawing/2014/chart" uri="{C3380CC4-5D6E-409C-BE32-E72D297353CC}">
                    <c16:uniqueId val="{0000000B-A1B9-4AF6-84C5-0202E4F5206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'Data LM'!$A$12</c15:sqref>
                        </c15:formulaRef>
                      </c:ext>
                    </c:extLst>
                    <c:strCache>
                      <c:ptCount val="1"/>
                      <c:pt idx="0">
                        <c:v>Employment to population ratio, ages 15-24, total (%) (national estimate)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LM'!$C$12:$V$12</c15:sqref>
                        </c15:formulaRef>
                      </c:ext>
                    </c:extLst>
                    <c:numCache>
                      <c:formatCode>0.0</c:formatCode>
                      <c:ptCount val="20"/>
                      <c:pt idx="0">
                        <c:v>0</c:v>
                      </c:pt>
                      <c:pt idx="1">
                        <c:v>0</c:v>
                      </c:pt>
                      <c:pt idx="2">
                        <c:v>0</c:v>
                      </c:pt>
                      <c:pt idx="3">
                        <c:v>0</c:v>
                      </c:pt>
                      <c:pt idx="4">
                        <c:v>0</c:v>
                      </c:pt>
                      <c:pt idx="5">
                        <c:v>0</c:v>
                      </c:pt>
                      <c:pt idx="6">
                        <c:v>31.659999847412099</c:v>
                      </c:pt>
                      <c:pt idx="7">
                        <c:v>0</c:v>
                      </c:pt>
                      <c:pt idx="8">
                        <c:v>0</c:v>
                      </c:pt>
                      <c:pt idx="9">
                        <c:v>0</c:v>
                      </c:pt>
                      <c:pt idx="10">
                        <c:v>0</c:v>
                      </c:pt>
                      <c:pt idx="11">
                        <c:v>0</c:v>
                      </c:pt>
                      <c:pt idx="12">
                        <c:v>0</c:v>
                      </c:pt>
                      <c:pt idx="13">
                        <c:v>0</c:v>
                      </c:pt>
                      <c:pt idx="14">
                        <c:v>0</c:v>
                      </c:pt>
                      <c:pt idx="15">
                        <c:v>0</c:v>
                      </c:pt>
                      <c:pt idx="16">
                        <c:v>41.7700004577637</c:v>
                      </c:pt>
                      <c:pt idx="17">
                        <c:v>0</c:v>
                      </c:pt>
                      <c:pt idx="18">
                        <c:v>0</c:v>
                      </c:pt>
                      <c:pt idx="19">
                        <c:v>32.810001373291001</c:v>
                      </c:pt>
                    </c:numCache>
                  </c:numRef>
                </c:val>
                <c:smooth val="0"/>
                <c:extLst xmlns:c15="http://schemas.microsoft.com/office/drawing/2012/chart">
                  <c:ext xmlns:c16="http://schemas.microsoft.com/office/drawing/2014/chart" uri="{C3380CC4-5D6E-409C-BE32-E72D297353CC}">
                    <c16:uniqueId val="{0000000C-A1B9-4AF6-84C5-0202E4F52068}"/>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'Data LM'!$A$13</c15:sqref>
                        </c15:formulaRef>
                      </c:ext>
                    </c:extLst>
                    <c:strCache>
                      <c:ptCount val="1"/>
                      <c:pt idx="0">
                        <c:v>Labor force participation rate for ages 15-24, female (%) (modeled ILO estimate)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LM'!$C$13:$V$13</c15:sqref>
                        </c15:formulaRef>
                      </c:ext>
                    </c:extLst>
                    <c:numCache>
                      <c:formatCode>0.0</c:formatCode>
                      <c:ptCount val="20"/>
                      <c:pt idx="0">
                        <c:v>51.655998229980497</c:v>
                      </c:pt>
                      <c:pt idx="1">
                        <c:v>51.219001770019503</c:v>
                      </c:pt>
                      <c:pt idx="2">
                        <c:v>50.780998229980497</c:v>
                      </c:pt>
                      <c:pt idx="3">
                        <c:v>50.333000183105497</c:v>
                      </c:pt>
                      <c:pt idx="4">
                        <c:v>49.867000579833999</c:v>
                      </c:pt>
                      <c:pt idx="5">
                        <c:v>49.377998352050803</c:v>
                      </c:pt>
                      <c:pt idx="6">
                        <c:v>48.840999603271499</c:v>
                      </c:pt>
                      <c:pt idx="7">
                        <c:v>48.287998199462898</c:v>
                      </c:pt>
                      <c:pt idx="8">
                        <c:v>47.728000640869098</c:v>
                      </c:pt>
                      <c:pt idx="9">
                        <c:v>47.173999786377003</c:v>
                      </c:pt>
                      <c:pt idx="10">
                        <c:v>46.632999420166001</c:v>
                      </c:pt>
                      <c:pt idx="11">
                        <c:v>46.090000152587898</c:v>
                      </c:pt>
                      <c:pt idx="12">
                        <c:v>45.557998657226598</c:v>
                      </c:pt>
                      <c:pt idx="13">
                        <c:v>45.041000366210902</c:v>
                      </c:pt>
                      <c:pt idx="14">
                        <c:v>44.541000366210902</c:v>
                      </c:pt>
                      <c:pt idx="15">
                        <c:v>44.061000823974602</c:v>
                      </c:pt>
                      <c:pt idx="16">
                        <c:v>43.590000152587898</c:v>
                      </c:pt>
                      <c:pt idx="17">
                        <c:v>43.111000061035199</c:v>
                      </c:pt>
                      <c:pt idx="18">
                        <c:v>42.6310005187988</c:v>
                      </c:pt>
                      <c:pt idx="19">
                        <c:v>42.126998901367202</c:v>
                      </c:pt>
                    </c:numCache>
                  </c:numRef>
                </c:val>
                <c:smooth val="0"/>
                <c:extLst xmlns:c15="http://schemas.microsoft.com/office/drawing/2012/chart">
                  <c:ext xmlns:c16="http://schemas.microsoft.com/office/drawing/2014/chart" uri="{C3380CC4-5D6E-409C-BE32-E72D297353CC}">
                    <c16:uniqueId val="{00000010-A1B9-4AF6-84C5-0202E4F52068}"/>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LM'!$A$14</c15:sqref>
                        </c15:formulaRef>
                      </c:ext>
                    </c:extLst>
                    <c:strCache>
                      <c:ptCount val="1"/>
                      <c:pt idx="0">
                        <c:v>Labor force participation rate for ages 15-24, female (%) (national estimate)</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LM'!$C$14:$V$14</c15:sqref>
                        </c15:formulaRef>
                      </c:ext>
                    </c:extLst>
                    <c:numCache>
                      <c:formatCode>0.0</c:formatCode>
                      <c:ptCount val="20"/>
                      <c:pt idx="0">
                        <c:v>0</c:v>
                      </c:pt>
                      <c:pt idx="1">
                        <c:v>0</c:v>
                      </c:pt>
                      <c:pt idx="2">
                        <c:v>0</c:v>
                      </c:pt>
                      <c:pt idx="3">
                        <c:v>0</c:v>
                      </c:pt>
                      <c:pt idx="4">
                        <c:v>0</c:v>
                      </c:pt>
                      <c:pt idx="5">
                        <c:v>35.180000305175803</c:v>
                      </c:pt>
                      <c:pt idx="6">
                        <c:v>35.090000152587898</c:v>
                      </c:pt>
                      <c:pt idx="7">
                        <c:v>0</c:v>
                      </c:pt>
                      <c:pt idx="8">
                        <c:v>0</c:v>
                      </c:pt>
                      <c:pt idx="9">
                        <c:v>0</c:v>
                      </c:pt>
                      <c:pt idx="10">
                        <c:v>0</c:v>
                      </c:pt>
                      <c:pt idx="11">
                        <c:v>0</c:v>
                      </c:pt>
                      <c:pt idx="12">
                        <c:v>0</c:v>
                      </c:pt>
                      <c:pt idx="13">
                        <c:v>0</c:v>
                      </c:pt>
                      <c:pt idx="14">
                        <c:v>0</c:v>
                      </c:pt>
                      <c:pt idx="15">
                        <c:v>0</c:v>
                      </c:pt>
                      <c:pt idx="16">
                        <c:v>43.439998626708999</c:v>
                      </c:pt>
                      <c:pt idx="17">
                        <c:v>0</c:v>
                      </c:pt>
                      <c:pt idx="18">
                        <c:v>0</c:v>
                      </c:pt>
                      <c:pt idx="19">
                        <c:v>35.110000610351598</c:v>
                      </c:pt>
                    </c:numCache>
                  </c:numRef>
                </c:val>
                <c:smooth val="0"/>
                <c:extLst xmlns:c15="http://schemas.microsoft.com/office/drawing/2012/chart">
                  <c:ext xmlns:c16="http://schemas.microsoft.com/office/drawing/2014/chart" uri="{C3380CC4-5D6E-409C-BE32-E72D297353CC}">
                    <c16:uniqueId val="{00000011-A1B9-4AF6-84C5-0202E4F52068}"/>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LM'!$A$15</c15:sqref>
                        </c15:formulaRef>
                      </c:ext>
                    </c:extLst>
                    <c:strCache>
                      <c:ptCount val="1"/>
                      <c:pt idx="0">
                        <c:v>Labor force participation rate for ages 15-24, male (%) (modeled ILO estimate)</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LM'!$C$15:$V$15</c15:sqref>
                        </c15:formulaRef>
                      </c:ext>
                    </c:extLst>
                    <c:numCache>
                      <c:formatCode>0.0</c:formatCode>
                      <c:ptCount val="20"/>
                      <c:pt idx="0">
                        <c:v>48.251998901367202</c:v>
                      </c:pt>
                      <c:pt idx="1">
                        <c:v>48.222000122070298</c:v>
                      </c:pt>
                      <c:pt idx="2">
                        <c:v>48.189998626708999</c:v>
                      </c:pt>
                      <c:pt idx="3">
                        <c:v>48.147998809814503</c:v>
                      </c:pt>
                      <c:pt idx="4">
                        <c:v>48.084999084472699</c:v>
                      </c:pt>
                      <c:pt idx="5">
                        <c:v>47.995998382568402</c:v>
                      </c:pt>
                      <c:pt idx="6">
                        <c:v>47.8489990234375</c:v>
                      </c:pt>
                      <c:pt idx="7">
                        <c:v>47.687999725341797</c:v>
                      </c:pt>
                      <c:pt idx="8">
                        <c:v>47.525001525878899</c:v>
                      </c:pt>
                      <c:pt idx="9">
                        <c:v>47.375999450683601</c:v>
                      </c:pt>
                      <c:pt idx="10">
                        <c:v>47.25</c:v>
                      </c:pt>
                      <c:pt idx="11">
                        <c:v>47.127998352050803</c:v>
                      </c:pt>
                      <c:pt idx="12">
                        <c:v>47.021999359130902</c:v>
                      </c:pt>
                      <c:pt idx="13">
                        <c:v>46.935001373291001</c:v>
                      </c:pt>
                      <c:pt idx="14">
                        <c:v>46.872001647949197</c:v>
                      </c:pt>
                      <c:pt idx="15">
                        <c:v>46.832000732421903</c:v>
                      </c:pt>
                      <c:pt idx="16">
                        <c:v>46.806999206542997</c:v>
                      </c:pt>
                      <c:pt idx="17">
                        <c:v>45.556999206542997</c:v>
                      </c:pt>
                      <c:pt idx="18">
                        <c:v>44.297000885009801</c:v>
                      </c:pt>
                      <c:pt idx="19">
                        <c:v>42.983001708984403</c:v>
                      </c:pt>
                    </c:numCache>
                  </c:numRef>
                </c:val>
                <c:smooth val="0"/>
                <c:extLst xmlns:c15="http://schemas.microsoft.com/office/drawing/2012/chart">
                  <c:ext xmlns:c16="http://schemas.microsoft.com/office/drawing/2014/chart" uri="{C3380CC4-5D6E-409C-BE32-E72D297353CC}">
                    <c16:uniqueId val="{00000012-A1B9-4AF6-84C5-0202E4F52068}"/>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LM'!$A$16</c15:sqref>
                        </c15:formulaRef>
                      </c:ext>
                    </c:extLst>
                    <c:strCache>
                      <c:ptCount val="1"/>
                      <c:pt idx="0">
                        <c:v>Labor force participation rate for ages 15-24, male (%) (national estimate)</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LM'!$C$16:$V$16</c15:sqref>
                        </c15:formulaRef>
                      </c:ext>
                    </c:extLst>
                    <c:numCache>
                      <c:formatCode>0.0</c:formatCode>
                      <c:ptCount val="20"/>
                      <c:pt idx="0">
                        <c:v>0</c:v>
                      </c:pt>
                      <c:pt idx="1">
                        <c:v>0</c:v>
                      </c:pt>
                      <c:pt idx="2">
                        <c:v>0</c:v>
                      </c:pt>
                      <c:pt idx="3">
                        <c:v>0</c:v>
                      </c:pt>
                      <c:pt idx="4">
                        <c:v>0</c:v>
                      </c:pt>
                      <c:pt idx="5">
                        <c:v>41.630001068115199</c:v>
                      </c:pt>
                      <c:pt idx="6">
                        <c:v>43.759998321533203</c:v>
                      </c:pt>
                      <c:pt idx="7">
                        <c:v>0</c:v>
                      </c:pt>
                      <c:pt idx="8">
                        <c:v>0</c:v>
                      </c:pt>
                      <c:pt idx="9">
                        <c:v>0</c:v>
                      </c:pt>
                      <c:pt idx="10">
                        <c:v>0</c:v>
                      </c:pt>
                      <c:pt idx="11">
                        <c:v>0</c:v>
                      </c:pt>
                      <c:pt idx="12">
                        <c:v>0</c:v>
                      </c:pt>
                      <c:pt idx="13">
                        <c:v>0</c:v>
                      </c:pt>
                      <c:pt idx="14">
                        <c:v>0</c:v>
                      </c:pt>
                      <c:pt idx="15">
                        <c:v>0</c:v>
                      </c:pt>
                      <c:pt idx="16">
                        <c:v>46.740001678466797</c:v>
                      </c:pt>
                      <c:pt idx="17">
                        <c:v>0</c:v>
                      </c:pt>
                      <c:pt idx="18">
                        <c:v>0</c:v>
                      </c:pt>
                      <c:pt idx="19">
                        <c:v>40.2299995422363</c:v>
                      </c:pt>
                    </c:numCache>
                  </c:numRef>
                </c:val>
                <c:smooth val="0"/>
                <c:extLst xmlns:c15="http://schemas.microsoft.com/office/drawing/2012/chart">
                  <c:ext xmlns:c16="http://schemas.microsoft.com/office/drawing/2014/chart" uri="{C3380CC4-5D6E-409C-BE32-E72D297353CC}">
                    <c16:uniqueId val="{00000013-A1B9-4AF6-84C5-0202E4F52068}"/>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LM'!$A$17</c15:sqref>
                        </c15:formulaRef>
                      </c:ext>
                    </c:extLst>
                    <c:strCache>
                      <c:ptCount val="1"/>
                      <c:pt idx="0">
                        <c:v>Labor force participation rate for ages 15-24, total (%) (modeled ILO estimate)</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LM'!$C$17:$V$17</c15:sqref>
                        </c15:formulaRef>
                      </c:ext>
                    </c:extLst>
                    <c:numCache>
                      <c:formatCode>0.0</c:formatCode>
                      <c:ptCount val="20"/>
                      <c:pt idx="0">
                        <c:v>49.955001831054702</c:v>
                      </c:pt>
                      <c:pt idx="1">
                        <c:v>49.722000122070298</c:v>
                      </c:pt>
                      <c:pt idx="2">
                        <c:v>49.4869995117188</c:v>
                      </c:pt>
                      <c:pt idx="3">
                        <c:v>49.243000030517599</c:v>
                      </c:pt>
                      <c:pt idx="4">
                        <c:v>48.978000640869098</c:v>
                      </c:pt>
                      <c:pt idx="5">
                        <c:v>48.688999176025398</c:v>
                      </c:pt>
                      <c:pt idx="6">
                        <c:v>48.347000122070298</c:v>
                      </c:pt>
                      <c:pt idx="7">
                        <c:v>47.988998413085902</c:v>
                      </c:pt>
                      <c:pt idx="8">
                        <c:v>47.626998901367202</c:v>
                      </c:pt>
                      <c:pt idx="9">
                        <c:v>47.275001525878899</c:v>
                      </c:pt>
                      <c:pt idx="10">
                        <c:v>46.941001892089801</c:v>
                      </c:pt>
                      <c:pt idx="11">
                        <c:v>46.606998443603501</c:v>
                      </c:pt>
                      <c:pt idx="12">
                        <c:v>46.287998199462898</c:v>
                      </c:pt>
                      <c:pt idx="13">
                        <c:v>45.986000061035199</c:v>
                      </c:pt>
                      <c:pt idx="14">
                        <c:v>45.705001831054702</c:v>
                      </c:pt>
                      <c:pt idx="15">
                        <c:v>45.444999694824197</c:v>
                      </c:pt>
                      <c:pt idx="16">
                        <c:v>45.199001312255902</c:v>
                      </c:pt>
                      <c:pt idx="17">
                        <c:v>44.334999084472699</c:v>
                      </c:pt>
                      <c:pt idx="18">
                        <c:v>43.465999603271499</c:v>
                      </c:pt>
                      <c:pt idx="19">
                        <c:v>42.555999755859403</c:v>
                      </c:pt>
                    </c:numCache>
                  </c:numRef>
                </c:val>
                <c:smooth val="0"/>
                <c:extLst xmlns:c15="http://schemas.microsoft.com/office/drawing/2012/chart">
                  <c:ext xmlns:c16="http://schemas.microsoft.com/office/drawing/2014/chart" uri="{C3380CC4-5D6E-409C-BE32-E72D297353CC}">
                    <c16:uniqueId val="{00000014-A1B9-4AF6-84C5-0202E4F52068}"/>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'Data LM'!$A$18</c15:sqref>
                        </c15:formulaRef>
                      </c:ext>
                    </c:extLst>
                    <c:strCache>
                      <c:ptCount val="1"/>
                      <c:pt idx="0">
                        <c:v>Labor force participation rate for ages 15-24, total (%) (national estimate)</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LM'!$C$18:$V$18</c15:sqref>
                        </c15:formulaRef>
                      </c:ext>
                    </c:extLst>
                    <c:numCache>
                      <c:formatCode>0.0</c:formatCode>
                      <c:ptCount val="20"/>
                      <c:pt idx="0">
                        <c:v>0</c:v>
                      </c:pt>
                      <c:pt idx="1">
                        <c:v>0</c:v>
                      </c:pt>
                      <c:pt idx="2">
                        <c:v>0</c:v>
                      </c:pt>
                      <c:pt idx="3">
                        <c:v>0</c:v>
                      </c:pt>
                      <c:pt idx="4">
                        <c:v>0</c:v>
                      </c:pt>
                      <c:pt idx="5">
                        <c:v>38.349998474121101</c:v>
                      </c:pt>
                      <c:pt idx="6">
                        <c:v>39.409999847412102</c:v>
                      </c:pt>
                      <c:pt idx="7">
                        <c:v>0</c:v>
                      </c:pt>
                      <c:pt idx="8">
                        <c:v>0</c:v>
                      </c:pt>
                      <c:pt idx="9">
                        <c:v>0</c:v>
                      </c:pt>
                      <c:pt idx="10">
                        <c:v>0</c:v>
                      </c:pt>
                      <c:pt idx="11">
                        <c:v>0</c:v>
                      </c:pt>
                      <c:pt idx="12">
                        <c:v>0</c:v>
                      </c:pt>
                      <c:pt idx="13">
                        <c:v>0</c:v>
                      </c:pt>
                      <c:pt idx="14">
                        <c:v>0</c:v>
                      </c:pt>
                      <c:pt idx="15">
                        <c:v>0</c:v>
                      </c:pt>
                      <c:pt idx="16">
                        <c:v>45.080001831054702</c:v>
                      </c:pt>
                      <c:pt idx="17">
                        <c:v>0</c:v>
                      </c:pt>
                      <c:pt idx="18">
                        <c:v>0</c:v>
                      </c:pt>
                      <c:pt idx="19">
                        <c:v>37.650001525878899</c:v>
                      </c:pt>
                    </c:numCache>
                  </c:numRef>
                </c:val>
                <c:smooth val="0"/>
                <c:extLst xmlns:c15="http://schemas.microsoft.com/office/drawing/2012/chart">
                  <c:ext xmlns:c16="http://schemas.microsoft.com/office/drawing/2014/chart" uri="{C3380CC4-5D6E-409C-BE32-E72D297353CC}">
                    <c16:uniqueId val="{00000015-A1B9-4AF6-84C5-0202E4F52068}"/>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'Data LM'!$A$19</c15:sqref>
                        </c15:formulaRef>
                      </c:ext>
                    </c:extLst>
                    <c:strCache>
                      <c:ptCount val="1"/>
                      <c:pt idx="0">
                        <c:v>Labor force participation rate, female (% of female population ages 15+) (modeled ILO estimate)</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LM'!$C$19:$V$19</c15:sqref>
                        </c15:formulaRef>
                      </c:ext>
                    </c:extLst>
                    <c:numCache>
                      <c:formatCode>0.0</c:formatCode>
                      <c:ptCount val="20"/>
                      <c:pt idx="0">
                        <c:v>70.485000610351605</c:v>
                      </c:pt>
                      <c:pt idx="1">
                        <c:v>70.543998718261705</c:v>
                      </c:pt>
                      <c:pt idx="2">
                        <c:v>70.603996276855497</c:v>
                      </c:pt>
                      <c:pt idx="3">
                        <c:v>70.664001464843807</c:v>
                      </c:pt>
                      <c:pt idx="4">
                        <c:v>70.722999572753906</c:v>
                      </c:pt>
                      <c:pt idx="5">
                        <c:v>70.782997131347699</c:v>
                      </c:pt>
                      <c:pt idx="6">
                        <c:v>70.843002319335895</c:v>
                      </c:pt>
                      <c:pt idx="7">
                        <c:v>70.902999877929702</c:v>
                      </c:pt>
                      <c:pt idx="8">
                        <c:v>70.962997436523395</c:v>
                      </c:pt>
                      <c:pt idx="9">
                        <c:v>71.023002624511705</c:v>
                      </c:pt>
                      <c:pt idx="10">
                        <c:v>71.083000183105497</c:v>
                      </c:pt>
                      <c:pt idx="11">
                        <c:v>71.141998291015597</c:v>
                      </c:pt>
                      <c:pt idx="12">
                        <c:v>71.202003479003906</c:v>
                      </c:pt>
                      <c:pt idx="13">
                        <c:v>71.261001586914105</c:v>
                      </c:pt>
                      <c:pt idx="14">
                        <c:v>71.320999145507798</c:v>
                      </c:pt>
                      <c:pt idx="15">
                        <c:v>71.379997253417997</c:v>
                      </c:pt>
                      <c:pt idx="16">
                        <c:v>71.440002441406307</c:v>
                      </c:pt>
                      <c:pt idx="17">
                        <c:v>71.643997192382798</c:v>
                      </c:pt>
                      <c:pt idx="18">
                        <c:v>71.859001159667997</c:v>
                      </c:pt>
                      <c:pt idx="19">
                        <c:v>72.085998535156307</c:v>
                      </c:pt>
                    </c:numCache>
                  </c:numRef>
                </c:val>
                <c:smooth val="0"/>
                <c:extLst xmlns:c15="http://schemas.microsoft.com/office/drawing/2012/chart">
                  <c:ext xmlns:c16="http://schemas.microsoft.com/office/drawing/2014/chart" uri="{C3380CC4-5D6E-409C-BE32-E72D297353CC}">
                    <c16:uniqueId val="{00000016-A1B9-4AF6-84C5-0202E4F52068}"/>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'Data LM'!$A$20</c15:sqref>
                        </c15:formulaRef>
                      </c:ext>
                    </c:extLst>
                    <c:strCache>
                      <c:ptCount val="1"/>
                      <c:pt idx="0">
                        <c:v>Labor force participation rate, female (% of female population ages 15+) (national estimate)</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LM'!$C$20:$V$20</c15:sqref>
                        </c15:formulaRef>
                      </c:ext>
                    </c:extLst>
                    <c:numCache>
                      <c:formatCode>0.0</c:formatCode>
                      <c:ptCount val="20"/>
                      <c:pt idx="0">
                        <c:v>0</c:v>
                      </c:pt>
                      <c:pt idx="1">
                        <c:v>0</c:v>
                      </c:pt>
                      <c:pt idx="2">
                        <c:v>0</c:v>
                      </c:pt>
                      <c:pt idx="3">
                        <c:v>0</c:v>
                      </c:pt>
                      <c:pt idx="4">
                        <c:v>0</c:v>
                      </c:pt>
                      <c:pt idx="5">
                        <c:v>59.490001678466797</c:v>
                      </c:pt>
                      <c:pt idx="6">
                        <c:v>56.619998931884801</c:v>
                      </c:pt>
                      <c:pt idx="7">
                        <c:v>0</c:v>
                      </c:pt>
                      <c:pt idx="8">
                        <c:v>0</c:v>
                      </c:pt>
                      <c:pt idx="9">
                        <c:v>71.540000915527301</c:v>
                      </c:pt>
                      <c:pt idx="10">
                        <c:v>0</c:v>
                      </c:pt>
                      <c:pt idx="11">
                        <c:v>0</c:v>
                      </c:pt>
                      <c:pt idx="12">
                        <c:v>0</c:v>
                      </c:pt>
                      <c:pt idx="13">
                        <c:v>0</c:v>
                      </c:pt>
                      <c:pt idx="14">
                        <c:v>0</c:v>
                      </c:pt>
                      <c:pt idx="15">
                        <c:v>0</c:v>
                      </c:pt>
                      <c:pt idx="16">
                        <c:v>71.459999084472699</c:v>
                      </c:pt>
                      <c:pt idx="17">
                        <c:v>0</c:v>
                      </c:pt>
                      <c:pt idx="18">
                        <c:v>0</c:v>
                      </c:pt>
                      <c:pt idx="19">
                        <c:v>62.900001525878899</c:v>
                      </c:pt>
                    </c:numCache>
                  </c:numRef>
                </c:val>
                <c:smooth val="0"/>
                <c:extLst xmlns:c15="http://schemas.microsoft.com/office/drawing/2012/chart">
                  <c:ext xmlns:c16="http://schemas.microsoft.com/office/drawing/2014/chart" uri="{C3380CC4-5D6E-409C-BE32-E72D297353CC}">
                    <c16:uniqueId val="{00000017-A1B9-4AF6-84C5-0202E4F52068}"/>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'Data LM'!$A$21</c15:sqref>
                        </c15:formulaRef>
                      </c:ext>
                    </c:extLst>
                    <c:strCache>
                      <c:ptCount val="1"/>
                      <c:pt idx="0">
                        <c:v>Labor force participation rate, female (% of female population ages 15-64) (modeled ILO estimate)</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LM'!$C$21:$V$21</c15:sqref>
                        </c15:formulaRef>
                      </c:ext>
                    </c:extLst>
                    <c:numCache>
                      <c:formatCode>0.0</c:formatCode>
                      <c:ptCount val="20"/>
                      <c:pt idx="0">
                        <c:v>69.569999999999993</c:v>
                      </c:pt>
                      <c:pt idx="1">
                        <c:v>67.91</c:v>
                      </c:pt>
                      <c:pt idx="2">
                        <c:v>66.16</c:v>
                      </c:pt>
                      <c:pt idx="3">
                        <c:v>64.349999999999994</c:v>
                      </c:pt>
                      <c:pt idx="4">
                        <c:v>62.51</c:v>
                      </c:pt>
                      <c:pt idx="5">
                        <c:v>60.65</c:v>
                      </c:pt>
                      <c:pt idx="6">
                        <c:v>61.91</c:v>
                      </c:pt>
                      <c:pt idx="7">
                        <c:v>63.19</c:v>
                      </c:pt>
                      <c:pt idx="8">
                        <c:v>64.44</c:v>
                      </c:pt>
                      <c:pt idx="9">
                        <c:v>65.63</c:v>
                      </c:pt>
                      <c:pt idx="10">
                        <c:v>66.739999999999995</c:v>
                      </c:pt>
                      <c:pt idx="11">
                        <c:v>67.78</c:v>
                      </c:pt>
                      <c:pt idx="12">
                        <c:v>68.73</c:v>
                      </c:pt>
                      <c:pt idx="13">
                        <c:v>69.62</c:v>
                      </c:pt>
                      <c:pt idx="14">
                        <c:v>70.47</c:v>
                      </c:pt>
                      <c:pt idx="15">
                        <c:v>71.290000000000006</c:v>
                      </c:pt>
                      <c:pt idx="16">
                        <c:v>72.099999999999994</c:v>
                      </c:pt>
                      <c:pt idx="17">
                        <c:v>72.2</c:v>
                      </c:pt>
                      <c:pt idx="18">
                        <c:v>72.3</c:v>
                      </c:pt>
                      <c:pt idx="19">
                        <c:v>72.41</c:v>
                      </c:pt>
                    </c:numCache>
                  </c:numRef>
                </c:val>
                <c:smooth val="0"/>
                <c:extLst xmlns:c15="http://schemas.microsoft.com/office/drawing/2012/chart">
                  <c:ext xmlns:c16="http://schemas.microsoft.com/office/drawing/2014/chart" uri="{C3380CC4-5D6E-409C-BE32-E72D297353CC}">
                    <c16:uniqueId val="{00000018-A1B9-4AF6-84C5-0202E4F52068}"/>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'Data LM'!$A$22</c15:sqref>
                        </c15:formulaRef>
                      </c:ext>
                    </c:extLst>
                    <c:strCache>
                      <c:ptCount val="1"/>
                      <c:pt idx="0">
                        <c:v>Labor force participation rate, male (% of male population ages 15+) (modeled ILO estimate)</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LM'!$C$22:$V$22</c15:sqref>
                        </c15:formulaRef>
                      </c:ext>
                    </c:extLst>
                    <c:numCache>
                      <c:formatCode>0.0</c:formatCode>
                      <c:ptCount val="20"/>
                      <c:pt idx="0">
                        <c:v>74.610000610351605</c:v>
                      </c:pt>
                      <c:pt idx="1">
                        <c:v>74.795997619628906</c:v>
                      </c:pt>
                      <c:pt idx="2">
                        <c:v>74.981002807617202</c:v>
                      </c:pt>
                      <c:pt idx="3">
                        <c:v>75.165000915527301</c:v>
                      </c:pt>
                      <c:pt idx="4">
                        <c:v>75.347999572753906</c:v>
                      </c:pt>
                      <c:pt idx="5">
                        <c:v>75.529998779296903</c:v>
                      </c:pt>
                      <c:pt idx="6">
                        <c:v>75.711997985839801</c:v>
                      </c:pt>
                      <c:pt idx="7">
                        <c:v>75.891998291015597</c:v>
                      </c:pt>
                      <c:pt idx="8">
                        <c:v>76.071998596191406</c:v>
                      </c:pt>
                      <c:pt idx="9">
                        <c:v>76.250999450683594</c:v>
                      </c:pt>
                      <c:pt idx="10">
                        <c:v>76.429000854492202</c:v>
                      </c:pt>
                      <c:pt idx="11">
                        <c:v>76.607002258300795</c:v>
                      </c:pt>
                      <c:pt idx="12">
                        <c:v>76.782997131347699</c:v>
                      </c:pt>
                      <c:pt idx="13">
                        <c:v>76.958000183105497</c:v>
                      </c:pt>
                      <c:pt idx="14">
                        <c:v>77.132003784179702</c:v>
                      </c:pt>
                      <c:pt idx="15">
                        <c:v>77.305000305175795</c:v>
                      </c:pt>
                      <c:pt idx="16">
                        <c:v>77.477996826171903</c:v>
                      </c:pt>
                      <c:pt idx="17">
                        <c:v>77.000999450683594</c:v>
                      </c:pt>
                      <c:pt idx="18">
                        <c:v>76.505996704101605</c:v>
                      </c:pt>
                      <c:pt idx="19">
                        <c:v>75.986999511718807</c:v>
                      </c:pt>
                    </c:numCache>
                  </c:numRef>
                </c:val>
                <c:smooth val="0"/>
                <c:extLst xmlns:c15="http://schemas.microsoft.com/office/drawing/2012/chart">
                  <c:ext xmlns:c16="http://schemas.microsoft.com/office/drawing/2014/chart" uri="{C3380CC4-5D6E-409C-BE32-E72D297353CC}">
                    <c16:uniqueId val="{00000019-A1B9-4AF6-84C5-0202E4F52068}"/>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'Data LM'!$A$23</c15:sqref>
                        </c15:formulaRef>
                      </c:ext>
                    </c:extLst>
                    <c:strCache>
                      <c:ptCount val="1"/>
                      <c:pt idx="0">
                        <c:v>Labor force participation rate, male (% of male population ages 15+) (national estimate)</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LM'!$C$23:$V$23</c15:sqref>
                        </c15:formulaRef>
                      </c:ext>
                    </c:extLst>
                    <c:numCache>
                      <c:formatCode>0.0</c:formatCode>
                      <c:ptCount val="20"/>
                      <c:pt idx="0">
                        <c:v>0</c:v>
                      </c:pt>
                      <c:pt idx="1">
                        <c:v>0</c:v>
                      </c:pt>
                      <c:pt idx="2">
                        <c:v>0</c:v>
                      </c:pt>
                      <c:pt idx="3">
                        <c:v>0</c:v>
                      </c:pt>
                      <c:pt idx="4">
                        <c:v>0</c:v>
                      </c:pt>
                      <c:pt idx="5">
                        <c:v>68.610000610351605</c:v>
                      </c:pt>
                      <c:pt idx="6">
                        <c:v>70.220001220703097</c:v>
                      </c:pt>
                      <c:pt idx="7">
                        <c:v>0</c:v>
                      </c:pt>
                      <c:pt idx="8">
                        <c:v>0</c:v>
                      </c:pt>
                      <c:pt idx="9">
                        <c:v>81.75</c:v>
                      </c:pt>
                      <c:pt idx="10">
                        <c:v>0</c:v>
                      </c:pt>
                      <c:pt idx="11">
                        <c:v>0</c:v>
                      </c:pt>
                      <c:pt idx="12">
                        <c:v>0</c:v>
                      </c:pt>
                      <c:pt idx="13">
                        <c:v>0</c:v>
                      </c:pt>
                      <c:pt idx="14">
                        <c:v>0</c:v>
                      </c:pt>
                      <c:pt idx="15">
                        <c:v>0</c:v>
                      </c:pt>
                      <c:pt idx="16">
                        <c:v>77.5</c:v>
                      </c:pt>
                      <c:pt idx="17">
                        <c:v>0</c:v>
                      </c:pt>
                      <c:pt idx="18">
                        <c:v>0</c:v>
                      </c:pt>
                      <c:pt idx="19">
                        <c:v>73</c:v>
                      </c:pt>
                    </c:numCache>
                  </c:numRef>
                </c:val>
                <c:smooth val="0"/>
                <c:extLst xmlns:c15="http://schemas.microsoft.com/office/drawing/2012/chart">
                  <c:ext xmlns:c16="http://schemas.microsoft.com/office/drawing/2014/chart" uri="{C3380CC4-5D6E-409C-BE32-E72D297353CC}">
                    <c16:uniqueId val="{0000001A-A1B9-4AF6-84C5-0202E4F52068}"/>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'Data LM'!$A$24</c15:sqref>
                        </c15:formulaRef>
                      </c:ext>
                    </c:extLst>
                    <c:strCache>
                      <c:ptCount val="1"/>
                      <c:pt idx="0">
                        <c:v>Labor force participation rate, male (% of male population ages 15-64) (modeled ILO estimate)</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LM'!$C$24:$V$24</c15:sqref>
                        </c15:formulaRef>
                      </c:ext>
                    </c:extLst>
                    <c:numCache>
                      <c:formatCode>0.0</c:formatCode>
                      <c:ptCount val="20"/>
                      <c:pt idx="0">
                        <c:v>74.099999999999994</c:v>
                      </c:pt>
                      <c:pt idx="1">
                        <c:v>73.430000000000007</c:v>
                      </c:pt>
                      <c:pt idx="2">
                        <c:v>72.7</c:v>
                      </c:pt>
                      <c:pt idx="3">
                        <c:v>71.94</c:v>
                      </c:pt>
                      <c:pt idx="4">
                        <c:v>71.16</c:v>
                      </c:pt>
                      <c:pt idx="5">
                        <c:v>70.36</c:v>
                      </c:pt>
                      <c:pt idx="6">
                        <c:v>71.44</c:v>
                      </c:pt>
                      <c:pt idx="7">
                        <c:v>72.52</c:v>
                      </c:pt>
                      <c:pt idx="8">
                        <c:v>73.540000000000006</c:v>
                      </c:pt>
                      <c:pt idx="9">
                        <c:v>74.459999999999994</c:v>
                      </c:pt>
                      <c:pt idx="10">
                        <c:v>75.260000000000005</c:v>
                      </c:pt>
                      <c:pt idx="11">
                        <c:v>75.98</c:v>
                      </c:pt>
                      <c:pt idx="12">
                        <c:v>76.59</c:v>
                      </c:pt>
                      <c:pt idx="13">
                        <c:v>77.13</c:v>
                      </c:pt>
                      <c:pt idx="14">
                        <c:v>77.63</c:v>
                      </c:pt>
                      <c:pt idx="15">
                        <c:v>78.11</c:v>
                      </c:pt>
                      <c:pt idx="16">
                        <c:v>78.569999999999993</c:v>
                      </c:pt>
                      <c:pt idx="17">
                        <c:v>77.98</c:v>
                      </c:pt>
                      <c:pt idx="18">
                        <c:v>77.37</c:v>
                      </c:pt>
                      <c:pt idx="19">
                        <c:v>76.760000000000005</c:v>
                      </c:pt>
                    </c:numCache>
                  </c:numRef>
                </c:val>
                <c:smooth val="0"/>
                <c:extLst xmlns:c15="http://schemas.microsoft.com/office/drawing/2012/chart">
                  <c:ext xmlns:c16="http://schemas.microsoft.com/office/drawing/2014/chart" uri="{C3380CC4-5D6E-409C-BE32-E72D297353CC}">
                    <c16:uniqueId val="{0000001B-A1B9-4AF6-84C5-0202E4F52068}"/>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'Data LM'!$A$25</c15:sqref>
                        </c15:formulaRef>
                      </c:ext>
                    </c:extLst>
                    <c:strCache>
                      <c:ptCount val="1"/>
                      <c:pt idx="0">
                        <c:v>Labor force participation rate, total (% of total population ages 15+) (modeled ILO estimate)</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LM'!$C$25:$V$25</c15:sqref>
                        </c15:formulaRef>
                      </c:ext>
                    </c:extLst>
                    <c:numCache>
                      <c:formatCode>0.0</c:formatCode>
                      <c:ptCount val="20"/>
                      <c:pt idx="0">
                        <c:v>72.512001037597699</c:v>
                      </c:pt>
                      <c:pt idx="1">
                        <c:v>72.633003234863295</c:v>
                      </c:pt>
                      <c:pt idx="2">
                        <c:v>72.753997802734403</c:v>
                      </c:pt>
                      <c:pt idx="3">
                        <c:v>72.874000549316406</c:v>
                      </c:pt>
                      <c:pt idx="4">
                        <c:v>72.994003295898395</c:v>
                      </c:pt>
                      <c:pt idx="5">
                        <c:v>73.113998413085895</c:v>
                      </c:pt>
                      <c:pt idx="6">
                        <c:v>73.234001159667997</c:v>
                      </c:pt>
                      <c:pt idx="7">
                        <c:v>73.352996826171903</c:v>
                      </c:pt>
                      <c:pt idx="8">
                        <c:v>73.472000122070298</c:v>
                      </c:pt>
                      <c:pt idx="9">
                        <c:v>73.589996337890597</c:v>
                      </c:pt>
                      <c:pt idx="10">
                        <c:v>73.708000183105497</c:v>
                      </c:pt>
                      <c:pt idx="11">
                        <c:v>73.825996398925795</c:v>
                      </c:pt>
                      <c:pt idx="12">
                        <c:v>73.944000244140597</c:v>
                      </c:pt>
                      <c:pt idx="13">
                        <c:v>74.060997009277301</c:v>
                      </c:pt>
                      <c:pt idx="14">
                        <c:v>74.177001953125</c:v>
                      </c:pt>
                      <c:pt idx="15">
                        <c:v>74.293998718261705</c:v>
                      </c:pt>
                      <c:pt idx="16">
                        <c:v>74.410003662109403</c:v>
                      </c:pt>
                      <c:pt idx="17">
                        <c:v>74.279998779296903</c:v>
                      </c:pt>
                      <c:pt idx="18">
                        <c:v>74.144996643066406</c:v>
                      </c:pt>
                      <c:pt idx="19">
                        <c:v>74.005996704101605</c:v>
                      </c:pt>
                    </c:numCache>
                  </c:numRef>
                </c:val>
                <c:smooth val="0"/>
                <c:extLst xmlns:c15="http://schemas.microsoft.com/office/drawing/2012/chart">
                  <c:ext xmlns:c16="http://schemas.microsoft.com/office/drawing/2014/chart" uri="{C3380CC4-5D6E-409C-BE32-E72D297353CC}">
                    <c16:uniqueId val="{0000001C-A1B9-4AF6-84C5-0202E4F52068}"/>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'Data LM'!$A$26</c15:sqref>
                        </c15:formulaRef>
                      </c:ext>
                    </c:extLst>
                    <c:strCache>
                      <c:ptCount val="1"/>
                      <c:pt idx="0">
                        <c:v>Labor force participation rate, total (% of total population ages 15+) (national estimate)</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LM'!$C$26:$V$26</c15:sqref>
                        </c15:formulaRef>
                      </c:ext>
                    </c:extLst>
                    <c:numCache>
                      <c:formatCode>0.0</c:formatCode>
                      <c:ptCount val="20"/>
                      <c:pt idx="0">
                        <c:v>0</c:v>
                      </c:pt>
                      <c:pt idx="1">
                        <c:v>0</c:v>
                      </c:pt>
                      <c:pt idx="2">
                        <c:v>0</c:v>
                      </c:pt>
                      <c:pt idx="3">
                        <c:v>0</c:v>
                      </c:pt>
                      <c:pt idx="4">
                        <c:v>0</c:v>
                      </c:pt>
                      <c:pt idx="5">
                        <c:v>63.930000305175803</c:v>
                      </c:pt>
                      <c:pt idx="6">
                        <c:v>63.259998321533203</c:v>
                      </c:pt>
                      <c:pt idx="7">
                        <c:v>0</c:v>
                      </c:pt>
                      <c:pt idx="8">
                        <c:v>0</c:v>
                      </c:pt>
                      <c:pt idx="9">
                        <c:v>76.519996643066406</c:v>
                      </c:pt>
                      <c:pt idx="10">
                        <c:v>0</c:v>
                      </c:pt>
                      <c:pt idx="11">
                        <c:v>0</c:v>
                      </c:pt>
                      <c:pt idx="12">
                        <c:v>0</c:v>
                      </c:pt>
                      <c:pt idx="13">
                        <c:v>0</c:v>
                      </c:pt>
                      <c:pt idx="14">
                        <c:v>0</c:v>
                      </c:pt>
                      <c:pt idx="15">
                        <c:v>0</c:v>
                      </c:pt>
                      <c:pt idx="16">
                        <c:v>74.410003662109403</c:v>
                      </c:pt>
                      <c:pt idx="17">
                        <c:v>0</c:v>
                      </c:pt>
                      <c:pt idx="18">
                        <c:v>0</c:v>
                      </c:pt>
                      <c:pt idx="19">
                        <c:v>67.800003051757798</c:v>
                      </c:pt>
                    </c:numCache>
                  </c:numRef>
                </c:val>
                <c:smooth val="0"/>
                <c:extLst xmlns:c15="http://schemas.microsoft.com/office/drawing/2012/chart">
                  <c:ext xmlns:c16="http://schemas.microsoft.com/office/drawing/2014/chart" uri="{C3380CC4-5D6E-409C-BE32-E72D297353CC}">
                    <c16:uniqueId val="{0000001D-A1B9-4AF6-84C5-0202E4F52068}"/>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'Data LM'!$A$27</c15:sqref>
                        </c15:formulaRef>
                      </c:ext>
                    </c:extLst>
                    <c:strCache>
                      <c:ptCount val="1"/>
                      <c:pt idx="0">
                        <c:v>Labor force participation rate, total (% of total population ages 15-64) (modeled ILO estimate)</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LM'!$C$27:$V$27</c15:sqref>
                        </c15:formulaRef>
                      </c:ext>
                    </c:extLst>
                    <c:numCache>
                      <c:formatCode>0.0</c:formatCode>
                      <c:ptCount val="20"/>
                      <c:pt idx="0">
                        <c:v>71.8</c:v>
                      </c:pt>
                      <c:pt idx="1">
                        <c:v>70.63</c:v>
                      </c:pt>
                      <c:pt idx="2">
                        <c:v>69.39</c:v>
                      </c:pt>
                      <c:pt idx="3">
                        <c:v>68.099999999999994</c:v>
                      </c:pt>
                      <c:pt idx="4">
                        <c:v>66.78</c:v>
                      </c:pt>
                      <c:pt idx="5">
                        <c:v>65.45</c:v>
                      </c:pt>
                      <c:pt idx="6">
                        <c:v>66.62</c:v>
                      </c:pt>
                      <c:pt idx="7">
                        <c:v>67.790000000000006</c:v>
                      </c:pt>
                      <c:pt idx="8">
                        <c:v>68.930000000000007</c:v>
                      </c:pt>
                      <c:pt idx="9">
                        <c:v>69.989999999999995</c:v>
                      </c:pt>
                      <c:pt idx="10">
                        <c:v>70.95</c:v>
                      </c:pt>
                      <c:pt idx="11">
                        <c:v>71.83</c:v>
                      </c:pt>
                      <c:pt idx="12">
                        <c:v>72.61</c:v>
                      </c:pt>
                      <c:pt idx="13">
                        <c:v>73.33</c:v>
                      </c:pt>
                      <c:pt idx="14">
                        <c:v>74.010000000000005</c:v>
                      </c:pt>
                      <c:pt idx="15">
                        <c:v>74.67</c:v>
                      </c:pt>
                      <c:pt idx="16">
                        <c:v>75.3</c:v>
                      </c:pt>
                      <c:pt idx="17">
                        <c:v>75.06</c:v>
                      </c:pt>
                      <c:pt idx="18">
                        <c:v>74.81</c:v>
                      </c:pt>
                      <c:pt idx="19">
                        <c:v>74.56</c:v>
                      </c:pt>
                    </c:numCache>
                  </c:numRef>
                </c:val>
                <c:smooth val="0"/>
                <c:extLst xmlns:c15="http://schemas.microsoft.com/office/drawing/2012/chart">
                  <c:ext xmlns:c16="http://schemas.microsoft.com/office/drawing/2014/chart" uri="{C3380CC4-5D6E-409C-BE32-E72D297353CC}">
                    <c16:uniqueId val="{0000001E-A1B9-4AF6-84C5-0202E4F52068}"/>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'Data LM'!$A$28</c15:sqref>
                        </c15:formulaRef>
                      </c:ext>
                    </c:extLst>
                    <c:strCache>
                      <c:ptCount val="1"/>
                      <c:pt idx="0">
                        <c:v>Labor force with advanced education (% of total working-age population with advanced education)</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LM'!$C$28:$V$28</c15:sqref>
                        </c15:formulaRef>
                      </c:ext>
                    </c:extLst>
                    <c:numCache>
                      <c:formatCode>0.0</c:formatCode>
                      <c:ptCount val="20"/>
                      <c:pt idx="0">
                        <c:v>0</c:v>
                      </c:pt>
                      <c:pt idx="1">
                        <c:v>0</c:v>
                      </c:pt>
                      <c:pt idx="2">
                        <c:v>0</c:v>
                      </c:pt>
                      <c:pt idx="3">
                        <c:v>0</c:v>
                      </c:pt>
                      <c:pt idx="4">
                        <c:v>0</c:v>
                      </c:pt>
                      <c:pt idx="5">
                        <c:v>77.819999694824205</c:v>
                      </c:pt>
                      <c:pt idx="6">
                        <c:v>77.819999694824205</c:v>
                      </c:pt>
                      <c:pt idx="7">
                        <c:v>0</c:v>
                      </c:pt>
                      <c:pt idx="8">
                        <c:v>0</c:v>
                      </c:pt>
                      <c:pt idx="9">
                        <c:v>0</c:v>
                      </c:pt>
                      <c:pt idx="10">
                        <c:v>0</c:v>
                      </c:pt>
                      <c:pt idx="11">
                        <c:v>0</c:v>
                      </c:pt>
                      <c:pt idx="12">
                        <c:v>0</c:v>
                      </c:pt>
                      <c:pt idx="13">
                        <c:v>0</c:v>
                      </c:pt>
                      <c:pt idx="14">
                        <c:v>0</c:v>
                      </c:pt>
                      <c:pt idx="15">
                        <c:v>0</c:v>
                      </c:pt>
                      <c:pt idx="16">
                        <c:v>69.139999389648395</c:v>
                      </c:pt>
                      <c:pt idx="17">
                        <c:v>0</c:v>
                      </c:pt>
                      <c:pt idx="18">
                        <c:v>0</c:v>
                      </c:pt>
                      <c:pt idx="19">
                        <c:v>86.190002441406307</c:v>
                      </c:pt>
                    </c:numCache>
                  </c:numRef>
                </c:val>
                <c:smooth val="0"/>
                <c:extLst xmlns:c15="http://schemas.microsoft.com/office/drawing/2012/chart">
                  <c:ext xmlns:c16="http://schemas.microsoft.com/office/drawing/2014/chart" uri="{C3380CC4-5D6E-409C-BE32-E72D297353CC}">
                    <c16:uniqueId val="{0000001F-A1B9-4AF6-84C5-0202E4F52068}"/>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'Data LM'!$A$29</c15:sqref>
                        </c15:formulaRef>
                      </c:ext>
                    </c:extLst>
                    <c:strCache>
                      <c:ptCount val="1"/>
                      <c:pt idx="0">
                        <c:v>Labor force with advanced education, female (% of female working-age population with advanced education)</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LM'!$C$29:$V$29</c15:sqref>
                        </c15:formulaRef>
                      </c:ext>
                    </c:extLst>
                    <c:numCache>
                      <c:formatCode>0.0</c:formatCode>
                      <c:ptCount val="20"/>
                      <c:pt idx="0">
                        <c:v>0</c:v>
                      </c:pt>
                      <c:pt idx="1">
                        <c:v>0</c:v>
                      </c:pt>
                      <c:pt idx="2">
                        <c:v>0</c:v>
                      </c:pt>
                      <c:pt idx="3">
                        <c:v>0</c:v>
                      </c:pt>
                      <c:pt idx="4">
                        <c:v>0</c:v>
                      </c:pt>
                      <c:pt idx="5">
                        <c:v>66.569999694824205</c:v>
                      </c:pt>
                      <c:pt idx="6">
                        <c:v>66.569999694824205</c:v>
                      </c:pt>
                      <c:pt idx="7">
                        <c:v>0</c:v>
                      </c:pt>
                      <c:pt idx="8">
                        <c:v>0</c:v>
                      </c:pt>
                      <c:pt idx="9">
                        <c:v>0</c:v>
                      </c:pt>
                      <c:pt idx="10">
                        <c:v>0</c:v>
                      </c:pt>
                      <c:pt idx="11">
                        <c:v>0</c:v>
                      </c:pt>
                      <c:pt idx="12">
                        <c:v>0</c:v>
                      </c:pt>
                      <c:pt idx="13">
                        <c:v>0</c:v>
                      </c:pt>
                      <c:pt idx="14">
                        <c:v>0</c:v>
                      </c:pt>
                      <c:pt idx="15">
                        <c:v>0</c:v>
                      </c:pt>
                      <c:pt idx="16">
                        <c:v>68.300003051757798</c:v>
                      </c:pt>
                      <c:pt idx="17">
                        <c:v>0</c:v>
                      </c:pt>
                      <c:pt idx="18">
                        <c:v>0</c:v>
                      </c:pt>
                      <c:pt idx="19">
                        <c:v>82.260002136230497</c:v>
                      </c:pt>
                    </c:numCache>
                  </c:numRef>
                </c:val>
                <c:smooth val="0"/>
                <c:extLst xmlns:c15="http://schemas.microsoft.com/office/drawing/2012/chart">
                  <c:ext xmlns:c16="http://schemas.microsoft.com/office/drawing/2014/chart" uri="{C3380CC4-5D6E-409C-BE32-E72D297353CC}">
                    <c16:uniqueId val="{00000020-A1B9-4AF6-84C5-0202E4F52068}"/>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'Data LM'!$A$30</c15:sqref>
                        </c15:formulaRef>
                      </c:ext>
                    </c:extLst>
                    <c:strCache>
                      <c:ptCount val="1"/>
                      <c:pt idx="0">
                        <c:v>Labor force with advanced education, male (% of male working-age population with advanced education)</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LM'!$C$30:$V$30</c15:sqref>
                        </c15:formulaRef>
                      </c:ext>
                    </c:extLst>
                    <c:numCache>
                      <c:formatCode>0.0</c:formatCode>
                      <c:ptCount val="20"/>
                      <c:pt idx="0">
                        <c:v>0</c:v>
                      </c:pt>
                      <c:pt idx="1">
                        <c:v>0</c:v>
                      </c:pt>
                      <c:pt idx="2">
                        <c:v>0</c:v>
                      </c:pt>
                      <c:pt idx="3">
                        <c:v>0</c:v>
                      </c:pt>
                      <c:pt idx="4">
                        <c:v>0</c:v>
                      </c:pt>
                      <c:pt idx="5">
                        <c:v>83.129997253417997</c:v>
                      </c:pt>
                      <c:pt idx="6">
                        <c:v>83.129997253417997</c:v>
                      </c:pt>
                      <c:pt idx="7">
                        <c:v>0</c:v>
                      </c:pt>
                      <c:pt idx="8">
                        <c:v>0</c:v>
                      </c:pt>
                      <c:pt idx="9">
                        <c:v>0</c:v>
                      </c:pt>
                      <c:pt idx="10">
                        <c:v>0</c:v>
                      </c:pt>
                      <c:pt idx="11">
                        <c:v>0</c:v>
                      </c:pt>
                      <c:pt idx="12">
                        <c:v>0</c:v>
                      </c:pt>
                      <c:pt idx="13">
                        <c:v>0</c:v>
                      </c:pt>
                      <c:pt idx="14">
                        <c:v>0</c:v>
                      </c:pt>
                      <c:pt idx="15">
                        <c:v>0</c:v>
                      </c:pt>
                      <c:pt idx="16">
                        <c:v>69.699996948242202</c:v>
                      </c:pt>
                      <c:pt idx="17">
                        <c:v>0</c:v>
                      </c:pt>
                      <c:pt idx="18">
                        <c:v>0</c:v>
                      </c:pt>
                      <c:pt idx="19">
                        <c:v>88.879997253417997</c:v>
                      </c:pt>
                    </c:numCache>
                  </c:numRef>
                </c:val>
                <c:smooth val="0"/>
                <c:extLst xmlns:c15="http://schemas.microsoft.com/office/drawing/2012/chart">
                  <c:ext xmlns:c16="http://schemas.microsoft.com/office/drawing/2014/chart" uri="{C3380CC4-5D6E-409C-BE32-E72D297353CC}">
                    <c16:uniqueId val="{00000021-A1B9-4AF6-84C5-0202E4F52068}"/>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'Data LM'!$A$31</c15:sqref>
                        </c15:formulaRef>
                      </c:ext>
                    </c:extLst>
                    <c:strCache>
                      <c:ptCount val="1"/>
                      <c:pt idx="0">
                        <c:v>Labor force with basic education (% of total working-age population with basic education)</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LM'!$C$31:$V$31</c15:sqref>
                        </c15:formulaRef>
                      </c:ext>
                    </c:extLst>
                    <c:numCache>
                      <c:formatCode>0.0</c:formatCode>
                      <c:ptCount val="20"/>
                      <c:pt idx="0">
                        <c:v>0</c:v>
                      </c:pt>
                      <c:pt idx="1">
                        <c:v>0</c:v>
                      </c:pt>
                      <c:pt idx="2">
                        <c:v>0</c:v>
                      </c:pt>
                      <c:pt idx="3">
                        <c:v>0</c:v>
                      </c:pt>
                      <c:pt idx="4">
                        <c:v>0</c:v>
                      </c:pt>
                      <c:pt idx="5">
                        <c:v>58.950000762939503</c:v>
                      </c:pt>
                      <c:pt idx="6">
                        <c:v>58.950000762939503</c:v>
                      </c:pt>
                      <c:pt idx="7">
                        <c:v>0</c:v>
                      </c:pt>
                      <c:pt idx="8">
                        <c:v>0</c:v>
                      </c:pt>
                      <c:pt idx="9">
                        <c:v>0</c:v>
                      </c:pt>
                      <c:pt idx="10">
                        <c:v>0</c:v>
                      </c:pt>
                      <c:pt idx="11">
                        <c:v>0</c:v>
                      </c:pt>
                      <c:pt idx="12">
                        <c:v>0</c:v>
                      </c:pt>
                      <c:pt idx="13">
                        <c:v>0</c:v>
                      </c:pt>
                      <c:pt idx="14">
                        <c:v>0</c:v>
                      </c:pt>
                      <c:pt idx="15">
                        <c:v>0</c:v>
                      </c:pt>
                      <c:pt idx="16">
                        <c:v>79.059997558593807</c:v>
                      </c:pt>
                      <c:pt idx="17">
                        <c:v>0</c:v>
                      </c:pt>
                      <c:pt idx="18">
                        <c:v>0</c:v>
                      </c:pt>
                      <c:pt idx="19">
                        <c:v>65.779998779296903</c:v>
                      </c:pt>
                    </c:numCache>
                  </c:numRef>
                </c:val>
                <c:smooth val="0"/>
                <c:extLst xmlns:c15="http://schemas.microsoft.com/office/drawing/2012/chart">
                  <c:ext xmlns:c16="http://schemas.microsoft.com/office/drawing/2014/chart" uri="{C3380CC4-5D6E-409C-BE32-E72D297353CC}">
                    <c16:uniqueId val="{00000022-A1B9-4AF6-84C5-0202E4F52068}"/>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'Data LM'!$A$32</c15:sqref>
                        </c15:formulaRef>
                      </c:ext>
                    </c:extLst>
                    <c:strCache>
                      <c:ptCount val="1"/>
                      <c:pt idx="0">
                        <c:v>Labor force with basic education, female (% of female working-age population with basic education)</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LM'!$C$32:$V$32</c15:sqref>
                        </c15:formulaRef>
                      </c:ext>
                    </c:extLst>
                    <c:numCache>
                      <c:formatCode>0.0</c:formatCode>
                      <c:ptCount val="20"/>
                      <c:pt idx="0">
                        <c:v>0</c:v>
                      </c:pt>
                      <c:pt idx="1">
                        <c:v>0</c:v>
                      </c:pt>
                      <c:pt idx="2">
                        <c:v>0</c:v>
                      </c:pt>
                      <c:pt idx="3">
                        <c:v>0</c:v>
                      </c:pt>
                      <c:pt idx="4">
                        <c:v>0</c:v>
                      </c:pt>
                      <c:pt idx="5">
                        <c:v>52.869998931884801</c:v>
                      </c:pt>
                      <c:pt idx="6">
                        <c:v>52.869998931884801</c:v>
                      </c:pt>
                      <c:pt idx="7">
                        <c:v>0</c:v>
                      </c:pt>
                      <c:pt idx="8">
                        <c:v>0</c:v>
                      </c:pt>
                      <c:pt idx="9">
                        <c:v>0</c:v>
                      </c:pt>
                      <c:pt idx="10">
                        <c:v>0</c:v>
                      </c:pt>
                      <c:pt idx="11">
                        <c:v>0</c:v>
                      </c:pt>
                      <c:pt idx="12">
                        <c:v>0</c:v>
                      </c:pt>
                      <c:pt idx="13">
                        <c:v>0</c:v>
                      </c:pt>
                      <c:pt idx="14">
                        <c:v>0</c:v>
                      </c:pt>
                      <c:pt idx="15">
                        <c:v>0</c:v>
                      </c:pt>
                      <c:pt idx="16">
                        <c:v>77.589996337890597</c:v>
                      </c:pt>
                      <c:pt idx="17">
                        <c:v>0</c:v>
                      </c:pt>
                      <c:pt idx="18">
                        <c:v>0</c:v>
                      </c:pt>
                      <c:pt idx="19">
                        <c:v>63</c:v>
                      </c:pt>
                    </c:numCache>
                  </c:numRef>
                </c:val>
                <c:smooth val="0"/>
                <c:extLst xmlns:c15="http://schemas.microsoft.com/office/drawing/2012/chart">
                  <c:ext xmlns:c16="http://schemas.microsoft.com/office/drawing/2014/chart" uri="{C3380CC4-5D6E-409C-BE32-E72D297353CC}">
                    <c16:uniqueId val="{00000023-A1B9-4AF6-84C5-0202E4F52068}"/>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'Data LM'!$A$33</c15:sqref>
                        </c15:formulaRef>
                      </c:ext>
                    </c:extLst>
                    <c:strCache>
                      <c:ptCount val="1"/>
                      <c:pt idx="0">
                        <c:v>Labor force with basic education, male (% of male working-age population with basic education)</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LM'!$C$33:$V$33</c15:sqref>
                        </c15:formulaRef>
                      </c:ext>
                    </c:extLst>
                    <c:numCache>
                      <c:formatCode>0.0</c:formatCode>
                      <c:ptCount val="20"/>
                      <c:pt idx="0">
                        <c:v>0</c:v>
                      </c:pt>
                      <c:pt idx="1">
                        <c:v>0</c:v>
                      </c:pt>
                      <c:pt idx="2">
                        <c:v>0</c:v>
                      </c:pt>
                      <c:pt idx="3">
                        <c:v>0</c:v>
                      </c:pt>
                      <c:pt idx="4">
                        <c:v>0</c:v>
                      </c:pt>
                      <c:pt idx="5">
                        <c:v>64.980003356933594</c:v>
                      </c:pt>
                      <c:pt idx="6">
                        <c:v>64.980003356933594</c:v>
                      </c:pt>
                      <c:pt idx="7">
                        <c:v>0</c:v>
                      </c:pt>
                      <c:pt idx="8">
                        <c:v>0</c:v>
                      </c:pt>
                      <c:pt idx="9">
                        <c:v>0</c:v>
                      </c:pt>
                      <c:pt idx="10">
                        <c:v>0</c:v>
                      </c:pt>
                      <c:pt idx="11">
                        <c:v>0</c:v>
                      </c:pt>
                      <c:pt idx="12">
                        <c:v>0</c:v>
                      </c:pt>
                      <c:pt idx="13">
                        <c:v>0</c:v>
                      </c:pt>
                      <c:pt idx="14">
                        <c:v>0</c:v>
                      </c:pt>
                      <c:pt idx="15">
                        <c:v>0</c:v>
                      </c:pt>
                      <c:pt idx="16">
                        <c:v>80.580001831054702</c:v>
                      </c:pt>
                      <c:pt idx="17">
                        <c:v>0</c:v>
                      </c:pt>
                      <c:pt idx="18">
                        <c:v>0</c:v>
                      </c:pt>
                      <c:pt idx="19">
                        <c:v>68.830001831054702</c:v>
                      </c:pt>
                    </c:numCache>
                  </c:numRef>
                </c:val>
                <c:smooth val="0"/>
                <c:extLst xmlns:c15="http://schemas.microsoft.com/office/drawing/2012/chart">
                  <c:ext xmlns:c16="http://schemas.microsoft.com/office/drawing/2014/chart" uri="{C3380CC4-5D6E-409C-BE32-E72D297353CC}">
                    <c16:uniqueId val="{00000024-A1B9-4AF6-84C5-0202E4F52068}"/>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'Data LM'!$A$34</c15:sqref>
                        </c15:formulaRef>
                      </c:ext>
                    </c:extLst>
                    <c:strCache>
                      <c:ptCount val="1"/>
                      <c:pt idx="0">
                        <c:v>Labor force with intermediate education (% of total working-age population with intermediate education)</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LM'!$C$34:$V$34</c15:sqref>
                        </c15:formulaRef>
                      </c:ext>
                    </c:extLst>
                    <c:numCache>
                      <c:formatCode>0.0</c:formatCode>
                      <c:ptCount val="20"/>
                      <c:pt idx="0">
                        <c:v>0</c:v>
                      </c:pt>
                      <c:pt idx="1">
                        <c:v>0</c:v>
                      </c:pt>
                      <c:pt idx="2">
                        <c:v>0</c:v>
                      </c:pt>
                      <c:pt idx="3">
                        <c:v>0</c:v>
                      </c:pt>
                      <c:pt idx="4">
                        <c:v>0</c:v>
                      </c:pt>
                      <c:pt idx="5">
                        <c:v>78.089996337890597</c:v>
                      </c:pt>
                      <c:pt idx="6">
                        <c:v>78.089996337890597</c:v>
                      </c:pt>
                      <c:pt idx="7">
                        <c:v>0</c:v>
                      </c:pt>
                      <c:pt idx="8">
                        <c:v>0</c:v>
                      </c:pt>
                      <c:pt idx="9">
                        <c:v>0</c:v>
                      </c:pt>
                      <c:pt idx="10">
                        <c:v>0</c:v>
                      </c:pt>
                      <c:pt idx="11">
                        <c:v>0</c:v>
                      </c:pt>
                      <c:pt idx="12">
                        <c:v>0</c:v>
                      </c:pt>
                      <c:pt idx="13">
                        <c:v>0</c:v>
                      </c:pt>
                      <c:pt idx="14">
                        <c:v>0</c:v>
                      </c:pt>
                      <c:pt idx="15">
                        <c:v>0</c:v>
                      </c:pt>
                      <c:pt idx="16">
                        <c:v>70.879997253417997</c:v>
                      </c:pt>
                      <c:pt idx="17">
                        <c:v>0</c:v>
                      </c:pt>
                      <c:pt idx="18">
                        <c:v>0</c:v>
                      </c:pt>
                      <c:pt idx="19">
                        <c:v>73.410003662109403</c:v>
                      </c:pt>
                    </c:numCache>
                  </c:numRef>
                </c:val>
                <c:smooth val="0"/>
                <c:extLst xmlns:c15="http://schemas.microsoft.com/office/drawing/2012/chart">
                  <c:ext xmlns:c16="http://schemas.microsoft.com/office/drawing/2014/chart" uri="{C3380CC4-5D6E-409C-BE32-E72D297353CC}">
                    <c16:uniqueId val="{00000025-A1B9-4AF6-84C5-0202E4F52068}"/>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'Data LM'!$A$35</c15:sqref>
                        </c15:formulaRef>
                      </c:ext>
                    </c:extLst>
                    <c:strCache>
                      <c:ptCount val="1"/>
                      <c:pt idx="0">
                        <c:v>Labor force with intermediate education, female (% of female working-age population with intermediate education)</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LM'!$C$35:$V$35</c15:sqref>
                        </c15:formulaRef>
                      </c:ext>
                    </c:extLst>
                    <c:numCache>
                      <c:formatCode>0.0</c:formatCode>
                      <c:ptCount val="20"/>
                      <c:pt idx="0">
                        <c:v>0</c:v>
                      </c:pt>
                      <c:pt idx="1">
                        <c:v>0</c:v>
                      </c:pt>
                      <c:pt idx="2">
                        <c:v>0</c:v>
                      </c:pt>
                      <c:pt idx="3">
                        <c:v>0</c:v>
                      </c:pt>
                      <c:pt idx="4">
                        <c:v>0</c:v>
                      </c:pt>
                      <c:pt idx="5">
                        <c:v>70.930000305175795</c:v>
                      </c:pt>
                      <c:pt idx="6">
                        <c:v>70.930000305175795</c:v>
                      </c:pt>
                      <c:pt idx="7">
                        <c:v>0</c:v>
                      </c:pt>
                      <c:pt idx="8">
                        <c:v>0</c:v>
                      </c:pt>
                      <c:pt idx="9">
                        <c:v>0</c:v>
                      </c:pt>
                      <c:pt idx="10">
                        <c:v>0</c:v>
                      </c:pt>
                      <c:pt idx="11">
                        <c:v>0</c:v>
                      </c:pt>
                      <c:pt idx="12">
                        <c:v>0</c:v>
                      </c:pt>
                      <c:pt idx="13">
                        <c:v>0</c:v>
                      </c:pt>
                      <c:pt idx="14">
                        <c:v>0</c:v>
                      </c:pt>
                      <c:pt idx="15">
                        <c:v>0</c:v>
                      </c:pt>
                      <c:pt idx="16">
                        <c:v>66.470001220703097</c:v>
                      </c:pt>
                      <c:pt idx="17">
                        <c:v>0</c:v>
                      </c:pt>
                      <c:pt idx="18">
                        <c:v>0</c:v>
                      </c:pt>
                      <c:pt idx="19">
                        <c:v>64.809997558593807</c:v>
                      </c:pt>
                    </c:numCache>
                  </c:numRef>
                </c:val>
                <c:smooth val="0"/>
                <c:extLst xmlns:c15="http://schemas.microsoft.com/office/drawing/2012/chart">
                  <c:ext xmlns:c16="http://schemas.microsoft.com/office/drawing/2014/chart" uri="{C3380CC4-5D6E-409C-BE32-E72D297353CC}">
                    <c16:uniqueId val="{00000026-A1B9-4AF6-84C5-0202E4F52068}"/>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'Data LM'!$A$36</c15:sqref>
                        </c15:formulaRef>
                      </c:ext>
                    </c:extLst>
                    <c:strCache>
                      <c:ptCount val="1"/>
                      <c:pt idx="0">
                        <c:v>Labor force with intermediate education, male (% of male working-age population with intermediate education)</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LM'!$C$36:$V$36</c15:sqref>
                        </c15:formulaRef>
                      </c:ext>
                    </c:extLst>
                    <c:numCache>
                      <c:formatCode>0.0</c:formatCode>
                      <c:ptCount val="20"/>
                      <c:pt idx="0">
                        <c:v>0</c:v>
                      </c:pt>
                      <c:pt idx="1">
                        <c:v>0</c:v>
                      </c:pt>
                      <c:pt idx="2">
                        <c:v>0</c:v>
                      </c:pt>
                      <c:pt idx="3">
                        <c:v>0</c:v>
                      </c:pt>
                      <c:pt idx="4">
                        <c:v>0</c:v>
                      </c:pt>
                      <c:pt idx="5">
                        <c:v>83.569999694824205</c:v>
                      </c:pt>
                      <c:pt idx="6">
                        <c:v>83.569999694824205</c:v>
                      </c:pt>
                      <c:pt idx="7">
                        <c:v>0</c:v>
                      </c:pt>
                      <c:pt idx="8">
                        <c:v>0</c:v>
                      </c:pt>
                      <c:pt idx="9">
                        <c:v>0</c:v>
                      </c:pt>
                      <c:pt idx="10">
                        <c:v>0</c:v>
                      </c:pt>
                      <c:pt idx="11">
                        <c:v>0</c:v>
                      </c:pt>
                      <c:pt idx="12">
                        <c:v>0</c:v>
                      </c:pt>
                      <c:pt idx="13">
                        <c:v>0</c:v>
                      </c:pt>
                      <c:pt idx="14">
                        <c:v>0</c:v>
                      </c:pt>
                      <c:pt idx="15">
                        <c:v>0</c:v>
                      </c:pt>
                      <c:pt idx="16">
                        <c:v>74.989997863769503</c:v>
                      </c:pt>
                      <c:pt idx="17">
                        <c:v>0</c:v>
                      </c:pt>
                      <c:pt idx="18">
                        <c:v>0</c:v>
                      </c:pt>
                      <c:pt idx="19">
                        <c:v>79.940002441406307</c:v>
                      </c:pt>
                    </c:numCache>
                  </c:numRef>
                </c:val>
                <c:smooth val="0"/>
                <c:extLst xmlns:c15="http://schemas.microsoft.com/office/drawing/2012/chart">
                  <c:ext xmlns:c16="http://schemas.microsoft.com/office/drawing/2014/chart" uri="{C3380CC4-5D6E-409C-BE32-E72D297353CC}">
                    <c16:uniqueId val="{00000027-A1B9-4AF6-84C5-0202E4F52068}"/>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'Data LM'!$A$37</c15:sqref>
                        </c15:formulaRef>
                      </c:ext>
                    </c:extLst>
                    <c:strCache>
                      <c:ptCount val="1"/>
                      <c:pt idx="0">
                        <c:v>Labor force, female (% of total labor force)</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LM'!$C$37:$V$37</c15:sqref>
                        </c15:formulaRef>
                      </c:ext>
                    </c:extLst>
                    <c:numCache>
                      <c:formatCode>0.0</c:formatCode>
                      <c:ptCount val="20"/>
                      <c:pt idx="0">
                        <c:v>49.44905113837391</c:v>
                      </c:pt>
                      <c:pt idx="1">
                        <c:v>49.419118473876118</c:v>
                      </c:pt>
                      <c:pt idx="2">
                        <c:v>49.385341912071013</c:v>
                      </c:pt>
                      <c:pt idx="3">
                        <c:v>49.348688481543284</c:v>
                      </c:pt>
                      <c:pt idx="4">
                        <c:v>49.309857659369641</c:v>
                      </c:pt>
                      <c:pt idx="5">
                        <c:v>49.271817649043101</c:v>
                      </c:pt>
                      <c:pt idx="6">
                        <c:v>49.235928643255825</c:v>
                      </c:pt>
                      <c:pt idx="7">
                        <c:v>49.200012757638021</c:v>
                      </c:pt>
                      <c:pt idx="8">
                        <c:v>49.162796540594336</c:v>
                      </c:pt>
                      <c:pt idx="9">
                        <c:v>49.123351250448636</c:v>
                      </c:pt>
                      <c:pt idx="10">
                        <c:v>49.080251544128657</c:v>
                      </c:pt>
                      <c:pt idx="11">
                        <c:v>49.036485294882731</c:v>
                      </c:pt>
                      <c:pt idx="12">
                        <c:v>48.98793845742086</c:v>
                      </c:pt>
                      <c:pt idx="13">
                        <c:v>48.935622203539381</c:v>
                      </c:pt>
                      <c:pt idx="14">
                        <c:v>48.88403570059662</c:v>
                      </c:pt>
                      <c:pt idx="15">
                        <c:v>48.832268867347736</c:v>
                      </c:pt>
                      <c:pt idx="16">
                        <c:v>48.783468523586691</c:v>
                      </c:pt>
                      <c:pt idx="17">
                        <c:v>48.998449127471297</c:v>
                      </c:pt>
                      <c:pt idx="18">
                        <c:v>49.226604338347698</c:v>
                      </c:pt>
                      <c:pt idx="19">
                        <c:v>49.464802908239527</c:v>
                      </c:pt>
                    </c:numCache>
                  </c:numRef>
                </c:val>
                <c:smooth val="0"/>
                <c:extLst xmlns:c15="http://schemas.microsoft.com/office/drawing/2012/chart">
                  <c:ext xmlns:c16="http://schemas.microsoft.com/office/drawing/2014/chart" uri="{C3380CC4-5D6E-409C-BE32-E72D297353CC}">
                    <c16:uniqueId val="{00000028-A1B9-4AF6-84C5-0202E4F52068}"/>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'Data LM'!$A$38</c15:sqref>
                        </c15:formulaRef>
                      </c:ext>
                    </c:extLst>
                    <c:strCache>
                      <c:ptCount val="1"/>
                      <c:pt idx="0">
                        <c:v>Self-employed, female (% of female employment) (modeled ILO estimate)</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LM'!$C$38:$V$38</c15:sqref>
                        </c15:formulaRef>
                      </c:ext>
                    </c:extLst>
                    <c:numCache>
                      <c:formatCode>0.0</c:formatCode>
                      <c:ptCount val="20"/>
                      <c:pt idx="0">
                        <c:v>79.559997558593807</c:v>
                      </c:pt>
                      <c:pt idx="1">
                        <c:v>79.319999694824205</c:v>
                      </c:pt>
                      <c:pt idx="2">
                        <c:v>79.010002136230497</c:v>
                      </c:pt>
                      <c:pt idx="3">
                        <c:v>78.900001525878906</c:v>
                      </c:pt>
                      <c:pt idx="4">
                        <c:v>78.610000610351605</c:v>
                      </c:pt>
                      <c:pt idx="5">
                        <c:v>78.410003662109403</c:v>
                      </c:pt>
                      <c:pt idx="6">
                        <c:v>78.449996948242202</c:v>
                      </c:pt>
                      <c:pt idx="7">
                        <c:v>76.540000915527301</c:v>
                      </c:pt>
                      <c:pt idx="8">
                        <c:v>74.910003662109403</c:v>
                      </c:pt>
                      <c:pt idx="9">
                        <c:v>73.080001831054702</c:v>
                      </c:pt>
                      <c:pt idx="10">
                        <c:v>71.180000305175795</c:v>
                      </c:pt>
                      <c:pt idx="11">
                        <c:v>69.190002441406307</c:v>
                      </c:pt>
                      <c:pt idx="12">
                        <c:v>67.360000610351605</c:v>
                      </c:pt>
                      <c:pt idx="13">
                        <c:v>65.589996337890597</c:v>
                      </c:pt>
                      <c:pt idx="14">
                        <c:v>63.900001525878899</c:v>
                      </c:pt>
                      <c:pt idx="15">
                        <c:v>62.209999084472699</c:v>
                      </c:pt>
                      <c:pt idx="16">
                        <c:v>60.610000610351598</c:v>
                      </c:pt>
                      <c:pt idx="17">
                        <c:v>59.459999084472699</c:v>
                      </c:pt>
                      <c:pt idx="18">
                        <c:v>58.340000152587898</c:v>
                      </c:pt>
                      <c:pt idx="19">
                        <c:v>57.2299995422363</c:v>
                      </c:pt>
                    </c:numCache>
                  </c:numRef>
                </c:val>
                <c:smooth val="0"/>
                <c:extLst xmlns:c15="http://schemas.microsoft.com/office/drawing/2012/chart">
                  <c:ext xmlns:c16="http://schemas.microsoft.com/office/drawing/2014/chart" uri="{C3380CC4-5D6E-409C-BE32-E72D297353CC}">
                    <c16:uniqueId val="{00000029-A1B9-4AF6-84C5-0202E4F52068}"/>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'Data LM'!$A$39</c15:sqref>
                        </c15:formulaRef>
                      </c:ext>
                    </c:extLst>
                    <c:strCache>
                      <c:ptCount val="1"/>
                      <c:pt idx="0">
                        <c:v>Self-employed, male (% of male employment) (modeled ILO estimate)</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LM'!$C$39:$V$39</c15:sqref>
                        </c15:formulaRef>
                      </c:ext>
                    </c:extLst>
                    <c:numCache>
                      <c:formatCode>0.0</c:formatCode>
                      <c:ptCount val="20"/>
                      <c:pt idx="0">
                        <c:v>53.470001220703097</c:v>
                      </c:pt>
                      <c:pt idx="1">
                        <c:v>54.75</c:v>
                      </c:pt>
                      <c:pt idx="2">
                        <c:v>56.159999847412102</c:v>
                      </c:pt>
                      <c:pt idx="3">
                        <c:v>57.490001678466797</c:v>
                      </c:pt>
                      <c:pt idx="4">
                        <c:v>58.189998626708999</c:v>
                      </c:pt>
                      <c:pt idx="5">
                        <c:v>58.740001678466797</c:v>
                      </c:pt>
                      <c:pt idx="6">
                        <c:v>59.650001525878899</c:v>
                      </c:pt>
                      <c:pt idx="7">
                        <c:v>57.450000762939503</c:v>
                      </c:pt>
                      <c:pt idx="8">
                        <c:v>56.430000305175803</c:v>
                      </c:pt>
                      <c:pt idx="9">
                        <c:v>54.900001525878899</c:v>
                      </c:pt>
                      <c:pt idx="10">
                        <c:v>52.869998931884801</c:v>
                      </c:pt>
                      <c:pt idx="11">
                        <c:v>51.0200004577637</c:v>
                      </c:pt>
                      <c:pt idx="12">
                        <c:v>49.580001831054702</c:v>
                      </c:pt>
                      <c:pt idx="13">
                        <c:v>48.150001525878899</c:v>
                      </c:pt>
                      <c:pt idx="14">
                        <c:v>46.849998474121101</c:v>
                      </c:pt>
                      <c:pt idx="15">
                        <c:v>45.580001831054702</c:v>
                      </c:pt>
                      <c:pt idx="16">
                        <c:v>44.459999084472699</c:v>
                      </c:pt>
                      <c:pt idx="17">
                        <c:v>43.590000152587898</c:v>
                      </c:pt>
                      <c:pt idx="18">
                        <c:v>42.580001831054702</c:v>
                      </c:pt>
                      <c:pt idx="19">
                        <c:v>41.630001068115199</c:v>
                      </c:pt>
                    </c:numCache>
                  </c:numRef>
                </c:val>
                <c:smooth val="0"/>
                <c:extLst xmlns:c15="http://schemas.microsoft.com/office/drawing/2012/chart">
                  <c:ext xmlns:c16="http://schemas.microsoft.com/office/drawing/2014/chart" uri="{C3380CC4-5D6E-409C-BE32-E72D297353CC}">
                    <c16:uniqueId val="{0000002A-A1B9-4AF6-84C5-0202E4F52068}"/>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'Data LM'!$A$40</c15:sqref>
                        </c15:formulaRef>
                      </c:ext>
                    </c:extLst>
                    <c:strCache>
                      <c:ptCount val="1"/>
                      <c:pt idx="0">
                        <c:v>Self-employed, total (% of total employment) (modeled ILO estimate)</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LM'!$C$40:$V$40</c15:sqref>
                        </c15:formulaRef>
                      </c:ext>
                    </c:extLst>
                    <c:numCache>
                      <c:formatCode>0.0</c:formatCode>
                      <c:ptCount val="20"/>
                      <c:pt idx="0">
                        <c:v>66.300003051757798</c:v>
                      </c:pt>
                      <c:pt idx="1">
                        <c:v>66.730003356933594</c:v>
                      </c:pt>
                      <c:pt idx="2">
                        <c:v>67.220001220703097</c:v>
                      </c:pt>
                      <c:pt idx="3">
                        <c:v>67.760002136230497</c:v>
                      </c:pt>
                      <c:pt idx="4">
                        <c:v>67.889999389648395</c:v>
                      </c:pt>
                      <c:pt idx="5">
                        <c:v>67.989997863769503</c:v>
                      </c:pt>
                      <c:pt idx="6">
                        <c:v>68.519996643066406</c:v>
                      </c:pt>
                      <c:pt idx="7">
                        <c:v>66.480003356933594</c:v>
                      </c:pt>
                      <c:pt idx="8">
                        <c:v>65.209999084472699</c:v>
                      </c:pt>
                      <c:pt idx="9">
                        <c:v>63.560001373291001</c:v>
                      </c:pt>
                      <c:pt idx="10">
                        <c:v>61.610000610351598</c:v>
                      </c:pt>
                      <c:pt idx="11">
                        <c:v>59.720001220703097</c:v>
                      </c:pt>
                      <c:pt idx="12">
                        <c:v>58.119998931884801</c:v>
                      </c:pt>
                      <c:pt idx="13">
                        <c:v>56.549999237060497</c:v>
                      </c:pt>
                      <c:pt idx="14">
                        <c:v>55.080001831054702</c:v>
                      </c:pt>
                      <c:pt idx="15">
                        <c:v>53.630001068115199</c:v>
                      </c:pt>
                      <c:pt idx="16">
                        <c:v>52.290000915527301</c:v>
                      </c:pt>
                      <c:pt idx="17">
                        <c:v>51.330001831054702</c:v>
                      </c:pt>
                      <c:pt idx="18">
                        <c:v>50.290000915527301</c:v>
                      </c:pt>
                      <c:pt idx="19">
                        <c:v>49.2700004577637</c:v>
                      </c:pt>
                    </c:numCache>
                  </c:numRef>
                </c:val>
                <c:smooth val="0"/>
                <c:extLst xmlns:c15="http://schemas.microsoft.com/office/drawing/2012/chart">
                  <c:ext xmlns:c16="http://schemas.microsoft.com/office/drawing/2014/chart" uri="{C3380CC4-5D6E-409C-BE32-E72D297353CC}">
                    <c16:uniqueId val="{0000002B-A1B9-4AF6-84C5-0202E4F52068}"/>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'Data LM'!$A$41</c15:sqref>
                        </c15:formulaRef>
                      </c:ext>
                    </c:extLst>
                    <c:strCache>
                      <c:ptCount val="1"/>
                      <c:pt idx="0">
                        <c:v>Unemployment with advanced education (% of total labor force with advanced education)</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LM'!$C$41:$V$41</c15:sqref>
                        </c15:formulaRef>
                      </c:ext>
                    </c:extLst>
                    <c:numCache>
                      <c:formatCode>0.0</c:formatCode>
                      <c:ptCount val="20"/>
                      <c:pt idx="0">
                        <c:v>0</c:v>
                      </c:pt>
                      <c:pt idx="1">
                        <c:v>0</c:v>
                      </c:pt>
                      <c:pt idx="2">
                        <c:v>0</c:v>
                      </c:pt>
                      <c:pt idx="3">
                        <c:v>0</c:v>
                      </c:pt>
                      <c:pt idx="4">
                        <c:v>0</c:v>
                      </c:pt>
                      <c:pt idx="5">
                        <c:v>9.0900001525878906</c:v>
                      </c:pt>
                      <c:pt idx="6">
                        <c:v>9.0900001525878906</c:v>
                      </c:pt>
                      <c:pt idx="7">
                        <c:v>0</c:v>
                      </c:pt>
                      <c:pt idx="8">
                        <c:v>0</c:v>
                      </c:pt>
                      <c:pt idx="9">
                        <c:v>0</c:v>
                      </c:pt>
                      <c:pt idx="10">
                        <c:v>0</c:v>
                      </c:pt>
                      <c:pt idx="11">
                        <c:v>0</c:v>
                      </c:pt>
                      <c:pt idx="12">
                        <c:v>0</c:v>
                      </c:pt>
                      <c:pt idx="13">
                        <c:v>0</c:v>
                      </c:pt>
                      <c:pt idx="14">
                        <c:v>0</c:v>
                      </c:pt>
                      <c:pt idx="15">
                        <c:v>0</c:v>
                      </c:pt>
                      <c:pt idx="16">
                        <c:v>7.8200001716613796</c:v>
                      </c:pt>
                      <c:pt idx="17">
                        <c:v>0</c:v>
                      </c:pt>
                      <c:pt idx="18">
                        <c:v>0</c:v>
                      </c:pt>
                      <c:pt idx="19">
                        <c:v>12.329999923706101</c:v>
                      </c:pt>
                    </c:numCache>
                  </c:numRef>
                </c:val>
                <c:smooth val="0"/>
                <c:extLst xmlns:c15="http://schemas.microsoft.com/office/drawing/2012/chart">
                  <c:ext xmlns:c16="http://schemas.microsoft.com/office/drawing/2014/chart" uri="{C3380CC4-5D6E-409C-BE32-E72D297353CC}">
                    <c16:uniqueId val="{0000002C-A1B9-4AF6-84C5-0202E4F52068}"/>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'Data LM'!$A$42</c15:sqref>
                        </c15:formulaRef>
                      </c:ext>
                    </c:extLst>
                    <c:strCache>
                      <c:ptCount val="1"/>
                      <c:pt idx="0">
                        <c:v>Unemployment with advanced education, female (% of female labor force with advanced education)</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LM'!$C$42:$V$42</c15:sqref>
                        </c15:formulaRef>
                      </c:ext>
                    </c:extLst>
                    <c:numCache>
                      <c:formatCode>0.0</c:formatCode>
                      <c:ptCount val="20"/>
                      <c:pt idx="0">
                        <c:v>0</c:v>
                      </c:pt>
                      <c:pt idx="1">
                        <c:v>0</c:v>
                      </c:pt>
                      <c:pt idx="2">
                        <c:v>0</c:v>
                      </c:pt>
                      <c:pt idx="3">
                        <c:v>0</c:v>
                      </c:pt>
                      <c:pt idx="4">
                        <c:v>0</c:v>
                      </c:pt>
                      <c:pt idx="5">
                        <c:v>13.810000419616699</c:v>
                      </c:pt>
                      <c:pt idx="6">
                        <c:v>13.810000419616699</c:v>
                      </c:pt>
                      <c:pt idx="7">
                        <c:v>0</c:v>
                      </c:pt>
                      <c:pt idx="8">
                        <c:v>0</c:v>
                      </c:pt>
                      <c:pt idx="9">
                        <c:v>0</c:v>
                      </c:pt>
                      <c:pt idx="10">
                        <c:v>0</c:v>
                      </c:pt>
                      <c:pt idx="11">
                        <c:v>0</c:v>
                      </c:pt>
                      <c:pt idx="12">
                        <c:v>0</c:v>
                      </c:pt>
                      <c:pt idx="13">
                        <c:v>0</c:v>
                      </c:pt>
                      <c:pt idx="14">
                        <c:v>0</c:v>
                      </c:pt>
                      <c:pt idx="15">
                        <c:v>0</c:v>
                      </c:pt>
                      <c:pt idx="16">
                        <c:v>10.0299997329712</c:v>
                      </c:pt>
                      <c:pt idx="17">
                        <c:v>0</c:v>
                      </c:pt>
                      <c:pt idx="18">
                        <c:v>0</c:v>
                      </c:pt>
                      <c:pt idx="19">
                        <c:v>14.2799997329712</c:v>
                      </c:pt>
                    </c:numCache>
                  </c:numRef>
                </c:val>
                <c:smooth val="0"/>
                <c:extLst xmlns:c15="http://schemas.microsoft.com/office/drawing/2012/chart">
                  <c:ext xmlns:c16="http://schemas.microsoft.com/office/drawing/2014/chart" uri="{C3380CC4-5D6E-409C-BE32-E72D297353CC}">
                    <c16:uniqueId val="{0000002D-A1B9-4AF6-84C5-0202E4F52068}"/>
                  </c:ext>
                </c:extLst>
              </c15:ser>
            </c15:filteredLineSeries>
            <c15:filteredLineSeries>
              <c15:ser>
                <c:idx val="44"/>
                <c:order val="44"/>
                <c:tx>
                  <c:strRef>
                    <c:extLst xmlns:c15="http://schemas.microsoft.com/office/drawing/2012/chart">
                      <c:ext xmlns:c15="http://schemas.microsoft.com/office/drawing/2012/chart" uri="{02D57815-91ED-43cb-92C2-25804820EDAC}">
                        <c15:formulaRef>
                          <c15:sqref>'Data LM'!$A$43</c15:sqref>
                        </c15:formulaRef>
                      </c:ext>
                    </c:extLst>
                    <c:strCache>
                      <c:ptCount val="1"/>
                      <c:pt idx="0">
                        <c:v>Unemployment with advanced education, male (% of male labor force with advanced education)</c:v>
                      </c:pt>
                    </c:strCache>
                  </c:strRef>
                </c:tx>
                <c:spPr>
                  <a:ln w="28575" cap="rnd">
                    <a:solidFill>
                      <a:schemeClr val="accent3">
                        <a:lumMod val="70000"/>
                      </a:schemeClr>
                    </a:solidFill>
                    <a:round/>
                  </a:ln>
                  <a:effectLst/>
                </c:spPr>
                <c:marker>
                  <c:symbol val="circle"/>
                  <c:size val="5"/>
                  <c:spPr>
                    <a:solidFill>
                      <a:schemeClr val="accent3">
                        <a:lumMod val="70000"/>
                      </a:schemeClr>
                    </a:solidFill>
                    <a:ln w="9525">
                      <a:solidFill>
                        <a:schemeClr val="accent3">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LM'!$C$43:$V$43</c15:sqref>
                        </c15:formulaRef>
                      </c:ext>
                    </c:extLst>
                    <c:numCache>
                      <c:formatCode>0.0</c:formatCode>
                      <c:ptCount val="20"/>
                      <c:pt idx="0">
                        <c:v>0</c:v>
                      </c:pt>
                      <c:pt idx="1">
                        <c:v>0</c:v>
                      </c:pt>
                      <c:pt idx="2">
                        <c:v>0</c:v>
                      </c:pt>
                      <c:pt idx="3">
                        <c:v>0</c:v>
                      </c:pt>
                      <c:pt idx="4">
                        <c:v>0</c:v>
                      </c:pt>
                      <c:pt idx="5">
                        <c:v>7.3099999427795401</c:v>
                      </c:pt>
                      <c:pt idx="6">
                        <c:v>7.3099999427795401</c:v>
                      </c:pt>
                      <c:pt idx="7">
                        <c:v>0</c:v>
                      </c:pt>
                      <c:pt idx="8">
                        <c:v>0</c:v>
                      </c:pt>
                      <c:pt idx="9">
                        <c:v>0</c:v>
                      </c:pt>
                      <c:pt idx="10">
                        <c:v>0</c:v>
                      </c:pt>
                      <c:pt idx="11">
                        <c:v>0</c:v>
                      </c:pt>
                      <c:pt idx="12">
                        <c:v>0</c:v>
                      </c:pt>
                      <c:pt idx="13">
                        <c:v>0</c:v>
                      </c:pt>
                      <c:pt idx="14">
                        <c:v>0</c:v>
                      </c:pt>
                      <c:pt idx="15">
                        <c:v>0</c:v>
                      </c:pt>
                      <c:pt idx="16">
                        <c:v>6.3499999046325701</c:v>
                      </c:pt>
                      <c:pt idx="17">
                        <c:v>0</c:v>
                      </c:pt>
                      <c:pt idx="18">
                        <c:v>0</c:v>
                      </c:pt>
                      <c:pt idx="19">
                        <c:v>11.0900001525879</c:v>
                      </c:pt>
                    </c:numCache>
                  </c:numRef>
                </c:val>
                <c:smooth val="0"/>
                <c:extLst xmlns:c15="http://schemas.microsoft.com/office/drawing/2012/chart">
                  <c:ext xmlns:c16="http://schemas.microsoft.com/office/drawing/2014/chart" uri="{C3380CC4-5D6E-409C-BE32-E72D297353CC}">
                    <c16:uniqueId val="{0000002E-A1B9-4AF6-84C5-0202E4F52068}"/>
                  </c:ext>
                </c:extLst>
              </c15:ser>
            </c15:filteredLineSeries>
            <c15:filteredLineSeries>
              <c15:ser>
                <c:idx val="45"/>
                <c:order val="45"/>
                <c:tx>
                  <c:strRef>
                    <c:extLst xmlns:c15="http://schemas.microsoft.com/office/drawing/2012/chart">
                      <c:ext xmlns:c15="http://schemas.microsoft.com/office/drawing/2012/chart" uri="{02D57815-91ED-43cb-92C2-25804820EDAC}">
                        <c15:formulaRef>
                          <c15:sqref>'Data LM'!$A$44</c15:sqref>
                        </c15:formulaRef>
                      </c:ext>
                    </c:extLst>
                    <c:strCache>
                      <c:ptCount val="1"/>
                      <c:pt idx="0">
                        <c:v>Unemployment with basic education (% of total labor force with basic education)</c:v>
                      </c:pt>
                    </c:strCache>
                  </c:strRef>
                </c:tx>
                <c:spPr>
                  <a:ln w="28575" cap="rnd">
                    <a:solidFill>
                      <a:schemeClr val="accent4">
                        <a:lumMod val="70000"/>
                      </a:schemeClr>
                    </a:solidFill>
                    <a:round/>
                  </a:ln>
                  <a:effectLst/>
                </c:spPr>
                <c:marker>
                  <c:symbol val="circle"/>
                  <c:size val="5"/>
                  <c:spPr>
                    <a:solidFill>
                      <a:schemeClr val="accent4">
                        <a:lumMod val="70000"/>
                      </a:schemeClr>
                    </a:solidFill>
                    <a:ln w="9525">
                      <a:solidFill>
                        <a:schemeClr val="accent4">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LM'!$C$44:$V$44</c15:sqref>
                        </c15:formulaRef>
                      </c:ext>
                    </c:extLst>
                    <c:numCache>
                      <c:formatCode>0.0</c:formatCode>
                      <c:ptCount val="20"/>
                      <c:pt idx="0">
                        <c:v>0</c:v>
                      </c:pt>
                      <c:pt idx="1">
                        <c:v>0</c:v>
                      </c:pt>
                      <c:pt idx="2">
                        <c:v>0</c:v>
                      </c:pt>
                      <c:pt idx="3">
                        <c:v>0</c:v>
                      </c:pt>
                      <c:pt idx="4">
                        <c:v>0</c:v>
                      </c:pt>
                      <c:pt idx="5">
                        <c:v>9.3100004196166992</c:v>
                      </c:pt>
                      <c:pt idx="6">
                        <c:v>9.3100004196166992</c:v>
                      </c:pt>
                      <c:pt idx="7">
                        <c:v>0</c:v>
                      </c:pt>
                      <c:pt idx="8">
                        <c:v>0</c:v>
                      </c:pt>
                      <c:pt idx="9">
                        <c:v>0</c:v>
                      </c:pt>
                      <c:pt idx="10">
                        <c:v>0</c:v>
                      </c:pt>
                      <c:pt idx="11">
                        <c:v>0</c:v>
                      </c:pt>
                      <c:pt idx="12">
                        <c:v>0</c:v>
                      </c:pt>
                      <c:pt idx="13">
                        <c:v>0</c:v>
                      </c:pt>
                      <c:pt idx="14">
                        <c:v>0</c:v>
                      </c:pt>
                      <c:pt idx="15">
                        <c:v>0</c:v>
                      </c:pt>
                      <c:pt idx="16">
                        <c:v>1.5900000333786</c:v>
                      </c:pt>
                      <c:pt idx="17">
                        <c:v>0</c:v>
                      </c:pt>
                      <c:pt idx="18">
                        <c:v>0</c:v>
                      </c:pt>
                      <c:pt idx="19">
                        <c:v>4.1399998664856001</c:v>
                      </c:pt>
                    </c:numCache>
                  </c:numRef>
                </c:val>
                <c:smooth val="0"/>
                <c:extLst xmlns:c15="http://schemas.microsoft.com/office/drawing/2012/chart">
                  <c:ext xmlns:c16="http://schemas.microsoft.com/office/drawing/2014/chart" uri="{C3380CC4-5D6E-409C-BE32-E72D297353CC}">
                    <c16:uniqueId val="{0000002F-A1B9-4AF6-84C5-0202E4F52068}"/>
                  </c:ext>
                </c:extLst>
              </c15:ser>
            </c15:filteredLineSeries>
            <c15:filteredLineSeries>
              <c15:ser>
                <c:idx val="46"/>
                <c:order val="46"/>
                <c:tx>
                  <c:strRef>
                    <c:extLst xmlns:c15="http://schemas.microsoft.com/office/drawing/2012/chart">
                      <c:ext xmlns:c15="http://schemas.microsoft.com/office/drawing/2012/chart" uri="{02D57815-91ED-43cb-92C2-25804820EDAC}">
                        <c15:formulaRef>
                          <c15:sqref>'Data LM'!$A$45</c15:sqref>
                        </c15:formulaRef>
                      </c:ext>
                    </c:extLst>
                    <c:strCache>
                      <c:ptCount val="1"/>
                      <c:pt idx="0">
                        <c:v>Unemployment with basic education, female (% of female labor force with basic education)</c:v>
                      </c:pt>
                    </c:strCache>
                  </c:strRef>
                </c:tx>
                <c:spPr>
                  <a:ln w="28575" cap="rnd">
                    <a:solidFill>
                      <a:schemeClr val="accent5">
                        <a:lumMod val="70000"/>
                      </a:schemeClr>
                    </a:solidFill>
                    <a:round/>
                  </a:ln>
                  <a:effectLst/>
                </c:spPr>
                <c:marker>
                  <c:symbol val="circle"/>
                  <c:size val="5"/>
                  <c:spPr>
                    <a:solidFill>
                      <a:schemeClr val="accent5">
                        <a:lumMod val="70000"/>
                      </a:schemeClr>
                    </a:solidFill>
                    <a:ln w="9525">
                      <a:solidFill>
                        <a:schemeClr val="accent5">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LM'!$C$45:$V$45</c15:sqref>
                        </c15:formulaRef>
                      </c:ext>
                    </c:extLst>
                    <c:numCache>
                      <c:formatCode>0.0</c:formatCode>
                      <c:ptCount val="20"/>
                      <c:pt idx="0">
                        <c:v>0</c:v>
                      </c:pt>
                      <c:pt idx="1">
                        <c:v>0</c:v>
                      </c:pt>
                      <c:pt idx="2">
                        <c:v>0</c:v>
                      </c:pt>
                      <c:pt idx="3">
                        <c:v>0</c:v>
                      </c:pt>
                      <c:pt idx="4">
                        <c:v>0</c:v>
                      </c:pt>
                      <c:pt idx="5">
                        <c:v>9.0799999237060494</c:v>
                      </c:pt>
                      <c:pt idx="6">
                        <c:v>9.0799999237060494</c:v>
                      </c:pt>
                      <c:pt idx="7">
                        <c:v>0</c:v>
                      </c:pt>
                      <c:pt idx="8">
                        <c:v>0</c:v>
                      </c:pt>
                      <c:pt idx="9">
                        <c:v>0</c:v>
                      </c:pt>
                      <c:pt idx="10">
                        <c:v>0</c:v>
                      </c:pt>
                      <c:pt idx="11">
                        <c:v>0</c:v>
                      </c:pt>
                      <c:pt idx="12">
                        <c:v>0</c:v>
                      </c:pt>
                      <c:pt idx="13">
                        <c:v>0</c:v>
                      </c:pt>
                      <c:pt idx="14">
                        <c:v>0</c:v>
                      </c:pt>
                      <c:pt idx="15">
                        <c:v>0</c:v>
                      </c:pt>
                      <c:pt idx="16">
                        <c:v>1.7799999713897701</c:v>
                      </c:pt>
                      <c:pt idx="17">
                        <c:v>0</c:v>
                      </c:pt>
                      <c:pt idx="18">
                        <c:v>0</c:v>
                      </c:pt>
                      <c:pt idx="19">
                        <c:v>4.2300000190734899</c:v>
                      </c:pt>
                    </c:numCache>
                  </c:numRef>
                </c:val>
                <c:smooth val="0"/>
                <c:extLst xmlns:c15="http://schemas.microsoft.com/office/drawing/2012/chart">
                  <c:ext xmlns:c16="http://schemas.microsoft.com/office/drawing/2014/chart" uri="{C3380CC4-5D6E-409C-BE32-E72D297353CC}">
                    <c16:uniqueId val="{00000030-A1B9-4AF6-84C5-0202E4F52068}"/>
                  </c:ext>
                </c:extLst>
              </c15:ser>
            </c15:filteredLineSeries>
            <c15:filteredLineSeries>
              <c15:ser>
                <c:idx val="47"/>
                <c:order val="47"/>
                <c:tx>
                  <c:strRef>
                    <c:extLst xmlns:c15="http://schemas.microsoft.com/office/drawing/2012/chart">
                      <c:ext xmlns:c15="http://schemas.microsoft.com/office/drawing/2012/chart" uri="{02D57815-91ED-43cb-92C2-25804820EDAC}">
                        <c15:formulaRef>
                          <c15:sqref>'Data LM'!$A$46</c15:sqref>
                        </c15:formulaRef>
                      </c:ext>
                    </c:extLst>
                    <c:strCache>
                      <c:ptCount val="1"/>
                      <c:pt idx="0">
                        <c:v>Unemployment with basic education, male (% of male labor force with basic education)</c:v>
                      </c:pt>
                    </c:strCache>
                  </c:strRef>
                </c:tx>
                <c:spPr>
                  <a:ln w="28575" cap="rnd">
                    <a:solidFill>
                      <a:schemeClr val="accent6">
                        <a:lumMod val="70000"/>
                      </a:schemeClr>
                    </a:solidFill>
                    <a:round/>
                  </a:ln>
                  <a:effectLst/>
                </c:spPr>
                <c:marker>
                  <c:symbol val="circle"/>
                  <c:size val="5"/>
                  <c:spPr>
                    <a:solidFill>
                      <a:schemeClr val="accent6">
                        <a:lumMod val="70000"/>
                      </a:schemeClr>
                    </a:solidFill>
                    <a:ln w="9525">
                      <a:solidFill>
                        <a:schemeClr val="accent6">
                          <a:lumMod val="7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LM'!$C$46:$V$46</c15:sqref>
                        </c15:formulaRef>
                      </c:ext>
                    </c:extLst>
                    <c:numCache>
                      <c:formatCode>0.0</c:formatCode>
                      <c:ptCount val="20"/>
                      <c:pt idx="0">
                        <c:v>0</c:v>
                      </c:pt>
                      <c:pt idx="1">
                        <c:v>0</c:v>
                      </c:pt>
                      <c:pt idx="2">
                        <c:v>0</c:v>
                      </c:pt>
                      <c:pt idx="3">
                        <c:v>0</c:v>
                      </c:pt>
                      <c:pt idx="4">
                        <c:v>0</c:v>
                      </c:pt>
                      <c:pt idx="5">
                        <c:v>9.5</c:v>
                      </c:pt>
                      <c:pt idx="6">
                        <c:v>9.5</c:v>
                      </c:pt>
                      <c:pt idx="7">
                        <c:v>0</c:v>
                      </c:pt>
                      <c:pt idx="8">
                        <c:v>0</c:v>
                      </c:pt>
                      <c:pt idx="9">
                        <c:v>0</c:v>
                      </c:pt>
                      <c:pt idx="10">
                        <c:v>0</c:v>
                      </c:pt>
                      <c:pt idx="11">
                        <c:v>0</c:v>
                      </c:pt>
                      <c:pt idx="12">
                        <c:v>0</c:v>
                      </c:pt>
                      <c:pt idx="13">
                        <c:v>0</c:v>
                      </c:pt>
                      <c:pt idx="14">
                        <c:v>0</c:v>
                      </c:pt>
                      <c:pt idx="15">
                        <c:v>0</c:v>
                      </c:pt>
                      <c:pt idx="16">
                        <c:v>1.3999999761581401</c:v>
                      </c:pt>
                      <c:pt idx="17">
                        <c:v>0</c:v>
                      </c:pt>
                      <c:pt idx="18">
                        <c:v>0</c:v>
                      </c:pt>
                      <c:pt idx="19">
                        <c:v>4.0599999427795401</c:v>
                      </c:pt>
                    </c:numCache>
                  </c:numRef>
                </c:val>
                <c:smooth val="0"/>
                <c:extLst xmlns:c15="http://schemas.microsoft.com/office/drawing/2012/chart">
                  <c:ext xmlns:c16="http://schemas.microsoft.com/office/drawing/2014/chart" uri="{C3380CC4-5D6E-409C-BE32-E72D297353CC}">
                    <c16:uniqueId val="{00000031-A1B9-4AF6-84C5-0202E4F52068}"/>
                  </c:ext>
                </c:extLst>
              </c15:ser>
            </c15:filteredLineSeries>
            <c15:filteredLineSeries>
              <c15:ser>
                <c:idx val="48"/>
                <c:order val="48"/>
                <c:tx>
                  <c:strRef>
                    <c:extLst xmlns:c15="http://schemas.microsoft.com/office/drawing/2012/chart">
                      <c:ext xmlns:c15="http://schemas.microsoft.com/office/drawing/2012/chart" uri="{02D57815-91ED-43cb-92C2-25804820EDAC}">
                        <c15:formulaRef>
                          <c15:sqref>'Data LM'!$A$47</c15:sqref>
                        </c15:formulaRef>
                      </c:ext>
                    </c:extLst>
                    <c:strCache>
                      <c:ptCount val="1"/>
                      <c:pt idx="0">
                        <c:v>Unemployment with intermediate education (% of total labor force with intermediate education)</c:v>
                      </c:pt>
                    </c:strCache>
                  </c:strRef>
                </c:tx>
                <c:spPr>
                  <a:ln w="28575" cap="rnd">
                    <a:solidFill>
                      <a:schemeClr val="accent1">
                        <a:lumMod val="50000"/>
                        <a:lumOff val="50000"/>
                      </a:schemeClr>
                    </a:solid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LM'!$C$47:$V$47</c15:sqref>
                        </c15:formulaRef>
                      </c:ext>
                    </c:extLst>
                    <c:numCache>
                      <c:formatCode>0.0</c:formatCode>
                      <c:ptCount val="20"/>
                      <c:pt idx="0">
                        <c:v>0</c:v>
                      </c:pt>
                      <c:pt idx="1">
                        <c:v>0</c:v>
                      </c:pt>
                      <c:pt idx="2">
                        <c:v>0</c:v>
                      </c:pt>
                      <c:pt idx="3">
                        <c:v>0</c:v>
                      </c:pt>
                      <c:pt idx="4">
                        <c:v>0</c:v>
                      </c:pt>
                      <c:pt idx="5">
                        <c:v>12.3400001525879</c:v>
                      </c:pt>
                      <c:pt idx="6">
                        <c:v>12.3400001525879</c:v>
                      </c:pt>
                      <c:pt idx="7">
                        <c:v>0</c:v>
                      </c:pt>
                      <c:pt idx="8">
                        <c:v>0</c:v>
                      </c:pt>
                      <c:pt idx="9">
                        <c:v>0</c:v>
                      </c:pt>
                      <c:pt idx="10">
                        <c:v>0</c:v>
                      </c:pt>
                      <c:pt idx="11">
                        <c:v>0</c:v>
                      </c:pt>
                      <c:pt idx="12">
                        <c:v>0</c:v>
                      </c:pt>
                      <c:pt idx="13">
                        <c:v>0</c:v>
                      </c:pt>
                      <c:pt idx="14">
                        <c:v>0</c:v>
                      </c:pt>
                      <c:pt idx="15">
                        <c:v>0</c:v>
                      </c:pt>
                      <c:pt idx="16">
                        <c:v>4.1700000762939498</c:v>
                      </c:pt>
                      <c:pt idx="17">
                        <c:v>0</c:v>
                      </c:pt>
                      <c:pt idx="18">
                        <c:v>0</c:v>
                      </c:pt>
                      <c:pt idx="19">
                        <c:v>8.1400003433227504</c:v>
                      </c:pt>
                    </c:numCache>
                  </c:numRef>
                </c:val>
                <c:smooth val="0"/>
                <c:extLst xmlns:c15="http://schemas.microsoft.com/office/drawing/2012/chart">
                  <c:ext xmlns:c16="http://schemas.microsoft.com/office/drawing/2014/chart" uri="{C3380CC4-5D6E-409C-BE32-E72D297353CC}">
                    <c16:uniqueId val="{00000032-A1B9-4AF6-84C5-0202E4F52068}"/>
                  </c:ext>
                </c:extLst>
              </c15:ser>
            </c15:filteredLineSeries>
            <c15:filteredLineSeries>
              <c15:ser>
                <c:idx val="49"/>
                <c:order val="49"/>
                <c:tx>
                  <c:strRef>
                    <c:extLst xmlns:c15="http://schemas.microsoft.com/office/drawing/2012/chart">
                      <c:ext xmlns:c15="http://schemas.microsoft.com/office/drawing/2012/chart" uri="{02D57815-91ED-43cb-92C2-25804820EDAC}">
                        <c15:formulaRef>
                          <c15:sqref>'Data LM'!$A$48</c15:sqref>
                        </c15:formulaRef>
                      </c:ext>
                    </c:extLst>
                    <c:strCache>
                      <c:ptCount val="1"/>
                      <c:pt idx="0">
                        <c:v>Unemployment with intermediate education, female (% of female labor force with intermediate education)</c:v>
                      </c:pt>
                    </c:strCache>
                  </c:strRef>
                </c:tx>
                <c:spPr>
                  <a:ln w="28575" cap="rnd">
                    <a:solidFill>
                      <a:schemeClr val="accent2">
                        <a:lumMod val="50000"/>
                        <a:lumOff val="50000"/>
                      </a:schemeClr>
                    </a:solidFill>
                    <a:round/>
                  </a:ln>
                  <a:effectLst/>
                </c:spPr>
                <c:marker>
                  <c:symbol val="circle"/>
                  <c:size val="5"/>
                  <c:spPr>
                    <a:solidFill>
                      <a:schemeClr val="accent2">
                        <a:lumMod val="50000"/>
                        <a:lumOff val="50000"/>
                      </a:schemeClr>
                    </a:solidFill>
                    <a:ln w="9525">
                      <a:solidFill>
                        <a:schemeClr val="accent2">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LM'!$C$48:$V$48</c15:sqref>
                        </c15:formulaRef>
                      </c:ext>
                    </c:extLst>
                    <c:numCache>
                      <c:formatCode>0.0</c:formatCode>
                      <c:ptCount val="20"/>
                      <c:pt idx="0">
                        <c:v>0</c:v>
                      </c:pt>
                      <c:pt idx="1">
                        <c:v>0</c:v>
                      </c:pt>
                      <c:pt idx="2">
                        <c:v>0</c:v>
                      </c:pt>
                      <c:pt idx="3">
                        <c:v>0</c:v>
                      </c:pt>
                      <c:pt idx="4">
                        <c:v>0</c:v>
                      </c:pt>
                      <c:pt idx="5">
                        <c:v>16.340000152587901</c:v>
                      </c:pt>
                      <c:pt idx="6">
                        <c:v>16.340000152587901</c:v>
                      </c:pt>
                      <c:pt idx="7">
                        <c:v>0</c:v>
                      </c:pt>
                      <c:pt idx="8">
                        <c:v>0</c:v>
                      </c:pt>
                      <c:pt idx="9">
                        <c:v>0</c:v>
                      </c:pt>
                      <c:pt idx="10">
                        <c:v>0</c:v>
                      </c:pt>
                      <c:pt idx="11">
                        <c:v>0</c:v>
                      </c:pt>
                      <c:pt idx="12">
                        <c:v>0</c:v>
                      </c:pt>
                      <c:pt idx="13">
                        <c:v>0</c:v>
                      </c:pt>
                      <c:pt idx="14">
                        <c:v>0</c:v>
                      </c:pt>
                      <c:pt idx="15">
                        <c:v>0</c:v>
                      </c:pt>
                      <c:pt idx="16">
                        <c:v>4.8099999427795401</c:v>
                      </c:pt>
                      <c:pt idx="17">
                        <c:v>0</c:v>
                      </c:pt>
                      <c:pt idx="18">
                        <c:v>0</c:v>
                      </c:pt>
                      <c:pt idx="19">
                        <c:v>10.680000305175801</c:v>
                      </c:pt>
                    </c:numCache>
                  </c:numRef>
                </c:val>
                <c:smooth val="0"/>
                <c:extLst xmlns:c15="http://schemas.microsoft.com/office/drawing/2012/chart">
                  <c:ext xmlns:c16="http://schemas.microsoft.com/office/drawing/2014/chart" uri="{C3380CC4-5D6E-409C-BE32-E72D297353CC}">
                    <c16:uniqueId val="{00000033-A1B9-4AF6-84C5-0202E4F52068}"/>
                  </c:ext>
                </c:extLst>
              </c15:ser>
            </c15:filteredLineSeries>
            <c15:filteredLineSeries>
              <c15:ser>
                <c:idx val="50"/>
                <c:order val="50"/>
                <c:tx>
                  <c:strRef>
                    <c:extLst xmlns:c15="http://schemas.microsoft.com/office/drawing/2012/chart">
                      <c:ext xmlns:c15="http://schemas.microsoft.com/office/drawing/2012/chart" uri="{02D57815-91ED-43cb-92C2-25804820EDAC}">
                        <c15:formulaRef>
                          <c15:sqref>'Data LM'!$A$49</c15:sqref>
                        </c15:formulaRef>
                      </c:ext>
                    </c:extLst>
                    <c:strCache>
                      <c:ptCount val="1"/>
                      <c:pt idx="0">
                        <c:v>Unemployment with intermediate education, male (% of male labor force with intermediate education)</c:v>
                      </c:pt>
                    </c:strCache>
                  </c:strRef>
                </c:tx>
                <c:spPr>
                  <a:ln w="28575" cap="rnd">
                    <a:solidFill>
                      <a:schemeClr val="accent3">
                        <a:lumMod val="50000"/>
                        <a:lumOff val="50000"/>
                      </a:schemeClr>
                    </a:solidFill>
                    <a:round/>
                  </a:ln>
                  <a:effectLst/>
                </c:spPr>
                <c:marker>
                  <c:symbol val="circle"/>
                  <c:size val="5"/>
                  <c:spPr>
                    <a:solidFill>
                      <a:schemeClr val="accent3">
                        <a:lumMod val="50000"/>
                        <a:lumOff val="50000"/>
                      </a:schemeClr>
                    </a:solidFill>
                    <a:ln w="9525">
                      <a:solidFill>
                        <a:schemeClr val="accent3">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LM'!$C$49:$V$49</c15:sqref>
                        </c15:formulaRef>
                      </c:ext>
                    </c:extLst>
                    <c:numCache>
                      <c:formatCode>0.0</c:formatCode>
                      <c:ptCount val="20"/>
                      <c:pt idx="0">
                        <c:v>0</c:v>
                      </c:pt>
                      <c:pt idx="1">
                        <c:v>0</c:v>
                      </c:pt>
                      <c:pt idx="2">
                        <c:v>0</c:v>
                      </c:pt>
                      <c:pt idx="3">
                        <c:v>0</c:v>
                      </c:pt>
                      <c:pt idx="4">
                        <c:v>0</c:v>
                      </c:pt>
                      <c:pt idx="5">
                        <c:v>9.7399997711181605</c:v>
                      </c:pt>
                      <c:pt idx="6">
                        <c:v>9.7399997711181605</c:v>
                      </c:pt>
                      <c:pt idx="7">
                        <c:v>0</c:v>
                      </c:pt>
                      <c:pt idx="8">
                        <c:v>0</c:v>
                      </c:pt>
                      <c:pt idx="9">
                        <c:v>0</c:v>
                      </c:pt>
                      <c:pt idx="10">
                        <c:v>0</c:v>
                      </c:pt>
                      <c:pt idx="11">
                        <c:v>0</c:v>
                      </c:pt>
                      <c:pt idx="12">
                        <c:v>0</c:v>
                      </c:pt>
                      <c:pt idx="13">
                        <c:v>0</c:v>
                      </c:pt>
                      <c:pt idx="14">
                        <c:v>0</c:v>
                      </c:pt>
                      <c:pt idx="15">
                        <c:v>0</c:v>
                      </c:pt>
                      <c:pt idx="16">
                        <c:v>3.6500000953674299</c:v>
                      </c:pt>
                      <c:pt idx="17">
                        <c:v>0</c:v>
                      </c:pt>
                      <c:pt idx="18">
                        <c:v>0</c:v>
                      </c:pt>
                      <c:pt idx="19">
                        <c:v>6.5700001716613796</c:v>
                      </c:pt>
                    </c:numCache>
                  </c:numRef>
                </c:val>
                <c:smooth val="0"/>
                <c:extLst xmlns:c15="http://schemas.microsoft.com/office/drawing/2012/chart">
                  <c:ext xmlns:c16="http://schemas.microsoft.com/office/drawing/2014/chart" uri="{C3380CC4-5D6E-409C-BE32-E72D297353CC}">
                    <c16:uniqueId val="{00000034-A1B9-4AF6-84C5-0202E4F52068}"/>
                  </c:ext>
                </c:extLst>
              </c15:ser>
            </c15:filteredLineSeries>
            <c15:filteredLineSeries>
              <c15:ser>
                <c:idx val="51"/>
                <c:order val="51"/>
                <c:tx>
                  <c:strRef>
                    <c:extLst xmlns:c15="http://schemas.microsoft.com/office/drawing/2012/chart">
                      <c:ext xmlns:c15="http://schemas.microsoft.com/office/drawing/2012/chart" uri="{02D57815-91ED-43cb-92C2-25804820EDAC}">
                        <c15:formulaRef>
                          <c15:sqref>'Data LM'!$A$50</c15:sqref>
                        </c15:formulaRef>
                      </c:ext>
                    </c:extLst>
                    <c:strCache>
                      <c:ptCount val="1"/>
                      <c:pt idx="0">
                        <c:v>Unemployment, female (% of female labor force) (modeled ILO estimate)</c:v>
                      </c:pt>
                    </c:strCache>
                  </c:strRef>
                </c:tx>
                <c:spPr>
                  <a:ln w="28575" cap="rnd">
                    <a:solidFill>
                      <a:schemeClr val="accent4">
                        <a:lumMod val="50000"/>
                        <a:lumOff val="50000"/>
                      </a:schemeClr>
                    </a:solidFill>
                    <a:round/>
                  </a:ln>
                  <a:effectLst/>
                </c:spPr>
                <c:marker>
                  <c:symbol val="circle"/>
                  <c:size val="5"/>
                  <c:spPr>
                    <a:solidFill>
                      <a:schemeClr val="accent4">
                        <a:lumMod val="50000"/>
                        <a:lumOff val="50000"/>
                      </a:schemeClr>
                    </a:solidFill>
                    <a:ln w="9525">
                      <a:solidFill>
                        <a:schemeClr val="accent4">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LM'!$C$50:$V$50</c15:sqref>
                        </c15:formulaRef>
                      </c:ext>
                    </c:extLst>
                    <c:numCache>
                      <c:formatCode>0.0</c:formatCode>
                      <c:ptCount val="20"/>
                      <c:pt idx="0">
                        <c:v>3.2809998989105198</c:v>
                      </c:pt>
                      <c:pt idx="1">
                        <c:v>3.2439999580383301</c:v>
                      </c:pt>
                      <c:pt idx="2">
                        <c:v>3.2469999790191699</c:v>
                      </c:pt>
                      <c:pt idx="3">
                        <c:v>3.2149999141693102</c:v>
                      </c:pt>
                      <c:pt idx="4">
                        <c:v>3.1849999427795401</c:v>
                      </c:pt>
                      <c:pt idx="5">
                        <c:v>3.1619999408721902</c:v>
                      </c:pt>
                      <c:pt idx="6">
                        <c:v>3.1400001049041699</c:v>
                      </c:pt>
                      <c:pt idx="7">
                        <c:v>3.1199998855590798</c:v>
                      </c:pt>
                      <c:pt idx="8">
                        <c:v>3.1400001049041699</c:v>
                      </c:pt>
                      <c:pt idx="9">
                        <c:v>3.1029999256134002</c:v>
                      </c:pt>
                      <c:pt idx="10">
                        <c:v>3.05299997329712</c:v>
                      </c:pt>
                      <c:pt idx="11">
                        <c:v>3.0469999313354501</c:v>
                      </c:pt>
                      <c:pt idx="12">
                        <c:v>3.03600001335144</c:v>
                      </c:pt>
                      <c:pt idx="13">
                        <c:v>3.0079998970031698</c:v>
                      </c:pt>
                      <c:pt idx="14">
                        <c:v>2.9900000095367401</c:v>
                      </c:pt>
                      <c:pt idx="15">
                        <c:v>2.9670000076293901</c:v>
                      </c:pt>
                      <c:pt idx="16">
                        <c:v>2.9449999332428001</c:v>
                      </c:pt>
                      <c:pt idx="17">
                        <c:v>3.7170000076293901</c:v>
                      </c:pt>
                      <c:pt idx="18">
                        <c:v>4.47300004959106</c:v>
                      </c:pt>
                      <c:pt idx="19">
                        <c:v>5.2519998550415004</c:v>
                      </c:pt>
                    </c:numCache>
                  </c:numRef>
                </c:val>
                <c:smooth val="0"/>
                <c:extLst xmlns:c15="http://schemas.microsoft.com/office/drawing/2012/chart">
                  <c:ext xmlns:c16="http://schemas.microsoft.com/office/drawing/2014/chart" uri="{C3380CC4-5D6E-409C-BE32-E72D297353CC}">
                    <c16:uniqueId val="{00000035-A1B9-4AF6-84C5-0202E4F52068}"/>
                  </c:ext>
                </c:extLst>
              </c15:ser>
            </c15:filteredLineSeries>
            <c15:filteredLineSeries>
              <c15:ser>
                <c:idx val="52"/>
                <c:order val="52"/>
                <c:tx>
                  <c:strRef>
                    <c:extLst xmlns:c15="http://schemas.microsoft.com/office/drawing/2012/chart">
                      <c:ext xmlns:c15="http://schemas.microsoft.com/office/drawing/2012/chart" uri="{02D57815-91ED-43cb-92C2-25804820EDAC}">
                        <c15:formulaRef>
                          <c15:sqref>'Data LM'!$A$51</c15:sqref>
                        </c15:formulaRef>
                      </c:ext>
                    </c:extLst>
                    <c:strCache>
                      <c:ptCount val="1"/>
                      <c:pt idx="0">
                        <c:v>Unemployment, female (% of female labor force) (national estimate)</c:v>
                      </c:pt>
                    </c:strCache>
                  </c:strRef>
                </c:tx>
                <c:spPr>
                  <a:ln w="28575" cap="rnd">
                    <a:solidFill>
                      <a:schemeClr val="accent5">
                        <a:lumMod val="50000"/>
                        <a:lumOff val="50000"/>
                      </a:schemeClr>
                    </a:solidFill>
                    <a:round/>
                  </a:ln>
                  <a:effectLst/>
                </c:spPr>
                <c:marker>
                  <c:symbol val="circle"/>
                  <c:size val="5"/>
                  <c:spPr>
                    <a:solidFill>
                      <a:schemeClr val="accent5">
                        <a:lumMod val="50000"/>
                        <a:lumOff val="50000"/>
                      </a:schemeClr>
                    </a:solidFill>
                    <a:ln w="9525">
                      <a:solidFill>
                        <a:schemeClr val="accent5">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LM'!$C$51:$V$51</c15:sqref>
                        </c15:formulaRef>
                      </c:ext>
                    </c:extLst>
                    <c:numCache>
                      <c:formatCode>0.0</c:formatCode>
                      <c:ptCount val="20"/>
                      <c:pt idx="0">
                        <c:v>0</c:v>
                      </c:pt>
                      <c:pt idx="1">
                        <c:v>0</c:v>
                      </c:pt>
                      <c:pt idx="2">
                        <c:v>0</c:v>
                      </c:pt>
                      <c:pt idx="3">
                        <c:v>0</c:v>
                      </c:pt>
                      <c:pt idx="4">
                        <c:v>0</c:v>
                      </c:pt>
                      <c:pt idx="5">
                        <c:v>10.1300001144409</c:v>
                      </c:pt>
                      <c:pt idx="6">
                        <c:v>10.1300001144409</c:v>
                      </c:pt>
                      <c:pt idx="7">
                        <c:v>0</c:v>
                      </c:pt>
                      <c:pt idx="8">
                        <c:v>0</c:v>
                      </c:pt>
                      <c:pt idx="9">
                        <c:v>9.3999996185302699</c:v>
                      </c:pt>
                      <c:pt idx="10">
                        <c:v>0</c:v>
                      </c:pt>
                      <c:pt idx="11">
                        <c:v>0</c:v>
                      </c:pt>
                      <c:pt idx="12">
                        <c:v>0</c:v>
                      </c:pt>
                      <c:pt idx="13">
                        <c:v>0</c:v>
                      </c:pt>
                      <c:pt idx="14">
                        <c:v>0</c:v>
                      </c:pt>
                      <c:pt idx="15">
                        <c:v>0</c:v>
                      </c:pt>
                      <c:pt idx="16">
                        <c:v>2.9400000572204599</c:v>
                      </c:pt>
                      <c:pt idx="17">
                        <c:v>0</c:v>
                      </c:pt>
                      <c:pt idx="18">
                        <c:v>0</c:v>
                      </c:pt>
                      <c:pt idx="19">
                        <c:v>5.2600002288818404</c:v>
                      </c:pt>
                    </c:numCache>
                  </c:numRef>
                </c:val>
                <c:smooth val="0"/>
                <c:extLst xmlns:c15="http://schemas.microsoft.com/office/drawing/2012/chart">
                  <c:ext xmlns:c16="http://schemas.microsoft.com/office/drawing/2014/chart" uri="{C3380CC4-5D6E-409C-BE32-E72D297353CC}">
                    <c16:uniqueId val="{00000036-A1B9-4AF6-84C5-0202E4F52068}"/>
                  </c:ext>
                </c:extLst>
              </c15:ser>
            </c15:filteredLineSeries>
            <c15:filteredLineSeries>
              <c15:ser>
                <c:idx val="53"/>
                <c:order val="53"/>
                <c:tx>
                  <c:strRef>
                    <c:extLst xmlns:c15="http://schemas.microsoft.com/office/drawing/2012/chart">
                      <c:ext xmlns:c15="http://schemas.microsoft.com/office/drawing/2012/chart" uri="{02D57815-91ED-43cb-92C2-25804820EDAC}">
                        <c15:formulaRef>
                          <c15:sqref>'Data LM'!$A$52</c15:sqref>
                        </c15:formulaRef>
                      </c:ext>
                    </c:extLst>
                    <c:strCache>
                      <c:ptCount val="1"/>
                      <c:pt idx="0">
                        <c:v>Unemployment, male (% of male labor force) (modeled ILO estimate)</c:v>
                      </c:pt>
                    </c:strCache>
                  </c:strRef>
                </c:tx>
                <c:spPr>
                  <a:ln w="28575" cap="rnd">
                    <a:solidFill>
                      <a:schemeClr val="accent6">
                        <a:lumMod val="50000"/>
                        <a:lumOff val="50000"/>
                      </a:schemeClr>
                    </a:solidFill>
                    <a:round/>
                  </a:ln>
                  <a:effectLst/>
                </c:spPr>
                <c:marker>
                  <c:symbol val="circle"/>
                  <c:size val="5"/>
                  <c:spPr>
                    <a:solidFill>
                      <a:schemeClr val="accent6">
                        <a:lumMod val="50000"/>
                        <a:lumOff val="50000"/>
                      </a:schemeClr>
                    </a:solidFill>
                    <a:ln w="9525">
                      <a:solidFill>
                        <a:schemeClr val="accent6">
                          <a:lumMod val="50000"/>
                          <a:lumOff val="5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LM'!$C$52:$V$52</c15:sqref>
                        </c15:formulaRef>
                      </c:ext>
                    </c:extLst>
                    <c:numCache>
                      <c:formatCode>0.0</c:formatCode>
                      <c:ptCount val="20"/>
                      <c:pt idx="0">
                        <c:v>2.7660000324249299</c:v>
                      </c:pt>
                      <c:pt idx="1">
                        <c:v>2.7390000820159899</c:v>
                      </c:pt>
                      <c:pt idx="2">
                        <c:v>2.7509999275207502</c:v>
                      </c:pt>
                      <c:pt idx="3">
                        <c:v>2.7279999256134002</c:v>
                      </c:pt>
                      <c:pt idx="4">
                        <c:v>2.7070000171661399</c:v>
                      </c:pt>
                      <c:pt idx="5">
                        <c:v>2.6930000782012899</c:v>
                      </c:pt>
                      <c:pt idx="6">
                        <c:v>2.6809999942779501</c:v>
                      </c:pt>
                      <c:pt idx="7">
                        <c:v>2.6700000762939502</c:v>
                      </c:pt>
                      <c:pt idx="8">
                        <c:v>2.6989998817443799</c:v>
                      </c:pt>
                      <c:pt idx="9">
                        <c:v>2.6719999313354501</c:v>
                      </c:pt>
                      <c:pt idx="10">
                        <c:v>2.6329998970031698</c:v>
                      </c:pt>
                      <c:pt idx="11">
                        <c:v>2.6359999179840101</c:v>
                      </c:pt>
                      <c:pt idx="12">
                        <c:v>2.6340000629425</c:v>
                      </c:pt>
                      <c:pt idx="13">
                        <c:v>2.6170001029968302</c:v>
                      </c:pt>
                      <c:pt idx="14">
                        <c:v>2.6089999675750701</c:v>
                      </c:pt>
                      <c:pt idx="15">
                        <c:v>2.5959999561309801</c:v>
                      </c:pt>
                      <c:pt idx="16">
                        <c:v>2.5840001106262198</c:v>
                      </c:pt>
                      <c:pt idx="17">
                        <c:v>3.31599998474121</c:v>
                      </c:pt>
                      <c:pt idx="18">
                        <c:v>4.0329999923706099</c:v>
                      </c:pt>
                      <c:pt idx="19">
                        <c:v>4.7729997634887704</c:v>
                      </c:pt>
                    </c:numCache>
                  </c:numRef>
                </c:val>
                <c:smooth val="0"/>
                <c:extLst xmlns:c15="http://schemas.microsoft.com/office/drawing/2012/chart">
                  <c:ext xmlns:c16="http://schemas.microsoft.com/office/drawing/2014/chart" uri="{C3380CC4-5D6E-409C-BE32-E72D297353CC}">
                    <c16:uniqueId val="{00000037-A1B9-4AF6-84C5-0202E4F52068}"/>
                  </c:ext>
                </c:extLst>
              </c15:ser>
            </c15:filteredLineSeries>
            <c15:filteredLineSeries>
              <c15:ser>
                <c:idx val="54"/>
                <c:order val="54"/>
                <c:tx>
                  <c:strRef>
                    <c:extLst xmlns:c15="http://schemas.microsoft.com/office/drawing/2012/chart">
                      <c:ext xmlns:c15="http://schemas.microsoft.com/office/drawing/2012/chart" uri="{02D57815-91ED-43cb-92C2-25804820EDAC}">
                        <c15:formulaRef>
                          <c15:sqref>'Data LM'!$A$53</c15:sqref>
                        </c15:formulaRef>
                      </c:ext>
                    </c:extLst>
                    <c:strCache>
                      <c:ptCount val="1"/>
                      <c:pt idx="0">
                        <c:v>Unemployment, male (% of male labor force) (national estimate)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LM'!$C$53:$V$53</c15:sqref>
                        </c15:formulaRef>
                      </c:ext>
                    </c:extLst>
                    <c:numCache>
                      <c:formatCode>0.0</c:formatCode>
                      <c:ptCount val="20"/>
                      <c:pt idx="0">
                        <c:v>0</c:v>
                      </c:pt>
                      <c:pt idx="1">
                        <c:v>0</c:v>
                      </c:pt>
                      <c:pt idx="2">
                        <c:v>0</c:v>
                      </c:pt>
                      <c:pt idx="3">
                        <c:v>0</c:v>
                      </c:pt>
                      <c:pt idx="4">
                        <c:v>0</c:v>
                      </c:pt>
                      <c:pt idx="5">
                        <c:v>9.8100004196166992</c:v>
                      </c:pt>
                      <c:pt idx="6">
                        <c:v>9.8100004196166992</c:v>
                      </c:pt>
                      <c:pt idx="7">
                        <c:v>0</c:v>
                      </c:pt>
                      <c:pt idx="8">
                        <c:v>0</c:v>
                      </c:pt>
                      <c:pt idx="9">
                        <c:v>9.8999996185302699</c:v>
                      </c:pt>
                      <c:pt idx="10">
                        <c:v>0</c:v>
                      </c:pt>
                      <c:pt idx="11">
                        <c:v>0</c:v>
                      </c:pt>
                      <c:pt idx="12">
                        <c:v>0</c:v>
                      </c:pt>
                      <c:pt idx="13">
                        <c:v>0</c:v>
                      </c:pt>
                      <c:pt idx="14">
                        <c:v>0</c:v>
                      </c:pt>
                      <c:pt idx="15">
                        <c:v>0</c:v>
                      </c:pt>
                      <c:pt idx="16">
                        <c:v>2.5799999237060498</c:v>
                      </c:pt>
                      <c:pt idx="17">
                        <c:v>0</c:v>
                      </c:pt>
                      <c:pt idx="18">
                        <c:v>0</c:v>
                      </c:pt>
                      <c:pt idx="19">
                        <c:v>4.7800002098083496</c:v>
                      </c:pt>
                    </c:numCache>
                  </c:numRef>
                </c:val>
                <c:smooth val="0"/>
                <c:extLst xmlns:c15="http://schemas.microsoft.com/office/drawing/2012/chart">
                  <c:ext xmlns:c16="http://schemas.microsoft.com/office/drawing/2014/chart" uri="{C3380CC4-5D6E-409C-BE32-E72D297353CC}">
                    <c16:uniqueId val="{00000038-A1B9-4AF6-84C5-0202E4F52068}"/>
                  </c:ext>
                </c:extLst>
              </c15:ser>
            </c15:filteredLineSeries>
            <c15:filteredLineSeries>
              <c15:ser>
                <c:idx val="55"/>
                <c:order val="55"/>
                <c:tx>
                  <c:strRef>
                    <c:extLst xmlns:c15="http://schemas.microsoft.com/office/drawing/2012/chart">
                      <c:ext xmlns:c15="http://schemas.microsoft.com/office/drawing/2012/chart" uri="{02D57815-91ED-43cb-92C2-25804820EDAC}">
                        <c15:formulaRef>
                          <c15:sqref>'Data LM'!$A$54</c15:sqref>
                        </c15:formulaRef>
                      </c:ext>
                    </c:extLst>
                    <c:strCache>
                      <c:ptCount val="1"/>
                      <c:pt idx="0">
                        <c:v>Unemployment, total (% of total labor force) (modeled ILO estimate)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LM'!$C$54:$V$54</c15:sqref>
                        </c15:formulaRef>
                      </c:ext>
                    </c:extLst>
                    <c:numCache>
                      <c:formatCode>0.0</c:formatCode>
                      <c:ptCount val="20"/>
                      <c:pt idx="0">
                        <c:v>3.0209999084472701</c:v>
                      </c:pt>
                      <c:pt idx="1">
                        <c:v>2.9890000820159899</c:v>
                      </c:pt>
                      <c:pt idx="2">
                        <c:v>2.99600005149841</c:v>
                      </c:pt>
                      <c:pt idx="3">
                        <c:v>2.9690001010894802</c:v>
                      </c:pt>
                      <c:pt idx="4">
                        <c:v>2.9419999122619598</c:v>
                      </c:pt>
                      <c:pt idx="5">
                        <c:v>2.92400002479553</c:v>
                      </c:pt>
                      <c:pt idx="6">
                        <c:v>2.90700006484985</c:v>
                      </c:pt>
                      <c:pt idx="7">
                        <c:v>2.8910000324249299</c:v>
                      </c:pt>
                      <c:pt idx="8">
                        <c:v>2.9159998893737802</c:v>
                      </c:pt>
                      <c:pt idx="9">
                        <c:v>2.8840000629425</c:v>
                      </c:pt>
                      <c:pt idx="10">
                        <c:v>2.83899998664856</c:v>
                      </c:pt>
                      <c:pt idx="11">
                        <c:v>2.8369998931884801</c:v>
                      </c:pt>
                      <c:pt idx="12">
                        <c:v>2.8310000896453902</c:v>
                      </c:pt>
                      <c:pt idx="13">
                        <c:v>2.8080000877380402</c:v>
                      </c:pt>
                      <c:pt idx="14">
                        <c:v>2.7950000762939502</c:v>
                      </c:pt>
                      <c:pt idx="15">
                        <c:v>2.77699995040894</c:v>
                      </c:pt>
                      <c:pt idx="16">
                        <c:v>2.7599999904632599</c:v>
                      </c:pt>
                      <c:pt idx="17">
                        <c:v>3.51300001144409</c:v>
                      </c:pt>
                      <c:pt idx="18">
                        <c:v>4.2490000724792498</c:v>
                      </c:pt>
                      <c:pt idx="19">
                        <c:v>5.0100002288818404</c:v>
                      </c:pt>
                    </c:numCache>
                  </c:numRef>
                </c:val>
                <c:smooth val="0"/>
                <c:extLst xmlns:c15="http://schemas.microsoft.com/office/drawing/2012/chart">
                  <c:ext xmlns:c16="http://schemas.microsoft.com/office/drawing/2014/chart" uri="{C3380CC4-5D6E-409C-BE32-E72D297353CC}">
                    <c16:uniqueId val="{00000039-A1B9-4AF6-84C5-0202E4F52068}"/>
                  </c:ext>
                </c:extLst>
              </c15:ser>
            </c15:filteredLineSeries>
            <c15:filteredLineSeries>
              <c15:ser>
                <c:idx val="56"/>
                <c:order val="56"/>
                <c:tx>
                  <c:strRef>
                    <c:extLst xmlns:c15="http://schemas.microsoft.com/office/drawing/2012/chart">
                      <c:ext xmlns:c15="http://schemas.microsoft.com/office/drawing/2012/chart" uri="{02D57815-91ED-43cb-92C2-25804820EDAC}">
                        <c15:formulaRef>
                          <c15:sqref>'Data LM'!$A$55</c15:sqref>
                        </c15:formulaRef>
                      </c:ext>
                    </c:extLst>
                    <c:strCache>
                      <c:ptCount val="1"/>
                      <c:pt idx="0">
                        <c:v>Unemployment, total (% of total labor force) (national estimate)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LM'!$C$55:$V$55</c15:sqref>
                        </c15:formulaRef>
                      </c:ext>
                    </c:extLst>
                    <c:numCache>
                      <c:formatCode>0.0</c:formatCode>
                      <c:ptCount val="20"/>
                      <c:pt idx="0">
                        <c:v>0</c:v>
                      </c:pt>
                      <c:pt idx="1">
                        <c:v>0</c:v>
                      </c:pt>
                      <c:pt idx="2">
                        <c:v>0</c:v>
                      </c:pt>
                      <c:pt idx="3">
                        <c:v>0</c:v>
                      </c:pt>
                      <c:pt idx="4">
                        <c:v>0</c:v>
                      </c:pt>
                      <c:pt idx="5">
                        <c:v>9.9600000381469709</c:v>
                      </c:pt>
                      <c:pt idx="6">
                        <c:v>9.9600000381469709</c:v>
                      </c:pt>
                      <c:pt idx="7">
                        <c:v>0</c:v>
                      </c:pt>
                      <c:pt idx="8">
                        <c:v>0</c:v>
                      </c:pt>
                      <c:pt idx="9">
                        <c:v>9.6000003814697301</c:v>
                      </c:pt>
                      <c:pt idx="10">
                        <c:v>0</c:v>
                      </c:pt>
                      <c:pt idx="11">
                        <c:v>0</c:v>
                      </c:pt>
                      <c:pt idx="12">
                        <c:v>0</c:v>
                      </c:pt>
                      <c:pt idx="13">
                        <c:v>0</c:v>
                      </c:pt>
                      <c:pt idx="14">
                        <c:v>0</c:v>
                      </c:pt>
                      <c:pt idx="15">
                        <c:v>0</c:v>
                      </c:pt>
                      <c:pt idx="16">
                        <c:v>2.7599999904632599</c:v>
                      </c:pt>
                      <c:pt idx="17">
                        <c:v>0</c:v>
                      </c:pt>
                      <c:pt idx="18">
                        <c:v>0</c:v>
                      </c:pt>
                      <c:pt idx="19">
                        <c:v>5.0100002288818404</c:v>
                      </c:pt>
                    </c:numCache>
                  </c:numRef>
                </c:val>
                <c:smooth val="0"/>
                <c:extLst xmlns:c15="http://schemas.microsoft.com/office/drawing/2012/chart">
                  <c:ext xmlns:c16="http://schemas.microsoft.com/office/drawing/2014/chart" uri="{C3380CC4-5D6E-409C-BE32-E72D297353CC}">
                    <c16:uniqueId val="{0000003A-A1B9-4AF6-84C5-0202E4F52068}"/>
                  </c:ext>
                </c:extLst>
              </c15:ser>
            </c15:filteredLineSeries>
            <c15:filteredLineSeries>
              <c15:ser>
                <c:idx val="57"/>
                <c:order val="57"/>
                <c:tx>
                  <c:strRef>
                    <c:extLst xmlns:c15="http://schemas.microsoft.com/office/drawing/2012/chart">
                      <c:ext xmlns:c15="http://schemas.microsoft.com/office/drawing/2012/chart" uri="{02D57815-91ED-43cb-92C2-25804820EDAC}">
                        <c15:formulaRef>
                          <c15:sqref>'Data LM'!$A$56</c15:sqref>
                        </c15:formulaRef>
                      </c:ext>
                    </c:extLst>
                    <c:strCache>
                      <c:ptCount val="1"/>
                      <c:pt idx="0">
                        <c:v>Unemployment, youth female (% of female labor force ages 15-24) (modeled ILO estimate)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LM'!$C$56:$V$56</c15:sqref>
                        </c15:formulaRef>
                      </c:ext>
                    </c:extLst>
                    <c:numCache>
                      <c:formatCode>0.0</c:formatCode>
                      <c:ptCount val="20"/>
                      <c:pt idx="0">
                        <c:v>6.8889999389648402</c:v>
                      </c:pt>
                      <c:pt idx="1">
                        <c:v>6.8670001029968297</c:v>
                      </c:pt>
                      <c:pt idx="2">
                        <c:v>6.9120001792907697</c:v>
                      </c:pt>
                      <c:pt idx="3">
                        <c:v>6.90199995040894</c:v>
                      </c:pt>
                      <c:pt idx="4">
                        <c:v>6.9000000953674299</c:v>
                      </c:pt>
                      <c:pt idx="5">
                        <c:v>6.9219999313354501</c:v>
                      </c:pt>
                      <c:pt idx="6">
                        <c:v>6.9640002250671396</c:v>
                      </c:pt>
                      <c:pt idx="7">
                        <c:v>7.01300001144409</c:v>
                      </c:pt>
                      <c:pt idx="8">
                        <c:v>7.1399998664856001</c:v>
                      </c:pt>
                      <c:pt idx="9">
                        <c:v>7.1609997749328604</c:v>
                      </c:pt>
                      <c:pt idx="10">
                        <c:v>7.1539998054504403</c:v>
                      </c:pt>
                      <c:pt idx="11">
                        <c:v>7.2270002365112296</c:v>
                      </c:pt>
                      <c:pt idx="12">
                        <c:v>7.2870001792907697</c:v>
                      </c:pt>
                      <c:pt idx="13">
                        <c:v>7.3109998703002903</c:v>
                      </c:pt>
                      <c:pt idx="14">
                        <c:v>7.3470001220703098</c:v>
                      </c:pt>
                      <c:pt idx="15">
                        <c:v>7.3649997711181596</c:v>
                      </c:pt>
                      <c:pt idx="16">
                        <c:v>7.3810000419616699</c:v>
                      </c:pt>
                      <c:pt idx="17">
                        <c:v>9.2959995269775408</c:v>
                      </c:pt>
                      <c:pt idx="18">
                        <c:v>11.201000213623001</c:v>
                      </c:pt>
                      <c:pt idx="19">
                        <c:v>13.1759996414185</c:v>
                      </c:pt>
                    </c:numCache>
                  </c:numRef>
                </c:val>
                <c:smooth val="0"/>
                <c:extLst xmlns:c15="http://schemas.microsoft.com/office/drawing/2012/chart">
                  <c:ext xmlns:c16="http://schemas.microsoft.com/office/drawing/2014/chart" uri="{C3380CC4-5D6E-409C-BE32-E72D297353CC}">
                    <c16:uniqueId val="{0000003B-A1B9-4AF6-84C5-0202E4F52068}"/>
                  </c:ext>
                </c:extLst>
              </c15:ser>
            </c15:filteredLineSeries>
            <c15:filteredLineSeries>
              <c15:ser>
                <c:idx val="58"/>
                <c:order val="58"/>
                <c:tx>
                  <c:strRef>
                    <c:extLst xmlns:c15="http://schemas.microsoft.com/office/drawing/2012/chart">
                      <c:ext xmlns:c15="http://schemas.microsoft.com/office/drawing/2012/chart" uri="{02D57815-91ED-43cb-92C2-25804820EDAC}">
                        <c15:formulaRef>
                          <c15:sqref>'Data LM'!$A$57</c15:sqref>
                        </c15:formulaRef>
                      </c:ext>
                    </c:extLst>
                    <c:strCache>
                      <c:ptCount val="1"/>
                      <c:pt idx="0">
                        <c:v>Unemployment, youth female (% of female labor force ages 15-24) (national estimate)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LM'!$C$57:$V$57</c15:sqref>
                        </c15:formulaRef>
                      </c:ext>
                    </c:extLst>
                    <c:numCache>
                      <c:formatCode>0.0</c:formatCode>
                      <c:ptCount val="20"/>
                      <c:pt idx="0">
                        <c:v>0</c:v>
                      </c:pt>
                      <c:pt idx="1">
                        <c:v>0</c:v>
                      </c:pt>
                      <c:pt idx="2">
                        <c:v>0</c:v>
                      </c:pt>
                      <c:pt idx="3">
                        <c:v>0</c:v>
                      </c:pt>
                      <c:pt idx="4">
                        <c:v>0</c:v>
                      </c:pt>
                      <c:pt idx="5">
                        <c:v>20.610000610351602</c:v>
                      </c:pt>
                      <c:pt idx="6">
                        <c:v>20.610000610351602</c:v>
                      </c:pt>
                      <c:pt idx="7">
                        <c:v>0</c:v>
                      </c:pt>
                      <c:pt idx="8">
                        <c:v>0</c:v>
                      </c:pt>
                      <c:pt idx="9">
                        <c:v>0</c:v>
                      </c:pt>
                      <c:pt idx="10">
                        <c:v>0</c:v>
                      </c:pt>
                      <c:pt idx="11">
                        <c:v>0</c:v>
                      </c:pt>
                      <c:pt idx="12">
                        <c:v>0</c:v>
                      </c:pt>
                      <c:pt idx="13">
                        <c:v>0</c:v>
                      </c:pt>
                      <c:pt idx="14">
                        <c:v>0</c:v>
                      </c:pt>
                      <c:pt idx="15">
                        <c:v>0</c:v>
                      </c:pt>
                      <c:pt idx="16">
                        <c:v>7.4299998283386204</c:v>
                      </c:pt>
                      <c:pt idx="17">
                        <c:v>0</c:v>
                      </c:pt>
                      <c:pt idx="18">
                        <c:v>0</c:v>
                      </c:pt>
                      <c:pt idx="19">
                        <c:v>13.8400001525879</c:v>
                      </c:pt>
                    </c:numCache>
                  </c:numRef>
                </c:val>
                <c:smooth val="0"/>
                <c:extLst xmlns:c15="http://schemas.microsoft.com/office/drawing/2012/chart">
                  <c:ext xmlns:c16="http://schemas.microsoft.com/office/drawing/2014/chart" uri="{C3380CC4-5D6E-409C-BE32-E72D297353CC}">
                    <c16:uniqueId val="{0000003C-A1B9-4AF6-84C5-0202E4F52068}"/>
                  </c:ext>
                </c:extLst>
              </c15:ser>
            </c15:filteredLineSeries>
            <c15:filteredLineSeries>
              <c15:ser>
                <c:idx val="59"/>
                <c:order val="59"/>
                <c:tx>
                  <c:strRef>
                    <c:extLst xmlns:c15="http://schemas.microsoft.com/office/drawing/2012/chart">
                      <c:ext xmlns:c15="http://schemas.microsoft.com/office/drawing/2012/chart" uri="{02D57815-91ED-43cb-92C2-25804820EDAC}">
                        <c15:formulaRef>
                          <c15:sqref>'Data LM'!$A$58</c15:sqref>
                        </c15:formulaRef>
                      </c:ext>
                    </c:extLst>
                    <c:strCache>
                      <c:ptCount val="1"/>
                      <c:pt idx="0">
                        <c:v>Unemployment, youth male (% of male labor force ages 15-24) (modeled ILO estimate)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LM'!$C$58:$V$58</c15:sqref>
                        </c15:formulaRef>
                      </c:ext>
                    </c:extLst>
                    <c:numCache>
                      <c:formatCode>0.0</c:formatCode>
                      <c:ptCount val="20"/>
                      <c:pt idx="0">
                        <c:v>6.67799997329712</c:v>
                      </c:pt>
                      <c:pt idx="1">
                        <c:v>6.6550002098083496</c:v>
                      </c:pt>
                      <c:pt idx="2">
                        <c:v>6.7059998512268102</c:v>
                      </c:pt>
                      <c:pt idx="3">
                        <c:v>6.69700002670288</c:v>
                      </c:pt>
                      <c:pt idx="4">
                        <c:v>6.6979999542236301</c:v>
                      </c:pt>
                      <c:pt idx="5">
                        <c:v>6.7259998321533203</c:v>
                      </c:pt>
                      <c:pt idx="6">
                        <c:v>6.7779998779296902</c:v>
                      </c:pt>
                      <c:pt idx="7">
                        <c:v>6.8390002250671396</c:v>
                      </c:pt>
                      <c:pt idx="8">
                        <c:v>6.9860000610351598</c:v>
                      </c:pt>
                      <c:pt idx="9">
                        <c:v>7.0139999389648402</c:v>
                      </c:pt>
                      <c:pt idx="10">
                        <c:v>7.0100002288818404</c:v>
                      </c:pt>
                      <c:pt idx="11">
                        <c:v>7.0939998626709002</c:v>
                      </c:pt>
                      <c:pt idx="12">
                        <c:v>7.1640000343322798</c:v>
                      </c:pt>
                      <c:pt idx="13">
                        <c:v>7.1919999122619602</c:v>
                      </c:pt>
                      <c:pt idx="14">
                        <c:v>7.2329998016357404</c:v>
                      </c:pt>
                      <c:pt idx="15">
                        <c:v>7.2529997825622603</c:v>
                      </c:pt>
                      <c:pt idx="16">
                        <c:v>7.2699999809265101</c:v>
                      </c:pt>
                      <c:pt idx="17">
                        <c:v>8.6630001068115199</c:v>
                      </c:pt>
                      <c:pt idx="18">
                        <c:v>10.055000305175801</c:v>
                      </c:pt>
                      <c:pt idx="19">
                        <c:v>11.519000053405801</c:v>
                      </c:pt>
                    </c:numCache>
                  </c:numRef>
                </c:val>
                <c:smooth val="0"/>
                <c:extLst xmlns:c15="http://schemas.microsoft.com/office/drawing/2012/chart">
                  <c:ext xmlns:c16="http://schemas.microsoft.com/office/drawing/2014/chart" uri="{C3380CC4-5D6E-409C-BE32-E72D297353CC}">
                    <c16:uniqueId val="{0000003D-A1B9-4AF6-84C5-0202E4F52068}"/>
                  </c:ext>
                </c:extLst>
              </c15:ser>
            </c15:filteredLineSeries>
            <c15:filteredLineSeries>
              <c15:ser>
                <c:idx val="60"/>
                <c:order val="60"/>
                <c:tx>
                  <c:strRef>
                    <c:extLst xmlns:c15="http://schemas.microsoft.com/office/drawing/2012/chart">
                      <c:ext xmlns:c15="http://schemas.microsoft.com/office/drawing/2012/chart" uri="{02D57815-91ED-43cb-92C2-25804820EDAC}">
                        <c15:formulaRef>
                          <c15:sqref>'Data LM'!$A$59</c15:sqref>
                        </c15:formulaRef>
                      </c:ext>
                    </c:extLst>
                    <c:strCache>
                      <c:ptCount val="1"/>
                      <c:pt idx="0">
                        <c:v>Unemployment, youth male (% of male labor force ages 15-24) (national estimate)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LM'!$C$59:$V$59</c15:sqref>
                        </c15:formulaRef>
                      </c:ext>
                    </c:extLst>
                    <c:numCache>
                      <c:formatCode>0.0</c:formatCode>
                      <c:ptCount val="20"/>
                      <c:pt idx="0">
                        <c:v>0</c:v>
                      </c:pt>
                      <c:pt idx="1">
                        <c:v>0</c:v>
                      </c:pt>
                      <c:pt idx="2">
                        <c:v>0</c:v>
                      </c:pt>
                      <c:pt idx="3">
                        <c:v>0</c:v>
                      </c:pt>
                      <c:pt idx="4">
                        <c:v>0</c:v>
                      </c:pt>
                      <c:pt idx="5">
                        <c:v>18.879999160766602</c:v>
                      </c:pt>
                      <c:pt idx="6">
                        <c:v>18.879999160766602</c:v>
                      </c:pt>
                      <c:pt idx="7">
                        <c:v>0</c:v>
                      </c:pt>
                      <c:pt idx="8">
                        <c:v>0</c:v>
                      </c:pt>
                      <c:pt idx="9">
                        <c:v>0</c:v>
                      </c:pt>
                      <c:pt idx="10">
                        <c:v>0</c:v>
                      </c:pt>
                      <c:pt idx="11">
                        <c:v>0</c:v>
                      </c:pt>
                      <c:pt idx="12">
                        <c:v>0</c:v>
                      </c:pt>
                      <c:pt idx="13">
                        <c:v>0</c:v>
                      </c:pt>
                      <c:pt idx="14">
                        <c:v>0</c:v>
                      </c:pt>
                      <c:pt idx="15">
                        <c:v>0</c:v>
                      </c:pt>
                      <c:pt idx="16">
                        <c:v>7.28999996185303</c:v>
                      </c:pt>
                      <c:pt idx="17">
                        <c:v>0</c:v>
                      </c:pt>
                      <c:pt idx="18">
                        <c:v>0</c:v>
                      </c:pt>
                      <c:pt idx="19">
                        <c:v>11.9799995422363</c:v>
                      </c:pt>
                    </c:numCache>
                  </c:numRef>
                </c:val>
                <c:smooth val="0"/>
                <c:extLst xmlns:c15="http://schemas.microsoft.com/office/drawing/2012/chart">
                  <c:ext xmlns:c16="http://schemas.microsoft.com/office/drawing/2014/chart" uri="{C3380CC4-5D6E-409C-BE32-E72D297353CC}">
                    <c16:uniqueId val="{0000003E-A1B9-4AF6-84C5-0202E4F52068}"/>
                  </c:ext>
                </c:extLst>
              </c15:ser>
            </c15:filteredLineSeries>
            <c15:filteredLineSeries>
              <c15:ser>
                <c:idx val="61"/>
                <c:order val="61"/>
                <c:tx>
                  <c:strRef>
                    <c:extLst xmlns:c15="http://schemas.microsoft.com/office/drawing/2012/chart">
                      <c:ext xmlns:c15="http://schemas.microsoft.com/office/drawing/2012/chart" uri="{02D57815-91ED-43cb-92C2-25804820EDAC}">
                        <c15:formulaRef>
                          <c15:sqref>'Data LM'!$A$60</c15:sqref>
                        </c15:formulaRef>
                      </c:ext>
                    </c:extLst>
                    <c:strCache>
                      <c:ptCount val="1"/>
                      <c:pt idx="0">
                        <c:v>Unemployment, youth total (% of total labor force ages 15-24) (modeled ILO estimate)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LM'!$C$60:$V$60</c15:sqref>
                        </c15:formulaRef>
                      </c:ext>
                    </c:extLst>
                    <c:numCache>
                      <c:formatCode>0.0</c:formatCode>
                      <c:ptCount val="20"/>
                      <c:pt idx="0">
                        <c:v>6.7880001068115199</c:v>
                      </c:pt>
                      <c:pt idx="1">
                        <c:v>6.7639999389648402</c:v>
                      </c:pt>
                      <c:pt idx="2">
                        <c:v>6.8119997978210396</c:v>
                      </c:pt>
                      <c:pt idx="3">
                        <c:v>6.8020000457763699</c:v>
                      </c:pt>
                      <c:pt idx="4">
                        <c:v>6.8010001182556197</c:v>
                      </c:pt>
                      <c:pt idx="5">
                        <c:v>6.8249998092651403</c:v>
                      </c:pt>
                      <c:pt idx="6">
                        <c:v>6.8720002174377397</c:v>
                      </c:pt>
                      <c:pt idx="7">
                        <c:v>6.9270000457763699</c:v>
                      </c:pt>
                      <c:pt idx="8">
                        <c:v>7.0630002021789604</c:v>
                      </c:pt>
                      <c:pt idx="9">
                        <c:v>7.0869998931884801</c:v>
                      </c:pt>
                      <c:pt idx="10">
                        <c:v>7.0819997787475604</c:v>
                      </c:pt>
                      <c:pt idx="11">
                        <c:v>7.1599998474121103</c:v>
                      </c:pt>
                      <c:pt idx="12">
                        <c:v>7.2249999046325701</c:v>
                      </c:pt>
                      <c:pt idx="13">
                        <c:v>7.25</c:v>
                      </c:pt>
                      <c:pt idx="14">
                        <c:v>7.2880001068115199</c:v>
                      </c:pt>
                      <c:pt idx="15">
                        <c:v>7.3080000877380398</c:v>
                      </c:pt>
                      <c:pt idx="16">
                        <c:v>7.3239998817443803</c:v>
                      </c:pt>
                      <c:pt idx="17">
                        <c:v>8.9709997177124006</c:v>
                      </c:pt>
                      <c:pt idx="18">
                        <c:v>10.616000175476101</c:v>
                      </c:pt>
                      <c:pt idx="19">
                        <c:v>12.3369998931885</c:v>
                      </c:pt>
                    </c:numCache>
                  </c:numRef>
                </c:val>
                <c:smooth val="0"/>
                <c:extLst xmlns:c15="http://schemas.microsoft.com/office/drawing/2012/chart">
                  <c:ext xmlns:c16="http://schemas.microsoft.com/office/drawing/2014/chart" uri="{C3380CC4-5D6E-409C-BE32-E72D297353CC}">
                    <c16:uniqueId val="{0000003F-A1B9-4AF6-84C5-0202E4F52068}"/>
                  </c:ext>
                </c:extLst>
              </c15:ser>
            </c15:filteredLineSeries>
            <c15:filteredLineSeries>
              <c15:ser>
                <c:idx val="62"/>
                <c:order val="62"/>
                <c:tx>
                  <c:strRef>
                    <c:extLst xmlns:c15="http://schemas.microsoft.com/office/drawing/2012/chart">
                      <c:ext xmlns:c15="http://schemas.microsoft.com/office/drawing/2012/chart" uri="{02D57815-91ED-43cb-92C2-25804820EDAC}">
                        <c15:formulaRef>
                          <c15:sqref>'Data LM'!$A$61</c15:sqref>
                        </c15:formulaRef>
                      </c:ext>
                    </c:extLst>
                    <c:strCache>
                      <c:ptCount val="1"/>
                      <c:pt idx="0">
                        <c:v>Unemployment, youth total (% of total labor force ages 15-24) (national estimate)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LM'!$C$61:$V$61</c15:sqref>
                        </c15:formulaRef>
                      </c:ext>
                    </c:extLst>
                    <c:numCache>
                      <c:formatCode>0.0</c:formatCode>
                      <c:ptCount val="20"/>
                      <c:pt idx="0">
                        <c:v>0</c:v>
                      </c:pt>
                      <c:pt idx="1">
                        <c:v>0</c:v>
                      </c:pt>
                      <c:pt idx="2">
                        <c:v>0</c:v>
                      </c:pt>
                      <c:pt idx="3">
                        <c:v>0</c:v>
                      </c:pt>
                      <c:pt idx="4">
                        <c:v>0</c:v>
                      </c:pt>
                      <c:pt idx="5">
                        <c:v>19.649999618530298</c:v>
                      </c:pt>
                      <c:pt idx="6">
                        <c:v>19.649999618530298</c:v>
                      </c:pt>
                      <c:pt idx="7">
                        <c:v>0</c:v>
                      </c:pt>
                      <c:pt idx="8">
                        <c:v>0</c:v>
                      </c:pt>
                      <c:pt idx="9">
                        <c:v>0</c:v>
                      </c:pt>
                      <c:pt idx="10">
                        <c:v>0</c:v>
                      </c:pt>
                      <c:pt idx="11">
                        <c:v>0</c:v>
                      </c:pt>
                      <c:pt idx="12">
                        <c:v>0</c:v>
                      </c:pt>
                      <c:pt idx="13">
                        <c:v>0</c:v>
                      </c:pt>
                      <c:pt idx="14">
                        <c:v>0</c:v>
                      </c:pt>
                      <c:pt idx="15">
                        <c:v>0</c:v>
                      </c:pt>
                      <c:pt idx="16">
                        <c:v>7.3600001335143999</c:v>
                      </c:pt>
                      <c:pt idx="17">
                        <c:v>0</c:v>
                      </c:pt>
                      <c:pt idx="18">
                        <c:v>0</c:v>
                      </c:pt>
                      <c:pt idx="19">
                        <c:v>12.8500003814697</c:v>
                      </c:pt>
                    </c:numCache>
                  </c:numRef>
                </c:val>
                <c:smooth val="0"/>
                <c:extLst xmlns:c15="http://schemas.microsoft.com/office/drawing/2012/chart">
                  <c:ext xmlns:c16="http://schemas.microsoft.com/office/drawing/2014/chart" uri="{C3380CC4-5D6E-409C-BE32-E72D297353CC}">
                    <c16:uniqueId val="{00000040-A1B9-4AF6-84C5-0202E4F52068}"/>
                  </c:ext>
                </c:extLst>
              </c15:ser>
            </c15:filteredLineSeries>
            <c15:filteredLineSeries>
              <c15:ser>
                <c:idx val="65"/>
                <c:order val="65"/>
                <c:tx>
                  <c:strRef>
                    <c:extLst xmlns:c15="http://schemas.microsoft.com/office/drawing/2012/chart">
                      <c:ext xmlns:c15="http://schemas.microsoft.com/office/drawing/2012/chart" uri="{02D57815-91ED-43cb-92C2-25804820EDAC}">
                        <c15:formulaRef>
                          <c15:sqref>'Data LM'!$A$64</c15:sqref>
                        </c15:formulaRef>
                      </c:ext>
                    </c:extLst>
                    <c:strCache>
                      <c:ptCount val="1"/>
                      <c:pt idx="0">
                        <c:v>Vulnerable employment, total (% of total employment) (modeled ILO estimate)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LM'!$C$64:$V$64</c15:sqref>
                        </c15:formulaRef>
                      </c:ext>
                    </c:extLst>
                    <c:numCache>
                      <c:formatCode>0.0</c:formatCode>
                      <c:ptCount val="20"/>
                      <c:pt idx="0">
                        <c:v>59.989997863769503</c:v>
                      </c:pt>
                      <c:pt idx="1">
                        <c:v>61.530002593994197</c:v>
                      </c:pt>
                      <c:pt idx="2">
                        <c:v>62.960000991821303</c:v>
                      </c:pt>
                      <c:pt idx="3">
                        <c:v>64.280000686645508</c:v>
                      </c:pt>
                      <c:pt idx="4">
                        <c:v>65.049999237060504</c:v>
                      </c:pt>
                      <c:pt idx="5">
                        <c:v>65.670001983642493</c:v>
                      </c:pt>
                      <c:pt idx="6">
                        <c:v>66.640001296997099</c:v>
                      </c:pt>
                      <c:pt idx="7">
                        <c:v>64.93000030517581</c:v>
                      </c:pt>
                      <c:pt idx="8">
                        <c:v>63.950000762939503</c:v>
                      </c:pt>
                      <c:pt idx="9">
                        <c:v>62.510000228881907</c:v>
                      </c:pt>
                      <c:pt idx="10">
                        <c:v>60.75</c:v>
                      </c:pt>
                      <c:pt idx="11">
                        <c:v>59.020000457763601</c:v>
                      </c:pt>
                      <c:pt idx="12">
                        <c:v>57.559999465942298</c:v>
                      </c:pt>
                      <c:pt idx="13">
                        <c:v>56.0900011062622</c:v>
                      </c:pt>
                      <c:pt idx="14">
                        <c:v>54.720001220703097</c:v>
                      </c:pt>
                      <c:pt idx="15">
                        <c:v>53.319999694824226</c:v>
                      </c:pt>
                      <c:pt idx="16">
                        <c:v>52.050001144409144</c:v>
                      </c:pt>
                      <c:pt idx="17">
                        <c:v>51.110000610351591</c:v>
                      </c:pt>
                      <c:pt idx="18">
                        <c:v>50.100000381469741</c:v>
                      </c:pt>
                      <c:pt idx="19">
                        <c:v>49.100001335144015</c:v>
                      </c:pt>
                    </c:numCache>
                  </c:numRef>
                </c:val>
                <c:smooth val="0"/>
                <c:extLst xmlns:c15="http://schemas.microsoft.com/office/drawing/2012/chart">
                  <c:ext xmlns:c16="http://schemas.microsoft.com/office/drawing/2014/chart" uri="{C3380CC4-5D6E-409C-BE32-E72D297353CC}">
                    <c16:uniqueId val="{00000041-A1B9-4AF6-84C5-0202E4F52068}"/>
                  </c:ext>
                </c:extLst>
              </c15:ser>
            </c15:filteredLineSeries>
            <c15:filteredLineSeries>
              <c15:ser>
                <c:idx val="66"/>
                <c:order val="66"/>
                <c:tx>
                  <c:strRef>
                    <c:extLst xmlns:c15="http://schemas.microsoft.com/office/drawing/2012/chart">
                      <c:ext xmlns:c15="http://schemas.microsoft.com/office/drawing/2012/chart" uri="{02D57815-91ED-43cb-92C2-25804820EDAC}">
                        <c15:formulaRef>
                          <c15:sqref>'Data LM'!$A$65</c15:sqref>
                        </c15:formulaRef>
                      </c:ext>
                    </c:extLst>
                    <c:strCache>
                      <c:ptCount val="1"/>
                      <c:pt idx="0">
                        <c:v>Wage and salaried workers, female (% of female employment) (modeled ILO estimate)</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LM'!$C$65:$V$65</c15:sqref>
                        </c15:formulaRef>
                      </c:ext>
                    </c:extLst>
                    <c:numCache>
                      <c:formatCode>0.0</c:formatCode>
                      <c:ptCount val="20"/>
                      <c:pt idx="0">
                        <c:v>20.440000534057599</c:v>
                      </c:pt>
                      <c:pt idx="1">
                        <c:v>20.680000305175799</c:v>
                      </c:pt>
                      <c:pt idx="2">
                        <c:v>20.9899997711182</c:v>
                      </c:pt>
                      <c:pt idx="3">
                        <c:v>21.100000381469702</c:v>
                      </c:pt>
                      <c:pt idx="4">
                        <c:v>21.389999389648398</c:v>
                      </c:pt>
                      <c:pt idx="5">
                        <c:v>21.590000152587901</c:v>
                      </c:pt>
                      <c:pt idx="6">
                        <c:v>21.549999237060501</c:v>
                      </c:pt>
                      <c:pt idx="7">
                        <c:v>23.459999084472699</c:v>
                      </c:pt>
                      <c:pt idx="8">
                        <c:v>25.090000152587901</c:v>
                      </c:pt>
                      <c:pt idx="9">
                        <c:v>26.930000305175799</c:v>
                      </c:pt>
                      <c:pt idx="10">
                        <c:v>28.819999694824201</c:v>
                      </c:pt>
                      <c:pt idx="11">
                        <c:v>30.809999465942401</c:v>
                      </c:pt>
                      <c:pt idx="12">
                        <c:v>32.639999389648402</c:v>
                      </c:pt>
                      <c:pt idx="13">
                        <c:v>34.409999847412102</c:v>
                      </c:pt>
                      <c:pt idx="14">
                        <c:v>36.099998474121101</c:v>
                      </c:pt>
                      <c:pt idx="15">
                        <c:v>37.790000915527301</c:v>
                      </c:pt>
                      <c:pt idx="16">
                        <c:v>39.389999389648402</c:v>
                      </c:pt>
                      <c:pt idx="17">
                        <c:v>40.540000915527301</c:v>
                      </c:pt>
                      <c:pt idx="18">
                        <c:v>41.659999847412102</c:v>
                      </c:pt>
                      <c:pt idx="19">
                        <c:v>42.7700004577637</c:v>
                      </c:pt>
                    </c:numCache>
                  </c:numRef>
                </c:val>
                <c:smooth val="0"/>
                <c:extLst xmlns:c15="http://schemas.microsoft.com/office/drawing/2012/chart">
                  <c:ext xmlns:c16="http://schemas.microsoft.com/office/drawing/2014/chart" uri="{C3380CC4-5D6E-409C-BE32-E72D297353CC}">
                    <c16:uniqueId val="{00000042-A1B9-4AF6-84C5-0202E4F52068}"/>
                  </c:ext>
                </c:extLst>
              </c15:ser>
            </c15:filteredLineSeries>
            <c15:filteredLineSeries>
              <c15:ser>
                <c:idx val="67"/>
                <c:order val="67"/>
                <c:tx>
                  <c:strRef>
                    <c:extLst xmlns:c15="http://schemas.microsoft.com/office/drawing/2012/chart">
                      <c:ext xmlns:c15="http://schemas.microsoft.com/office/drawing/2012/chart" uri="{02D57815-91ED-43cb-92C2-25804820EDAC}">
                        <c15:formulaRef>
                          <c15:sqref>'Data LM'!$A$66</c15:sqref>
                        </c15:formulaRef>
                      </c:ext>
                    </c:extLst>
                    <c:strCache>
                      <c:ptCount val="1"/>
                      <c:pt idx="0">
                        <c:v>Wage and salaried workers, male (% of male employment) (modeled ILO estimate)</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LM'!$C$66:$V$66</c15:sqref>
                        </c15:formulaRef>
                      </c:ext>
                    </c:extLst>
                    <c:numCache>
                      <c:formatCode>0.0</c:formatCode>
                      <c:ptCount val="20"/>
                      <c:pt idx="0">
                        <c:v>46.529998779296903</c:v>
                      </c:pt>
                      <c:pt idx="1">
                        <c:v>45.25</c:v>
                      </c:pt>
                      <c:pt idx="2">
                        <c:v>43.840000152587898</c:v>
                      </c:pt>
                      <c:pt idx="3">
                        <c:v>42.509998321533203</c:v>
                      </c:pt>
                      <c:pt idx="4">
                        <c:v>41.810001373291001</c:v>
                      </c:pt>
                      <c:pt idx="5">
                        <c:v>41.2700004577637</c:v>
                      </c:pt>
                      <c:pt idx="6">
                        <c:v>40.360000610351598</c:v>
                      </c:pt>
                      <c:pt idx="7">
                        <c:v>42.549999237060497</c:v>
                      </c:pt>
                      <c:pt idx="8">
                        <c:v>43.580001831054702</c:v>
                      </c:pt>
                      <c:pt idx="9">
                        <c:v>45.099998474121101</c:v>
                      </c:pt>
                      <c:pt idx="10">
                        <c:v>47.130001068115199</c:v>
                      </c:pt>
                      <c:pt idx="11">
                        <c:v>48.9799995422363</c:v>
                      </c:pt>
                      <c:pt idx="12">
                        <c:v>50.419998168945298</c:v>
                      </c:pt>
                      <c:pt idx="13">
                        <c:v>51.849998474121101</c:v>
                      </c:pt>
                      <c:pt idx="14">
                        <c:v>53.150001525878899</c:v>
                      </c:pt>
                      <c:pt idx="15">
                        <c:v>54.419998168945298</c:v>
                      </c:pt>
                      <c:pt idx="16">
                        <c:v>55.540000915527301</c:v>
                      </c:pt>
                      <c:pt idx="17">
                        <c:v>56.409999847412102</c:v>
                      </c:pt>
                      <c:pt idx="18">
                        <c:v>57.419998168945298</c:v>
                      </c:pt>
                      <c:pt idx="19">
                        <c:v>58.369998931884801</c:v>
                      </c:pt>
                    </c:numCache>
                  </c:numRef>
                </c:val>
                <c:smooth val="0"/>
                <c:extLst xmlns:c15="http://schemas.microsoft.com/office/drawing/2012/chart">
                  <c:ext xmlns:c16="http://schemas.microsoft.com/office/drawing/2014/chart" uri="{C3380CC4-5D6E-409C-BE32-E72D297353CC}">
                    <c16:uniqueId val="{00000043-A1B9-4AF6-84C5-0202E4F52068}"/>
                  </c:ext>
                </c:extLst>
              </c15:ser>
            </c15:filteredLineSeries>
            <c15:filteredLineSeries>
              <c15:ser>
                <c:idx val="68"/>
                <c:order val="68"/>
                <c:tx>
                  <c:strRef>
                    <c:extLst xmlns:c15="http://schemas.microsoft.com/office/drawing/2012/chart">
                      <c:ext xmlns:c15="http://schemas.microsoft.com/office/drawing/2012/chart" uri="{02D57815-91ED-43cb-92C2-25804820EDAC}">
                        <c15:formulaRef>
                          <c15:sqref>'Data LM'!$A$67</c15:sqref>
                        </c15:formulaRef>
                      </c:ext>
                    </c:extLst>
                    <c:strCache>
                      <c:ptCount val="1"/>
                      <c:pt idx="0">
                        <c:v>Wage and salaried workers, total (% of total employment) (modeled ILO estimate)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'Data LM'!$C$1:$V$1</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xmlns:c15="http://schemas.microsoft.com/office/drawing/2012/chart">
                      <c:ext xmlns:c15="http://schemas.microsoft.com/office/drawing/2012/chart" uri="{02D57815-91ED-43cb-92C2-25804820EDAC}">
                        <c15:formulaRef>
                          <c15:sqref>'Data LM'!$C$67:$V$67</c15:sqref>
                        </c15:formulaRef>
                      </c:ext>
                    </c:extLst>
                    <c:numCache>
                      <c:formatCode>0.0</c:formatCode>
                      <c:ptCount val="20"/>
                      <c:pt idx="0">
                        <c:v>33.709999084472699</c:v>
                      </c:pt>
                      <c:pt idx="1">
                        <c:v>33.2700004577637</c:v>
                      </c:pt>
                      <c:pt idx="2">
                        <c:v>32.779998779296903</c:v>
                      </c:pt>
                      <c:pt idx="3">
                        <c:v>32.240001678466797</c:v>
                      </c:pt>
                      <c:pt idx="4">
                        <c:v>32.110000610351598</c:v>
                      </c:pt>
                      <c:pt idx="5">
                        <c:v>32.009998321533203</c:v>
                      </c:pt>
                      <c:pt idx="6">
                        <c:v>31.4799995422363</c:v>
                      </c:pt>
                      <c:pt idx="7">
                        <c:v>33.5200004577637</c:v>
                      </c:pt>
                      <c:pt idx="8">
                        <c:v>34.790000915527301</c:v>
                      </c:pt>
                      <c:pt idx="9">
                        <c:v>36.439998626708999</c:v>
                      </c:pt>
                      <c:pt idx="10">
                        <c:v>38.389999389648402</c:v>
                      </c:pt>
                      <c:pt idx="11">
                        <c:v>40.279998779296903</c:v>
                      </c:pt>
                      <c:pt idx="12">
                        <c:v>41.880001068115199</c:v>
                      </c:pt>
                      <c:pt idx="13">
                        <c:v>43.450000762939503</c:v>
                      </c:pt>
                      <c:pt idx="14">
                        <c:v>44.919998168945298</c:v>
                      </c:pt>
                      <c:pt idx="15">
                        <c:v>46.380001068115199</c:v>
                      </c:pt>
                      <c:pt idx="16">
                        <c:v>47.709999084472699</c:v>
                      </c:pt>
                      <c:pt idx="17">
                        <c:v>48.680000305175803</c:v>
                      </c:pt>
                      <c:pt idx="18">
                        <c:v>49.709999084472699</c:v>
                      </c:pt>
                      <c:pt idx="19">
                        <c:v>50.7299995422363</c:v>
                      </c:pt>
                    </c:numCache>
                  </c:numRef>
                </c:val>
                <c:smooth val="0"/>
                <c:extLst xmlns:c15="http://schemas.microsoft.com/office/drawing/2012/chart">
                  <c:ext xmlns:c16="http://schemas.microsoft.com/office/drawing/2014/chart" uri="{C3380CC4-5D6E-409C-BE32-E72D297353CC}">
                    <c16:uniqueId val="{00000044-A1B9-4AF6-84C5-0202E4F52068}"/>
                  </c:ext>
                </c:extLst>
              </c15:ser>
            </c15:filteredLineSeries>
          </c:ext>
        </c:extLst>
      </c:lineChart>
      <c:catAx>
        <c:axId val="183984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crossAx val="1839858480"/>
        <c:crosses val="autoZero"/>
        <c:auto val="1"/>
        <c:lblAlgn val="ctr"/>
        <c:lblOffset val="100"/>
        <c:noMultiLvlLbl val="0"/>
      </c:catAx>
      <c:valAx>
        <c:axId val="1839858480"/>
        <c:scaling>
          <c:orientation val="minMax"/>
          <c:max val="8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crossAx val="183984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K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67CB0B13DA460EBBF6BB12A903267D"/>
        <w:category>
          <w:name w:val="General"/>
          <w:gallery w:val="placeholder"/>
        </w:category>
        <w:types>
          <w:type w:val="bbPlcHdr"/>
        </w:types>
        <w:behaviors>
          <w:behavior w:val="content"/>
        </w:behaviors>
        <w:guid w:val="{3B48EB5B-712C-400F-85BB-C0C6C78A2DD7}"/>
      </w:docPartPr>
      <w:docPartBody>
        <w:p w:rsidR="00C91D49" w:rsidRDefault="00401F14" w:rsidP="00401F14">
          <w:pPr>
            <w:pStyle w:val="0267CB0B13DA460EBBF6BB12A903267D"/>
          </w:pPr>
          <w:r w:rsidRPr="009120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D74"/>
    <w:rsid w:val="00003516"/>
    <w:rsid w:val="0001455D"/>
    <w:rsid w:val="00015942"/>
    <w:rsid w:val="00016B81"/>
    <w:rsid w:val="000237F5"/>
    <w:rsid w:val="000378F0"/>
    <w:rsid w:val="0004345C"/>
    <w:rsid w:val="00047030"/>
    <w:rsid w:val="00057F31"/>
    <w:rsid w:val="0006077D"/>
    <w:rsid w:val="0008432E"/>
    <w:rsid w:val="000B202C"/>
    <w:rsid w:val="000D3CA7"/>
    <w:rsid w:val="000E079D"/>
    <w:rsid w:val="000E0A17"/>
    <w:rsid w:val="000F3F76"/>
    <w:rsid w:val="0010234E"/>
    <w:rsid w:val="0012202A"/>
    <w:rsid w:val="0015208A"/>
    <w:rsid w:val="00153C8A"/>
    <w:rsid w:val="00154DA6"/>
    <w:rsid w:val="00166C23"/>
    <w:rsid w:val="00182C16"/>
    <w:rsid w:val="001928A6"/>
    <w:rsid w:val="001B75C9"/>
    <w:rsid w:val="001D564B"/>
    <w:rsid w:val="001D65E1"/>
    <w:rsid w:val="001F5199"/>
    <w:rsid w:val="0020699C"/>
    <w:rsid w:val="002162D5"/>
    <w:rsid w:val="00235AB6"/>
    <w:rsid w:val="00256996"/>
    <w:rsid w:val="00276F58"/>
    <w:rsid w:val="002B540C"/>
    <w:rsid w:val="002D4C32"/>
    <w:rsid w:val="002E2C5D"/>
    <w:rsid w:val="002E2CDF"/>
    <w:rsid w:val="002E57B8"/>
    <w:rsid w:val="002F6F46"/>
    <w:rsid w:val="0030439B"/>
    <w:rsid w:val="003111C1"/>
    <w:rsid w:val="00332288"/>
    <w:rsid w:val="003335E2"/>
    <w:rsid w:val="0033431E"/>
    <w:rsid w:val="00356FA2"/>
    <w:rsid w:val="003970B8"/>
    <w:rsid w:val="003972C6"/>
    <w:rsid w:val="003C7AC1"/>
    <w:rsid w:val="003E4D7C"/>
    <w:rsid w:val="00401F14"/>
    <w:rsid w:val="0041433D"/>
    <w:rsid w:val="00424417"/>
    <w:rsid w:val="00440DAB"/>
    <w:rsid w:val="00443602"/>
    <w:rsid w:val="00447BE7"/>
    <w:rsid w:val="004775C9"/>
    <w:rsid w:val="00497AD0"/>
    <w:rsid w:val="004A539D"/>
    <w:rsid w:val="004A7FE2"/>
    <w:rsid w:val="004B5923"/>
    <w:rsid w:val="004C2EC0"/>
    <w:rsid w:val="004E1626"/>
    <w:rsid w:val="00504F57"/>
    <w:rsid w:val="0051046F"/>
    <w:rsid w:val="00520012"/>
    <w:rsid w:val="00525B99"/>
    <w:rsid w:val="00534EE1"/>
    <w:rsid w:val="00541A99"/>
    <w:rsid w:val="005566A1"/>
    <w:rsid w:val="00557D51"/>
    <w:rsid w:val="0056315D"/>
    <w:rsid w:val="00577BE9"/>
    <w:rsid w:val="005A6800"/>
    <w:rsid w:val="005C143C"/>
    <w:rsid w:val="005D3090"/>
    <w:rsid w:val="005E1EAD"/>
    <w:rsid w:val="005E2792"/>
    <w:rsid w:val="005F6626"/>
    <w:rsid w:val="00612B55"/>
    <w:rsid w:val="0062128E"/>
    <w:rsid w:val="00623402"/>
    <w:rsid w:val="00625E98"/>
    <w:rsid w:val="00643323"/>
    <w:rsid w:val="00647CAE"/>
    <w:rsid w:val="006638ED"/>
    <w:rsid w:val="0069632C"/>
    <w:rsid w:val="006A309F"/>
    <w:rsid w:val="006A5307"/>
    <w:rsid w:val="006B7BA6"/>
    <w:rsid w:val="006E3F05"/>
    <w:rsid w:val="006E64F9"/>
    <w:rsid w:val="007135C0"/>
    <w:rsid w:val="00723BFD"/>
    <w:rsid w:val="00733FFC"/>
    <w:rsid w:val="00735534"/>
    <w:rsid w:val="00744F7F"/>
    <w:rsid w:val="007931D9"/>
    <w:rsid w:val="007966B3"/>
    <w:rsid w:val="007F5846"/>
    <w:rsid w:val="00803898"/>
    <w:rsid w:val="008B1707"/>
    <w:rsid w:val="008B4B51"/>
    <w:rsid w:val="008C5FF3"/>
    <w:rsid w:val="008C7354"/>
    <w:rsid w:val="008E00AF"/>
    <w:rsid w:val="009115D7"/>
    <w:rsid w:val="009254CA"/>
    <w:rsid w:val="00936CEE"/>
    <w:rsid w:val="009403E2"/>
    <w:rsid w:val="00940C7B"/>
    <w:rsid w:val="00941BF3"/>
    <w:rsid w:val="009453D9"/>
    <w:rsid w:val="00946E2B"/>
    <w:rsid w:val="00954D7F"/>
    <w:rsid w:val="00983264"/>
    <w:rsid w:val="00991232"/>
    <w:rsid w:val="00994FEC"/>
    <w:rsid w:val="00995497"/>
    <w:rsid w:val="009D273B"/>
    <w:rsid w:val="009D3D7D"/>
    <w:rsid w:val="009F587F"/>
    <w:rsid w:val="00A0437C"/>
    <w:rsid w:val="00A3376B"/>
    <w:rsid w:val="00A44ED1"/>
    <w:rsid w:val="00A51F32"/>
    <w:rsid w:val="00A531DB"/>
    <w:rsid w:val="00A747E1"/>
    <w:rsid w:val="00A83FFB"/>
    <w:rsid w:val="00A86228"/>
    <w:rsid w:val="00A87C4A"/>
    <w:rsid w:val="00A95C04"/>
    <w:rsid w:val="00AA0D74"/>
    <w:rsid w:val="00AB5F2F"/>
    <w:rsid w:val="00AB7E6E"/>
    <w:rsid w:val="00AC0398"/>
    <w:rsid w:val="00AC2B69"/>
    <w:rsid w:val="00AE66DE"/>
    <w:rsid w:val="00B24C2F"/>
    <w:rsid w:val="00B25F46"/>
    <w:rsid w:val="00B369AD"/>
    <w:rsid w:val="00B7722F"/>
    <w:rsid w:val="00B93619"/>
    <w:rsid w:val="00B961E3"/>
    <w:rsid w:val="00BA12B0"/>
    <w:rsid w:val="00BB36BE"/>
    <w:rsid w:val="00BD0BB3"/>
    <w:rsid w:val="00C128E5"/>
    <w:rsid w:val="00C12D54"/>
    <w:rsid w:val="00C20B02"/>
    <w:rsid w:val="00C24EB0"/>
    <w:rsid w:val="00C50411"/>
    <w:rsid w:val="00C52283"/>
    <w:rsid w:val="00C6047E"/>
    <w:rsid w:val="00C76320"/>
    <w:rsid w:val="00C84103"/>
    <w:rsid w:val="00C91D49"/>
    <w:rsid w:val="00CD5C4C"/>
    <w:rsid w:val="00CD6620"/>
    <w:rsid w:val="00CD7661"/>
    <w:rsid w:val="00CF0C3E"/>
    <w:rsid w:val="00D04EA5"/>
    <w:rsid w:val="00D14D2F"/>
    <w:rsid w:val="00D3114A"/>
    <w:rsid w:val="00D43685"/>
    <w:rsid w:val="00D52553"/>
    <w:rsid w:val="00D719F8"/>
    <w:rsid w:val="00D82EBE"/>
    <w:rsid w:val="00D964D3"/>
    <w:rsid w:val="00DA20DD"/>
    <w:rsid w:val="00DC45BA"/>
    <w:rsid w:val="00DC51D9"/>
    <w:rsid w:val="00DD7B04"/>
    <w:rsid w:val="00E16FB9"/>
    <w:rsid w:val="00E33D07"/>
    <w:rsid w:val="00E41434"/>
    <w:rsid w:val="00E91D22"/>
    <w:rsid w:val="00E96F30"/>
    <w:rsid w:val="00EB1BF8"/>
    <w:rsid w:val="00EC4609"/>
    <w:rsid w:val="00EE5AE2"/>
    <w:rsid w:val="00F11723"/>
    <w:rsid w:val="00F14758"/>
    <w:rsid w:val="00F242E7"/>
    <w:rsid w:val="00F27152"/>
    <w:rsid w:val="00F36888"/>
    <w:rsid w:val="00F373D8"/>
    <w:rsid w:val="00F4486A"/>
    <w:rsid w:val="00F45B3C"/>
    <w:rsid w:val="00F5474E"/>
    <w:rsid w:val="00F964F1"/>
    <w:rsid w:val="00FA5E62"/>
    <w:rsid w:val="00FD006E"/>
    <w:rsid w:val="00FD1B8E"/>
    <w:rsid w:val="00FE57C9"/>
    <w:rsid w:val="00FF6B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5C5407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F14"/>
    <w:rPr>
      <w:color w:val="808080"/>
    </w:rPr>
  </w:style>
  <w:style w:type="paragraph" w:customStyle="1" w:styleId="0267CB0B13DA460EBBF6BB12A903267D">
    <w:name w:val="0267CB0B13DA460EBBF6BB12A903267D"/>
    <w:rsid w:val="00401F1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D3E64C-6E90-48DC-B073-0E245BF64FFC}">
  <we:reference id="f78a3046-9e99-4300-aa2b-5814002b01a2" version="1.28.0.0" store="EXCatalog" storeType="EXCatalog"/>
  <we:alternateReferences>
    <we:reference id="WA104382081" version="1.28.0.0" store="en-US" storeType="OMEX"/>
  </we:alternateReferences>
  <we:properties>
    <we:property name="MENDELEY_CITATIONS" value="[{&quot;citationID&quot;:&quot;MENDELEY_CITATION_159a4ca7-b481-456c-b457-c6c0be60b848&quot;,&quot;citationItems&quot;:[{&quot;id&quot;:&quot;7a4032ad-f013-3c80-9dab-f9e876be0198&quot;,&quot;itemData&quot;:{&quot;type&quot;:&quot;report&quot;,&quot;id&quot;:&quot;7a4032ad-f013-3c80-9dab-f9e876be0198&quot;,&quot;title&quot;:&quot;Systematic Country Diagnostic (SCD): Priorities for ending pverty and boosting shared prosperity&quot;,&quot;author&quot;:[{&quot;family&quot;:&quot;World Bank&quot;,&quot;given&quot;:&quot;&quot;,&quot;parse-names&quot;:false,&quot;dropping-particle&quot;:&quot;&quot;,&quot;non-dropping-particle&quot;:&quot;&quot;}],&quot;issued&quot;:{&quot;date-parts&quot;:[[2018]]},&quot;issue&quot;:&quot;132010&quot;},&quot;isTemporary&quot;:false}],&quot;properties&quot;:{&quot;noteIndex&quot;:0},&quot;isEdited&quot;:false,&quot;manualOverride&quot;:{&quot;isManuallyOverridden&quot;:false,&quot;citeprocText&quot;:&quot;(World Bank, 2018)&quot;,&quot;manualOverrideText&quot;:&quot;&quot;},&quot;citationTag&quot;:&quot;MENDELEY_CITATION_v3_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&quot;},{&quot;citationID&quot;:&quot;MENDELEY_CITATION_71ece1d6-626e-4e3d-8416-719e048e6026&quot;,&quot;citationItems&quot;:[{&quot;id&quot;:&quot;7a4032ad-f013-3c80-9dab-f9e876be0198&quot;,&quot;itemData&quot;:{&quot;type&quot;:&quot;report&quot;,&quot;id&quot;:&quot;7a4032ad-f013-3c80-9dab-f9e876be0198&quot;,&quot;title&quot;:&quot;Systematic Country Diagnostic (SCD): Priorities for ending pverty and boosting shared prosperity&quot;,&quot;author&quot;:[{&quot;family&quot;:&quot;World Bank&quot;,&quot;given&quot;:&quot;&quot;,&quot;parse-names&quot;:false,&quot;dropping-particle&quot;:&quot;&quot;,&quot;non-dropping-particle&quot;:&quot;&quot;}],&quot;issued&quot;:{&quot;date-parts&quot;:[[2018]]},&quot;issue&quot;:&quot;132010&quot;},&quot;isTemporary&quot;:false}],&quot;properties&quot;:{&quot;noteIndex&quot;:0},&quot;isEdited&quot;:false,&quot;manualOverride&quot;:{&quot;isManuallyOverridden&quot;:false,&quot;citeprocText&quot;:&quot;(World Bank, 2018)&quot;,&quot;manualOverrideText&quot;:&quot;&quot;},&quot;citationTag&quot;:&quot;MENDELEY_CITATION_v3_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&quot;},{&quot;citationID&quot;:&quot;MENDELEY_CITATION_bb5ce54b-4c11-4be1-9aa9-f60ecc470b5d&quot;,&quot;citationItems&quot;:[{&quot;id&quot;:&quot;858a2f46-d79a-3a18-8569-a73bdbfea6f3&quot;,&quot;itemData&quot;:{&quot;type&quot;:&quot;report&quot;,&quot;id&quot;:&quot;858a2f46-d79a-3a18-8569-a73bdbfea6f3&quot;,&quot;title&quot;:&quot;The Ghana Poverty and Inequality Report&quot;,&quot;author&quot;:[{&quot;family&quot;:&quot;UNICEF&quot;,&quot;given&quot;:&quot;&quot;,&quot;parse-names&quot;:false,&quot;dropping-particle&quot;:&quot;&quot;,&quot;non-dropping-particle&quot;:&quot;&quot;}],&quot;issued&quot;:{&quot;date-parts&quot;:[[2016]]},&quot;abstract&quot;:&quot;Attention mechanisms play a central role in NLP systems, especially within recurrent neural network (RNN) models. Recently, there has been increasing interest in whether or not the intermediate representations offered by these modules may be used to explain the reasoning for a model's prediction, and consequently reach insights regarding the model's decision-making process. A recent paper claims that 'Attention is not Explanation' (Jain and Wallace, 2019). We challenge many of the assumptions underlying this work, arguing that such a claim depends on one's definition of explanation, and that testing it needs to take into account all elements of the model. We propose four alternative tests to determine when/whether attention can be used as explanation: a simple uniform-weights baseline; a variance calibration based on multiple random seed runs; a diagnostic framework using frozen weights from pretrained models; and an end-to-end adversarial attention training protocol. Each allows for meaningful interpretation of attention mechanisms in RNN models. We show that even when reliable adversarial distributions can be found, they don't perform well on the simple diagnostic, indicating that prior work does not disprove the usefulness of attention mechanisms for explainability.&quot;},&quot;isTemporary&quot;:false}],&quot;properties&quot;:{&quot;noteIndex&quot;:0},&quot;isEdited&quot;:false,&quot;manualOverride&quot;:{&quot;isManuallyOverridden&quot;:true,&quot;citeprocText&quot;:&quot;(UNICEF, 2016b)&quot;,&quot;manualOverrideText&quot;:&quot;UNICEF, (2016)&quot;},&quot;citationTag&quot;:&quot;MENDELEY_CITATION_v3_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&quot;},{&quot;citationID&quot;:&quot;MENDELEY_CITATION_98526fc4-b7ca-4fa6-a416-3f173ca21ff0&quot;,&quot;citationItems&quot;:[{&quot;id&quot;:&quot;7a4032ad-f013-3c80-9dab-f9e876be0198&quot;,&quot;itemData&quot;:{&quot;type&quot;:&quot;report&quot;,&quot;id&quot;:&quot;7a4032ad-f013-3c80-9dab-f9e876be0198&quot;,&quot;title&quot;:&quot;Systematic Country Diagnostic (SCD): Priorities for ending pverty and boosting shared prosperity&quot;,&quot;author&quot;:[{&quot;family&quot;:&quot;World Bank&quot;,&quot;given&quot;:&quot;&quot;,&quot;parse-names&quot;:false,&quot;dropping-particle&quot;:&quot;&quot;,&quot;non-dropping-particle&quot;:&quot;&quot;}],&quot;issued&quot;:{&quot;date-parts&quot;:[[2018]]},&quot;issue&quot;:&quot;132010&quot;},&quot;isTemporary&quot;:false}],&quot;properties&quot;:{&quot;noteIndex&quot;:0},&quot;isEdited&quot;:false,&quot;manualOverride&quot;:{&quot;isManuallyOverridden&quot;:false,&quot;citeprocText&quot;:&quot;(World Bank, 2018)&quot;,&quot;manualOverrideText&quot;:&quot;&quot;},&quot;citationTag&quot;:&quot;MENDELEY_CITATION_v3_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&quot;},{&quot;citationID&quot;:&quot;MENDELEY_CITATION_de5427e9-8c4e-4c2e-9a83-f6ad88eee7a4&quot;,&quot;properties&quot;:{&quot;noteIndex&quot;:0},&quot;isEdited&quot;:false,&quot;manualOverride&quot;:{&quot;isManuallyOverridden&quot;:false,&quot;citeprocText&quot;:&quot;(ADB, 2020; World Bank, 2021)&quot;,&quot;manualOverrideText&quot;:&quot;&quot;},&quot;citationItems&quot;:[{&quot;id&quot;:&quot;2bcd935d-f12f-308f-9513-7cbc5a083203&quot;,&quot;itemData&quot;:{&quot;type&quot;:&quot;article&quot;,&quot;id&quot;:&quot;2bcd935d-f12f-308f-9513-7cbc5a083203&quot;,&quot;title&quot;:&quot;African Economic Outlook 2021 - From Debt Resolution to Growth: The Road Ahead for Africa&quot;,&quot;author&quot;:[{&quot;family&quot;:&quot;ADB&quot;,&quot;given&quot;:&quot;&quot;,&quot;parse-names&quot;:false,&quot;dropping-particle&quot;:&quot;&quot;,&quot;non-dropping-particle&quot;:&quot;&quot;}],&quot;URL&quot;:&quot;https://www.afdb.org/fileadmin/uploads/afdb/Documents/Publications/African_Economic_Outlook_2018_-_EN.pdf&quot;,&quot;issued&quot;:{&quot;date-parts&quot;:[[2020]]}},&quot;isTemporary&quot;:false},{&quot;id&quot;:&quot;1ab06b81-08c0-3b49-aa11-f48e9e769154&quot;,&quot;itemData&quot;:{&quot;type&quot;:&quot;article&quot;,&quot;id&quot;:&quot;1ab06b81-08c0-3b49-aa11-f48e9e769154&quot;,&quot;title&quot;:&quot;Macro Poverty Outlook - Ghana&quot;,&quot;author&quot;:[{&quot;family&quot;:&quot;World Bank&quot;,&quot;given&quot;:&quot;&quot;,&quot;parse-names&quot;:false,&quot;dropping-particle&quot;:&quot;&quot;,&quot;non-dropping-particle&quot;:&quot;&quot;}],&quot;issued&quot;:{&quot;date-parts&quot;:[[2021]]}},&quot;isTemporary&quot;:false}],&quot;citationTag&quot;:&quot;MENDELEY_CITATION_v3_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&quot;},{&quot;citationID&quot;:&quot;MENDELEY_CITATION_19f60ccc-0d7a-4770-8a5c-aa2285573994&quot;,&quot;citationItems&quot;:[{&quot;id&quot;:&quot;68b0be0a-3e49-3b47-8084-0c7110cda7ce&quot;,&quot;itemData&quot;:{&quot;type&quot;:&quot;report&quot;,&quot;id&quot;:&quot;68b0be0a-3e49-3b47-8084-0c7110cda7ce&quot;,&quot;title&quot;:&quot;Ghana - Poverty Assessment&quot;,&quot;author&quot;:[{&quot;family&quot;:&quot;World Bank&quot;,&quot;given&quot;:&quot;&quot;,&quot;parse-names&quot;:false,&quot;dropping-particle&quot;:&quot;&quot;,&quot;non-dropping-particle&quot;:&quot;&quot;}],&quot;DOI&quot;:&quot;10.4135/9781483345727.n658&quot;,&quot;issued&quot;:{&quot;date-parts&quot;:[[2020]]},&quot;publisher-place&quot;:&quot;Washington, DC&quot;,&quot;issue&quot;:&quot;AUS0001903&quot;},&quot;isTemporary&quot;:false}],&quot;properties&quot;:{&quot;noteIndex&quot;:0},&quot;isEdited&quot;:false,&quot;manualOverride&quot;:{&quot;isManuallyOverridden&quot;:true,&quot;citeprocText&quot;:&quot;(World Bank, 2020a)&quot;,&quot;manualOverrideText&quot;:&quot;(World Bank, 2020)&quot;},&quot;citationTag&quot;:&quot;MENDELEY_CITATION_v3_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&quot;},{&quot;citationID&quot;:&quot;MENDELEY_CITATION_86b81481-b7a2-4183-8c1c-3b059186e190&quot;,&quot;citationItems&quot;:[{&quot;id&quot;:&quot;01cb4482-e8ea-3e94-9229-b0357a549b01&quot;,&quot;itemData&quot;:{&quot;type&quot;:&quot;article-journal&quot;,&quot;id&quot;:&quot;01cb4482-e8ea-3e94-9229-b0357a549b01&quot;,&quot;title&quot;:&quot;How COVID-19 is affecting workers and their livelihoods in urban Ghana: Results from the GSPS-COVID panel survey&quot;,&quot;author&quot;:[{&quot;family&quot;:&quot;Schotte&quot;,&quot;given&quot;:&quot;Simone&quot;,&quot;parse-names&quot;:false,&quot;dropping-particle&quot;:&quot;&quot;,&quot;non-dropping-particle&quot;:&quot;&quot;},{&quot;family&quot;:&quot;Danquah&quot;,&quot;given&quot;:&quot;Michael&quot;,&quot;parse-names&quot;:false,&quot;dropping-particle&quot;:&quot;&quot;,&quot;non-dropping-particle&quot;:&quot;&quot;},{&quot;family&quot;:&quot;Darko Osei&quot;,&quot;given&quot;:&quot;Robert&quot;,&quot;parse-names&quot;:false,&quot;dropping-particle&quot;:&quot;&quot;,&quot;non-dropping-particle&quot;:&quot;&quot;},{&quot;family&quot;:&quot;Sen&quot;,&quot;given&quot;:&quot;Kunal&quot;,&quot;parse-names&quot;:false,&quot;dropping-particle&quot;:&quot;&quot;,&quot;non-dropping-particle&quot;:&quot;&quot;}],&quot;URL&quot;:&quot;https://doi.org/10.35188/UNU-WIDER/2021-rep-1&quot;,&quot;issued&quot;:{&quot;date-parts&quot;:[[2021]]},&quot;page&quot;:&quot;39&quot;,&quot;issue&quot;:&quot;March&quot;},&quot;isTemporary&quot;:false}],&quot;properties&quot;:{&quot;noteIndex&quot;:0},&quot;isEdited&quot;:false,&quot;manualOverride&quot;:{&quot;isManuallyOverridden&quot;:false,&quot;citeprocText&quot;:&quot;(Schotte et al., 2021)&quot;,&quot;manualOverrideText&quot;:&quot;&quot;},&quot;citationTag&quot;:&quot;MENDELEY_CITATION_v3_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&quot;},{&quot;citationID&quot;:&quot;MENDELEY_CITATION_f6499827-118e-43bc-9e96-f3dd2de8adf5&quot;,&quot;citationItems&quot;:[{&quot;id&quot;:&quot;01cb4482-e8ea-3e94-9229-b0357a549b01&quot;,&quot;itemData&quot;:{&quot;type&quot;:&quot;article-journal&quot;,&quot;id&quot;:&quot;01cb4482-e8ea-3e94-9229-b0357a549b01&quot;,&quot;title&quot;:&quot;How COVID-19 is affecting workers and their livelihoods in urban Ghana: Results from the GSPS-COVID panel survey&quot;,&quot;author&quot;:[{&quot;family&quot;:&quot;Schotte&quot;,&quot;given&quot;:&quot;Simone&quot;,&quot;parse-names&quot;:false,&quot;dropping-particle&quot;:&quot;&quot;,&quot;non-dropping-particle&quot;:&quot;&quot;},{&quot;family&quot;:&quot;Danquah&quot;,&quot;given&quot;:&quot;Michael&quot;,&quot;parse-names&quot;:false,&quot;dropping-particle&quot;:&quot;&quot;,&quot;non-dropping-particle&quot;:&quot;&quot;},{&quot;family&quot;:&quot;Darko Osei&quot;,&quot;given&quot;:&quot;Robert&quot;,&quot;parse-names&quot;:false,&quot;dropping-particle&quot;:&quot;&quot;,&quot;non-dropping-particle&quot;:&quot;&quot;},{&quot;family&quot;:&quot;Sen&quot;,&quot;given&quot;:&quot;Kunal&quot;,&quot;parse-names&quot;:false,&quot;dropping-particle&quot;:&quot;&quot;,&quot;non-dropping-particle&quot;:&quot;&quot;}],&quot;URL&quot;:&quot;https://doi.org/10.35188/UNU-WIDER/2021-rep-1&quot;,&quot;issued&quot;:{&quot;date-parts&quot;:[[2021]]},&quot;page&quot;:&quot;39&quot;,&quot;issue&quot;:&quot;March&quot;},&quot;isTemporary&quot;:false}],&quot;properties&quot;:{&quot;noteIndex&quot;:0},&quot;isEdited&quot;:false,&quot;manualOverride&quot;:{&quot;isManuallyOverridden&quot;:false,&quot;citeprocText&quot;:&quot;(Schotte et al., 2021)&quot;,&quot;manualOverrideText&quot;:&quot;&quot;},&quot;citationTag&quot;:&quot;MENDELEY_CITATION_v3_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&quot;},{&quot;citationID&quot;:&quot;MENDELEY_CITATION_fee72702-9672-4b93-a918-815be10910a1&quot;,&quot;citationItems&quot;:[{&quot;id&quot;:&quot;500dafc7-57c2-30a9-add4-8f94ecf119f0&quot;,&quot;itemData&quot;:{&quot;type&quot;:&quot;article-journal&quot;,&quot;id&quot;:&quot;500dafc7-57c2-30a9-add4-8f94ecf119f0&quot;,&quot;title&quot;:&quot;Understanding Ghana’s growth success story and job creation challenges&quot;,&quot;author&quot;:[{&quot;family&quot;:&quot;Ernest&quot;,&quot;given&quot;:&quot;Aryeetey&quot;,&quot;parse-names&quot;:false,&quot;dropping-particle&quot;:&quot;&quot;,&quot;non-dropping-particle&quot;:&quot;&quot;},{&quot;family&quot;:&quot;Baah-Boateng&quot;,&quot;given&quot;:&quot;William&quot;,&quot;parse-names&quot;:false,&quot;dropping-particle&quot;:&quot;&quot;,&quot;non-dropping-particle&quot;:&quot;&quot;}],&quot;container-title&quot;:&quot;WIDER Working Paper 2015/140&quot;,&quot;ISBN&quot;:&quot;978-92-9256-029-4&quot;,&quot;ISSN&quot;:&quot;1798-7237&quot;,&quot;URL&quot;:&quot;https://www.brookings.edu/research/understanding-ghanas-growth-success-story-and-job-creation-challenges/&quot;,&quot;issued&quot;:{&quot;date-parts&quot;:[[2015]]},&quot;page&quot;:&quot;1&quot;,&quot;abstract&quot;:&quot;Ghana attained middle-income status after rebasing its National Accounts, pushing per capita gross domestic product (GDP) of the country above $1,000 in 2007..&quot;,&quot;issue&quot;:&quot;December&quot;},&quot;isTemporary&quot;:false}],&quot;properties&quot;:{&quot;noteIndex&quot;:0},&quot;isEdited&quot;:false,&quot;manualOverride&quot;:{&quot;isManuallyOverridden&quot;:true,&quot;citeprocText&quot;:&quot;(Ernest &amp;#38; Baah-Boateng, 2015)&quot;,&quot;manualOverrideText&quot;:&quot;(Ernest &amp; Baah-Boateng, 2015).&quot;},&quot;citationTag&quot;:&quot;MENDELEY_CITATION_v3_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&quot;},{&quot;citationID&quot;:&quot;MENDELEY_CITATION_c6020a83-9a77-4e04-8d11-4fe630146aac&quot;,&quot;citationItems&quot;:[{&quot;id&quot;:&quot;500dafc7-57c2-30a9-add4-8f94ecf119f0&quot;,&quot;itemData&quot;:{&quot;type&quot;:&quot;article-journal&quot;,&quot;id&quot;:&quot;500dafc7-57c2-30a9-add4-8f94ecf119f0&quot;,&quot;title&quot;:&quot;Understanding Ghana’s growth success story and job creation challenges&quot;,&quot;author&quot;:[{&quot;family&quot;:&quot;Ernest&quot;,&quot;given&quot;:&quot;Aryeetey&quot;,&quot;parse-names&quot;:false,&quot;dropping-particle&quot;:&quot;&quot;,&quot;non-dropping-particle&quot;:&quot;&quot;},{&quot;family&quot;:&quot;Baah-Boateng&quot;,&quot;given&quot;:&quot;William&quot;,&quot;parse-names&quot;:false,&quot;dropping-particle&quot;:&quot;&quot;,&quot;non-dropping-particle&quot;:&quot;&quot;}],&quot;container-title&quot;:&quot;WIDER Working Paper 2015/140&quot;,&quot;ISBN&quot;:&quot;978-92-9256-029-4&quot;,&quot;ISSN&quot;:&quot;1798-7237&quot;,&quot;URL&quot;:&quot;https://www.brookings.edu/research/understanding-ghanas-growth-success-story-and-job-creation-challenges/&quot;,&quot;issued&quot;:{&quot;date-parts&quot;:[[2015]]},&quot;page&quot;:&quot;1&quot;,&quot;abstract&quot;:&quot;Ghana attained middle-income status after rebasing its National Accounts, pushing per capita gross domestic product (GDP) of the country above $1,000 in 2007..&quot;,&quot;issue&quot;:&quot;December&quot;},&quot;isTemporary&quot;:false}],&quot;properties&quot;:{&quot;noteIndex&quot;:0},&quot;isEdited&quot;:false,&quot;manualOverride&quot;:{&quot;isManuallyOverridden&quot;:true,&quot;citeprocText&quot;:&quot;(Ernest &amp;#38; Baah-Boateng, 2015)&quot;,&quot;manualOverrideText&quot;:&quot;(Ernest &amp; Baah-Boateng, 2015).&quot;},&quot;citationTag&quot;:&quot;MENDELEY_CITATION_v3_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&quot;},{&quot;citationID&quot;:&quot;MENDELEY_CITATION_16f95fed-b269-48f2-b0ce-ae47a606eb90&quot;,&quot;citationItems&quot;:[{&quot;id&quot;:&quot;1471dcfe-ad94-332b-beb0-02aee64ecfc9&quot;,&quot;itemData&quot;:{&quot;type&quot;:&quot;chapter&quot;,&quot;id&quot;:&quot;1471dcfe-ad94-332b-beb0-02aee64ecfc9&quot;,&quot;title&quot;:&quot;Youth Employment and Labor Market\nVulnerability in Ghana: Aggregate Trends\nand Determinants&quot;,&quot;author&quot;:[{&quot;family&quot;:&quot;Adeniran&quot;,&quot;given&quot;:&quot;Adedeji&quot;,&quot;parse-names&quot;:false,&quot;dropping-particle&quot;:&quot;&quot;,&quot;non-dropping-particle&quot;:&quot;&quot;},{&quot;family&quot;:&quot;Ishaku&quot;,&quot;given&quot;:&quot;Joseph&quot;,&quot;parse-names&quot;:false,&quot;dropping-particle&quot;:&quot;&quot;,&quot;non-dropping-particle&quot;:&quot;&quot;},{&quot;family&quot;:&quot;Yusuf&quot;,&quot;given&quot;:&quot;Adekunle&quot;,&quot;parse-names&quot;:false,&quot;dropping-particle&quot;:&quot;&quot;,&quot;non-dropping-particle&quot;:&quot;&quot;}],&quot;container-title&quot;:&quot;West African Youth Challenges and Opportunity Pathways&quot;,&quot;URL&quot;:&quot;http://www.palgrave.com/gp/series/14996&quot;,&quot;issued&quot;:{&quot;date-parts&quot;:[[2020]]},&quot;page&quot;:&quot;187-211&quot;},&quot;isTemporary&quot;:false}],&quot;properties&quot;:{&quot;noteIndex&quot;:0},&quot;isEdited&quot;:false,&quot;manualOverride&quot;:{&quot;isManuallyOverridden&quot;:true,&quot;citeprocText&quot;:&quot;(Adeniran et al., 2020)&quot;,&quot;manualOverrideText&quot;:&quot;Adeniran et al. (2020)&quot;},&quot;citationTag&quot;:&quot;MENDELEY_CITATION_v3_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&quot;},{&quot;citationID&quot;:&quot;MENDELEY_CITATION_28f799f3-5f53-4c59-88ba-f2ba7057f747&quot;,&quot;citationItems&quot;:[{&quot;id&quot;:&quot;1471dcfe-ad94-332b-beb0-02aee64ecfc9&quot;,&quot;itemData&quot;:{&quot;type&quot;:&quot;chapter&quot;,&quot;id&quot;:&quot;1471dcfe-ad94-332b-beb0-02aee64ecfc9&quot;,&quot;title&quot;:&quot;Youth Employment and Labor Market\nVulnerability in Ghana: Aggregate Trends\nand Determinants&quot;,&quot;author&quot;:[{&quot;family&quot;:&quot;Adeniran&quot;,&quot;given&quot;:&quot;Adedeji&quot;,&quot;parse-names&quot;:false,&quot;dropping-particle&quot;:&quot;&quot;,&quot;non-dropping-particle&quot;:&quot;&quot;},{&quot;family&quot;:&quot;Ishaku&quot;,&quot;given&quot;:&quot;Joseph&quot;,&quot;parse-names&quot;:false,&quot;dropping-particle&quot;:&quot;&quot;,&quot;non-dropping-particle&quot;:&quot;&quot;},{&quot;family&quot;:&quot;Yusuf&quot;,&quot;given&quot;:&quot;Adekunle&quot;,&quot;parse-names&quot;:false,&quot;dropping-particle&quot;:&quot;&quot;,&quot;non-dropping-particle&quot;:&quot;&quot;}],&quot;container-title&quot;:&quot;West African Youth Challenges and Opportunity Pathways&quot;,&quot;URL&quot;:&quot;http://www.palgrave.com/gp/series/14996&quot;,&quot;issued&quot;:{&quot;date-parts&quot;:[[2020]]},&quot;page&quot;:&quot;187-211&quot;},&quot;isTemporary&quot;:false}],&quot;properties&quot;:{&quot;noteIndex&quot;:0},&quot;isEdited&quot;:false,&quot;manualOverride&quot;:{&quot;isManuallyOverridden&quot;:false,&quot;citeprocText&quot;:&quot;(Adeniran et al., 2020)&quot;,&quot;manualOverrideText&quot;:&quot;&quot;},&quot;citationTag&quot;:&quot;MENDELEY_CITATION_v3_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&quot;},{&quot;citationID&quot;:&quot;MENDELEY_CITATION_3d927aef-eadc-4a33-a211-b121674121e5&quot;,&quot;citationItems&quot;:[{&quot;id&quot;:&quot;1471dcfe-ad94-332b-beb0-02aee64ecfc9&quot;,&quot;itemData&quot;:{&quot;type&quot;:&quot;chapter&quot;,&quot;id&quot;:&quot;1471dcfe-ad94-332b-beb0-02aee64ecfc9&quot;,&quot;title&quot;:&quot;Youth Employment and Labor Market\nVulnerability in Ghana: Aggregate Trends\nand Determinants&quot;,&quot;author&quot;:[{&quot;family&quot;:&quot;Adeniran&quot;,&quot;given&quot;:&quot;Adedeji&quot;,&quot;parse-names&quot;:false,&quot;dropping-particle&quot;:&quot;&quot;,&quot;non-dropping-particle&quot;:&quot;&quot;},{&quot;family&quot;:&quot;Ishaku&quot;,&quot;given&quot;:&quot;Joseph&quot;,&quot;parse-names&quot;:false,&quot;dropping-particle&quot;:&quot;&quot;,&quot;non-dropping-particle&quot;:&quot;&quot;},{&quot;family&quot;:&quot;Yusuf&quot;,&quot;given&quot;:&quot;Adekunle&quot;,&quot;parse-names&quot;:false,&quot;dropping-particle&quot;:&quot;&quot;,&quot;non-dropping-particle&quot;:&quot;&quot;}],&quot;container-title&quot;:&quot;West African Youth Challenges and Opportunity Pathways&quot;,&quot;URL&quot;:&quot;http://www.palgrave.com/gp/series/14996&quot;,&quot;issued&quot;:{&quot;date-parts&quot;:[[2020]]},&quot;page&quot;:&quot;187-211&quot;},&quot;isTemporary&quot;:false}],&quot;properties&quot;:{&quot;noteIndex&quot;:0},&quot;isEdited&quot;:false,&quot;manualOverride&quot;:{&quot;isManuallyOverridden&quot;:false,&quot;citeprocText&quot;:&quot;(Adeniran et al., 2020)&quot;,&quot;manualOverrideText&quot;:&quot;&quot;},&quot;citationTag&quot;:&quot;MENDELEY_CITATION_v3_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&quot;},{&quot;citationID&quot;:&quot;MENDELEY_CITATION_88b86a9c-499a-4ed9-aff1-a2e99a74392b&quot;,&quot;citationItems&quot;:[{&quot;id&quot;:&quot;ebfa31bf-f42f-3b78-84e1-8c93de1554ea&quot;,&quot;itemData&quot;:{&quot;type&quot;:&quot;report&quot;,&quot;id&quot;:&quot;ebfa31bf-f42f-3b78-84e1-8c93de1554ea&quot;,&quot;title&quot;:&quot;Population &amp; housing census&quot;,&quot;author&quot;:[{&quot;family&quot;:&quot;Ghana Statistical Service&quot;,&quot;given&quot;:&quot;&quot;,&quot;parse-names&quot;:false,&quot;dropping-particle&quot;:&quot;&quot;,&quot;non-dropping-particle&quot;:&quot;&quot;}],&quot;issued&quot;:{&quot;date-parts&quot;:[[2012]]}},&quot;isTemporary&quot;:false}],&quot;properties&quot;:{&quot;noteIndex&quot;:0},&quot;isEdited&quot;:false,&quot;manualOverride&quot;:{&quot;isManuallyOverridden&quot;:false,&quot;citeprocText&quot;:&quot;(Ghana Statistical Service, 2012)&quot;,&quot;manualOverrideText&quot;:&quot;&quot;},&quot;citationTag&quot;:&quot;MENDELEY_CITATION_v3_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&quot;},{&quot;citationID&quot;:&quot;MENDELEY_CITATION_480d0462-d427-4c67-b58c-00bbdd040069&quot;,&quot;citationItems&quot;:[{&quot;id&quot;:&quot;ab380879-41a1-379d-8f88-6f6618f7bf01&quot;,&quot;itemData&quot;:{&quot;type&quot;:&quot;report&quot;,&quot;id&quot;:&quot;ab380879-41a1-379d-8f88-6f6618f7bf01&quot;,&quot;title&quot;:&quot;Ghana Labour Market Profile 2020&quot;,&quot;author&quot;:[{&quot;family&quot;:&quot;DTDA&quot;,&quot;given&quot;:&quot;&quot;,&quot;parse-names&quot;:false,&quot;dropping-particle&quot;:&quot;&quot;,&quot;non-dropping-particle&quot;:&quot;&quot;}],&quot;URL&quot;:&quot;https://www.ulandssekretariatet.dk/wp-content/uploads/2020/02/Ghana_lmp_2020.pdf&quot;,&quot;issued&quot;:{&quot;date-parts&quot;:[[2020]]},&quot;number-of-pages&quot;:&quot;10-13&quot;},&quot;isTemporary&quot;:false}],&quot;properties&quot;:{&quot;noteIndex&quot;:0},&quot;isEdited&quot;:false,&quot;manualOverride&quot;:{&quot;isManuallyOverridden&quot;:true,&quot;citeprocText&quot;:&quot;(DTDA, 2020a)&quot;,&quot;manualOverrideText&quot;:&quot;(DTDA, 2020)&quot;},&quot;citationTag&quot;:&quot;MENDELEY_CITATION_v3_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&quot;},{&quot;citationID&quot;:&quot;MENDELEY_CITATION_24dc9b02-a2be-4125-a480-24da95c1f5c2&quot;,&quot;citationItems&quot;:[{&quot;id&quot;:&quot;cb658c2a-cc00-343c-b4c5-dcedea988061&quot;,&quot;itemData&quot;:{&quot;type&quot;:&quot;report&quot;,&quot;id&quot;:&quot;cb658c2a-cc00-343c-b4c5-dcedea988061&quot;,&quot;title&quot;:&quot;Ghana Labour Market Profile 2020&quot;,&quot;author&quot;:[{&quot;family&quot;:&quot;DTDA&quot;,&quot;given&quot;:&quot;&quot;,&quot;parse-names&quot;:false,&quot;dropping-particle&quot;:&quot;&quot;,&quot;non-dropping-particle&quot;:&quot;&quot;}],&quot;URL&quot;:&quot;https://www.ulandssekretariatet.dk/wp-content/uploads/2020/02/Ghana_lmp_2020.pdf&quot;,&quot;issued&quot;:{&quot;date-parts&quot;:[[2020]]},&quot;number-of-pages&quot;:&quot;10-13&quot;},&quot;isTemporary&quot;:false}],&quot;properties&quot;:{&quot;noteIndex&quot;:0},&quot;isEdited&quot;:false,&quot;manualOverride&quot;:{&quot;isManuallyOverridden&quot;:true,&quot;citeprocText&quot;:&quot;(DTDA, 2020b)&quot;,&quot;manualOverrideText&quot;:&quot;(DTDA, 2020)&quot;},&quot;citationTag&quot;:&quot;MENDELEY_CITATION_v3_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&quot;},{&quot;citationID&quot;:&quot;MENDELEY_CITATION_a4cd9280-c4d1-4a35-b881-1e80ad3f8130&quot;,&quot;citationItems&quot;:[{&quot;id&quot;:&quot;6eed7c9d-78ff-3568-aebf-f960917bd516&quot;,&quot;itemData&quot;:{&quot;type&quot;:&quot;report&quot;,&quot;id&quot;:&quot;6eed7c9d-78ff-3568-aebf-f960917bd516&quot;,&quot;title&quot;:&quot;Estimating the Size and Trends of the Informal Economy in Ghana&quot;,&quot;author&quot;:[{&quot;family&quot;:&quot;Ocran&quot;,&quot;given&quot;:&quot;Matthew Kofi&quot;,&quot;parse-names&quot;:false,&quot;dropping-particle&quot;:&quot;&quot;,&quot;non-dropping-particle&quot;:&quot;&quot;}],&quot;collection-title&quot;:&quot;AERC Research Papers&quot;,&quot;ISBN&quot;:&quot;9789966610485&quot;,&quot;URL&quot;:&quot;http://mpra.ub.uni-muenchen.de/37807/&quot;,&quot;issued&quot;:{&quot;date-parts&quot;:[[2018]]},&quot;publisher-place&quot;:&quot;Nairobi&quot;},&quot;isTemporary&quot;:false}],&quot;properties&quot;:{&quot;noteIndex&quot;:0},&quot;isEdited&quot;:false,&quot;manualOverride&quot;:{&quot;isManuallyOverridden&quot;:true,&quot;citeprocText&quot;:&quot;(Ocran, 2018a)&quot;,&quot;manualOverrideText&quot;:&quot;(Ocran, 2018)&quot;},&quot;citationTag&quot;:&quot;MENDELEY_CITATION_v3_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&quot;},{&quot;citationID&quot;:&quot;MENDELEY_CITATION_5b03f3de-20d0-48a9-8b55-664143423578&quot;,&quot;citationItems&quot;:[{&quot;id&quot;:&quot;7a4032ad-f013-3c80-9dab-f9e876be0198&quot;,&quot;itemData&quot;:{&quot;type&quot;:&quot;report&quot;,&quot;id&quot;:&quot;7a4032ad-f013-3c80-9dab-f9e876be0198&quot;,&quot;title&quot;:&quot;Systematic Country Diagnostic (SCD): Priorities for ending pverty and boosting shared prosperity&quot;,&quot;author&quot;:[{&quot;family&quot;:&quot;World Bank&quot;,&quot;given&quot;:&quot;&quot;,&quot;parse-names&quot;:false,&quot;dropping-particle&quot;:&quot;&quot;,&quot;non-dropping-particle&quot;:&quot;&quot;}],&quot;issued&quot;:{&quot;date-parts&quot;:[[2018]]},&quot;issue&quot;:&quot;132010&quot;},&quot;isTemporary&quot;:false}],&quot;properties&quot;:{&quot;noteIndex&quot;:0},&quot;isEdited&quot;:false,&quot;manualOverride&quot;:{&quot;isManuallyOverridden&quot;:false,&quot;citeprocText&quot;:&quot;(World Bank, 2018)&quot;,&quot;manualOverrideText&quot;:&quot;&quot;},&quot;citationTag&quot;:&quot;MENDELEY_CITATION_v3_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&quot;},{&quot;citationID&quot;:&quot;MENDELEY_CITATION_eec7cf61-980d-4a55-b465-775b042a8140&quot;,&quot;citationItems&quot;:[{&quot;id&quot;:&quot;ab380879-41a1-379d-8f88-6f6618f7bf01&quot;,&quot;itemData&quot;:{&quot;type&quot;:&quot;report&quot;,&quot;id&quot;:&quot;ab380879-41a1-379d-8f88-6f6618f7bf01&quot;,&quot;title&quot;:&quot;Ghana Labour Market Profile 2020&quot;,&quot;author&quot;:[{&quot;family&quot;:&quot;DTDA&quot;,&quot;given&quot;:&quot;&quot;,&quot;parse-names&quot;:false,&quot;dropping-particle&quot;:&quot;&quot;,&quot;non-dropping-particle&quot;:&quot;&quot;}],&quot;URL&quot;:&quot;https://www.ulandssekretariatet.dk/wp-content/uploads/2020/02/Ghana_lmp_2020.pdf&quot;,&quot;issued&quot;:{&quot;date-parts&quot;:[[2020]]},&quot;number-of-pages&quot;:&quot;10-13&quot;},&quot;isTemporary&quot;:false}],&quot;properties&quot;:{&quot;noteIndex&quot;:0},&quot;isEdited&quot;:false,&quot;manualOverride&quot;:{&quot;isManuallyOverridden&quot;:true,&quot;citeprocText&quot;:&quot;(DTDA, 2020a)&quot;,&quot;manualOverrideText&quot;:&quot;DTDA (2020)&quot;},&quot;citationTag&quot;:&quot;MENDELEY_CITATION_v3_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&quot;},{&quot;citationID&quot;:&quot;MENDELEY_CITATION_5d6b6a9a-f367-4f1a-8a92-2e3372873dee&quot;,&quot;citationItems&quot;:[{&quot;id&quot;:&quot;7a4032ad-f013-3c80-9dab-f9e876be0198&quot;,&quot;itemData&quot;:{&quot;type&quot;:&quot;report&quot;,&quot;id&quot;:&quot;7a4032ad-f013-3c80-9dab-f9e876be0198&quot;,&quot;title&quot;:&quot;Systematic Country Diagnostic (SCD): Priorities for ending pverty and boosting shared prosperity&quot;,&quot;author&quot;:[{&quot;family&quot;:&quot;World Bank&quot;,&quot;given&quot;:&quot;&quot;,&quot;parse-names&quot;:false,&quot;dropping-particle&quot;:&quot;&quot;,&quot;non-dropping-particle&quot;:&quot;&quot;}],&quot;issued&quot;:{&quot;date-parts&quot;:[[2018]]},&quot;issue&quot;:&quot;132010&quot;},&quot;isTemporary&quot;:false}],&quot;properties&quot;:{&quot;noteIndex&quot;:0},&quot;isEdited&quot;:false,&quot;manualOverride&quot;:{&quot;isManuallyOverridden&quot;:true,&quot;citeprocText&quot;:&quot;(World Bank, 2018)&quot;,&quot;manualOverrideText&quot;:&quot;World Bank, 2018)&quot;},&quot;citationTag&quot;:&quot;MENDELEY_CITATION_v3_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&quot;},{&quot;citationID&quot;:&quot;MENDELEY_CITATION_ee8b0242-5d54-4cd8-a100-2e848fabc589&quot;,&quot;citationItems&quot;:[{&quot;id&quot;:&quot;006321a5-f180-31a9-9016-6be80edd4f7d&quot;,&quot;itemData&quot;:{&quot;type&quot;:&quot;report&quot;,&quot;id&quot;:&quot;006321a5-f180-31a9-9016-6be80edd4f7d&quot;,&quot;title&quot;:&quot;Structural Transformation and Labor Market Performance in Ghana&quot;,&quot;author&quot;:[{&quot;family&quot;:&quot;Nxumalo&quot;,&quot;given&quot;:&quot;Mpumelelo&quot;,&quot;parse-names&quot;:false,&quot;dropping-particle&quot;:&quot;&quot;,&quot;non-dropping-particle&quot;:&quot;&quot;},{&quot;family&quot;:&quot;Raju&quot;,&quot;given&quot;:&quot;Dhushyanth&quot;,&quot;parse-names&quot;:false,&quot;dropping-particle&quot;:&quot;&quot;,&quot;non-dropping-particle&quot;:&quot;&quot;}],&quot;collection-title&quot;:&quot;Jobs Working Papers&quot;,&quot;DOI&quot;:&quot;10.2139/ssrn.3757726&quot;,&quot;issued&quot;:{&quot;date-parts&quot;:[[2020]]},&quot;publisher-place&quot;:&quot;Washington, DC&quot;,&quot;abstract&quot;:&quot;Structural transformation can spur economic growth and development if it increases overall productivity growth. A labor market environment that enables workers and enterprises to transition smoothly across sectors and into more productive economic pursuits can enhance the effect of structural transformation on economic growth. This study examines Ghana's recent record of structural transformation and labor market performance. Based on the findings, the study proposes ways to further transform the country's economy, in a way that stimulates stronger, sustained growth and produces gainful, productive, and inclusive private employment. The COVID-19 pandemic and associated global economic crisis have posed a substantial setback to Ghana's economic progress and plans, but these challenges also underscore the need for structural transformation that can both strengthen economic performance and improve labor conditions and outcomes.&quot;},&quot;isTemporary&quot;:false}],&quot;properties&quot;:{&quot;noteIndex&quot;:0},&quot;isEdited&quot;:false,&quot;manualOverride&quot;:{&quot;isManuallyOverridden&quot;:true,&quot;citeprocText&quot;:&quot;(Nxumalo &amp;#38; Raju, 2020)&quot;,&quot;manualOverrideText&quot;:&quot;(Nxumalo &amp; Raju, 2020).&quot;},&quot;citationTag&quot;:&quot;MENDELEY_CITATION_v3_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&quot;},{&quot;citationID&quot;:&quot;MENDELEY_CITATION_3b8e0118-5b5d-41e8-90f4-998112050a96&quot;,&quot;citationItems&quot;:[{&quot;id&quot;:&quot;5d5d2c1b-4657-3c8c-84d0-5ae464e75044&quot;,&quot;itemData&quot;:{&quot;type&quot;:&quot;report&quot;,&quot;id&quot;:&quot;5d5d2c1b-4657-3c8c-84d0-5ae464e75044&quot;,&quot;title&quot;:&quot;Education, skill, and earnings: Further evidence from Ghana&quot;,&quot;author&quot;:[{&quot;family&quot;:&quot;Ackah&quot;,&quot;given&quot;:&quot;Charles&quot;,&quot;parse-names&quot;:false,&quot;dropping-particle&quot;:&quot;&quot;,&quot;non-dropping-particle&quot;:&quot;&quot;},{&quot;family&quot;:&quot;Adjasi&quot;,&quot;given&quot;:&quot;Charles&quot;,&quot;parse-names&quot;:false,&quot;dropping-particle&quot;:&quot;&quot;,&quot;non-dropping-particle&quot;:&quot;&quot;},{&quot;family&quot;:&quot;Turkson&quot;,&quot;given&quot;:&quot;Festus&quot;,&quot;parse-names&quot;:false,&quot;dropping-particle&quot;:&quot;&quot;,&quot;non-dropping-particle&quot;:&quot;&quot;},{&quot;family&quot;:&quot;Acquah&quot;,&quot;given&quot;:&quot;Adjoa&quot;,&quot;parse-names&quot;:false,&quot;dropping-particle&quot;:&quot;&quot;,&quot;non-dropping-particle&quot;:&quot;&quot;}],&quot;issued&quot;:{&quot;date-parts&quot;:[[2014]]},&quot;abstract&quot;:&quot;This paper provides evidence on the nature of returns to education in Ghana and confirms the emerging empirical literature on the convexity of returns to education in Ghana. Using a basic Mincerian, model we find that returns to education more than triples from primary to secondary level or higher-an indication of a rather strong convex relationship. The results point to the importance of higher education in productivity. Nonetheless educational policies should not only be directed at increasing enrolment and quality of education at the secondary and higher educational levels but also at improving the quality of basic education.&quot;},&quot;isTemporary&quot;:false}],&quot;properties&quot;:{&quot;noteIndex&quot;:0},&quot;isEdited&quot;:false,&quot;manualOverride&quot;:{&quot;isManuallyOverridden&quot;:true,&quot;citeprocText&quot;:&quot;(Ackah et al., 2014a)&quot;,&quot;manualOverrideText&quot;:&quot;(Ackah et al., 2014)&quot;},&quot;citationTag&quot;:&quot;MENDELEY_CITATION_v3_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&quot;},{&quot;citationID&quot;:&quot;MENDELEY_CITATION_38bfa72e-e81e-4712-ba54-f3c21b6045f8&quot;,&quot;citationItems&quot;:[{&quot;id&quot;:&quot;161f1f65-5eb6-3045-9022-5a9b99d730fd&quot;,&quot;itemData&quot;:{&quot;type&quot;:&quot;report&quot;,&quot;id&quot;:&quot;161f1f65-5eb6-3045-9022-5a9b99d730fd&quot;,&quot;title&quot;:&quot;Informal work in sub-Saharan Africa Dead-end or stepping stone?&quot;,&quot;author&quot;:[{&quot;family&quot;:&quot;Danquah&quot;,&quot;given&quot;:&quot;Michael&quot;,&quot;parse-names&quot;:false,&quot;dropping-particle&quot;:&quot;&quot;,&quot;non-dropping-particle&quot;:&quot;&quot;},{&quot;family&quot;:&quot;Schotte&quot;,&quot;given&quot;:&quot;Simone&quot;,&quot;parse-names&quot;:false,&quot;dropping-particle&quot;:&quot;&quot;,&quot;non-dropping-particle&quot;:&quot;&quot;},{&quot;family&quot;:&quot;Sen&quot;,&quot;given&quot;:&quot;Kunal&quot;,&quot;parse-names&quot;:false,&quot;dropping-particle&quot;:&quot;&quot;,&quot;non-dropping-particle&quot;:&quot;&quot;}],&quot;issued&quot;:{&quot;date-parts&quot;:[[2019]]},&quot;abstract&quot;:&quot;Despite rapid economic growth in recent decades, informality remains a persistent phenomenon in the labour markets of many low-and middle-income countries. A key issue in this regard concerns the extent to which informality itself is a persistent state. Using panel data from Ghana, South Africa, Tanzania, and Uganda, this paper presents one of the very few analyses providing evidence on this question in the context of sub-Saharan Africa. Our results reveal an important extent of heterogeneity in the transition patterns observed for workers in upper-tier versus lower-tier informality. Given the limited alternative job opportunities available particularly to those in lower-tier informal self-employment, who often remain locked in a situation of inferior pay and conditions, specific policies that seek to enhance the livelihoods of workers in this most disadvantaged segment may be more relevant in the Sub-Saharan context, than policies that aim to reduce the regulatory barriers to formalisation.&quot;},&quot;isTemporary&quot;:false}],&quot;properties&quot;:{&quot;noteIndex&quot;:0},&quot;isEdited&quot;:false,&quot;manualOverride&quot;:{&quot;isManuallyOverridden&quot;:true,&quot;citeprocText&quot;:&quot;(Danquah et al., 2019)&quot;,&quot;manualOverrideText&quot;:&quot;Danquah et al. (2019)&quot;},&quot;citationTag&quot;:&quot;MENDELEY_CITATION_v3_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&quot;},{&quot;citationID&quot;:&quot;MENDELEY_CITATION_2983ab82-e45f-4b30-8a47-6fee3059e370&quot;,&quot;citationItems&quot;:[{&quot;id&quot;:&quot;29e85bc2-ed90-3a5a-8c09-db4a93000c29&quot;,&quot;itemData&quot;:{&quot;type&quot;:&quot;report&quot;,&quot;id&quot;:&quot;29e85bc2-ed90-3a5a-8c09-db4a93000c29&quot;,&quot;title&quot;:&quot;Ghana - Poverty Assessment&quot;,&quot;author&quot;:[{&quot;family&quot;:&quot;World Bank&quot;,&quot;given&quot;:&quot;&quot;,&quot;parse-names&quot;:false,&quot;dropping-particle&quot;:&quot;&quot;,&quot;non-dropping-particle&quot;:&quot;&quot;}],&quot;DOI&quot;:&quot;10.4135/9781483345727.n658&quot;,&quot;issued&quot;:{&quot;date-parts&quot;:[[2020]]},&quot;publisher-place&quot;:&quot;Washington, DC&quot;,&quot;issue&quot;:&quot;AUS0001903&quot;},&quot;isTemporary&quot;:false}],&quot;properties&quot;:{&quot;noteIndex&quot;:0},&quot;isEdited&quot;:false,&quot;manualOverride&quot;:{&quot;isManuallyOverridden&quot;:true,&quot;citeprocText&quot;:&quot;(World Bank, 2020b)&quot;,&quot;manualOverrideText&quot;:&quot;(World Bank, 2020). &quot;},&quot;citationTag&quot;:&quot;MENDELEY_CITATION_v3_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&quot;},{&quot;citationID&quot;:&quot;MENDELEY_CITATION_b97ff3e1-b982-4a7c-a36e-8b098190f86f&quot;,&quot;citationItems&quot;:[{&quot;id&quot;:&quot;36f081e3-8101-38db-ae38-0f94d3b95616&quot;,&quot;itemData&quot;:{&quot;type&quot;:&quot;report&quot;,&quot;id&quot;:&quot;36f081e3-8101-38db-ae38-0f94d3b95616&quot;,&quot;title&quot;:&quot;Structural change, employment and education in Ghana&quot;,&quot;author&quot;:[{&quot;family&quot;:&quot;Sparreboom&quot;,&quot;given&quot;:&quot;Theo&quot;,&quot;parse-names&quot;:false,&quot;dropping-particle&quot;:&quot;&quot;,&quot;non-dropping-particle&quot;:&quot;&quot;},{&quot;family&quot;:&quot;Gomis&quot;,&quot;given&quot;:&quot;Roger&quot;,&quot;parse-names&quot;:false,&quot;dropping-particle&quot;:&quot;&quot;,&quot;non-dropping-particle&quot;:&quot;&quot;}],&quot;collection-title&quot;:&quot;EMPLOYMENT Working Papers&quot;,&quot;issued&quot;:{&quot;date-parts&quot;:[[2015]]},&quot;publisher-place&quot;:&quot;Geneva&quot;},&quot;isTemporary&quot;:false}],&quot;properties&quot;:{&quot;noteIndex&quot;:0},&quot;isEdited&quot;:false,&quot;manualOverride&quot;:{&quot;isManuallyOverridden&quot;:false,&quot;citeprocText&quot;:&quot;(Sparreboom &amp;#38; Gomis, 2015)&quot;,&quot;manualOverrideText&quot;:&quot;&quot;},&quot;citationTag&quot;:&quot;MENDELEY_CITATION_v3_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&quot;},{&quot;citationID&quot;:&quot;MENDELEY_CITATION_9456bd9b-2871-4ae5-a68a-3f3167e1c0c2&quot;,&quot;citationItems&quot;:[{&quot;id&quot;:&quot;5c28793c-478c-37db-bda1-e21c43b61e57&quot;,&quot;itemData&quot;:{&quot;type&quot;:&quot;report&quot;,&quot;id&quot;:&quot;5c28793c-478c-37db-bda1-e21c43b61e57&quot;,&quot;title&quot;:&quot;Challenges and Prospects of the Ghana Textiles Industry View project Culture and Educational Leadership Science View project&quot;,&quot;author&quot;:[{&quot;family&quot;:&quot;Joe&quot;,&quot;given&quot;:&quot;Adu--Agyem&quot;,&quot;parse-names&quot;:false,&quot;dropping-particle&quot;:&quot;&quot;,&quot;non-dropping-particle&quot;:&quot;&quot;},{&quot;family&quot;:&quot;Osei-Poku&quot;,&quot;given&quot;:&quot;Patrick&quot;,&quot;parse-names&quot;:false,&quot;dropping-particle&quot;:&quot;&quot;,&quot;non-dropping-particle&quot;:&quot;&quot;}],&quot;URL&quot;:&quot;https://www.researchgate.net/publication/314414554&quot;,&quot;issued&quot;:{&quot;date-parts&quot;:[[2012]]}},&quot;isTemporary&quot;:false}],&quot;properties&quot;:{&quot;noteIndex&quot;:0},&quot;isEdited&quot;:false,&quot;manualOverride&quot;:{&quot;isManuallyOverridden&quot;:true,&quot;citeprocText&quot;:&quot;(Joe &amp;#38; Osei-Poku, 2012)&quot;,&quot;manualOverrideText&quot;:&quot;Joe &amp; Osei-Poku, 2012)&quot;},&quot;citationTag&quot;:&quot;MENDELEY_CITATION_v3_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&quot;},{&quot;citationID&quot;:&quot;MENDELEY_CITATION_bd9ee378-7268-4ef9-b3f5-1bc1c9c74ee5&quot;,&quot;properties&quot;:{&quot;noteIndex&quot;:0},&quot;isEdited&quot;:false,&quot;manualOverride&quot;:{&quot;isManuallyOverridden&quot;:false,&quot;citeprocText&quot;:&quot;(Adams et al., 2007)&quot;,&quot;manualOverrideText&quot;:&quot;&quot;},&quot;citationItems&quot;:[{&quot;id&quot;:&quot;840ad346-c659-3ffb-a1d9-9293d1d0fd4b&quot;,&quot;itemData&quot;:{&quot;type&quot;:&quot;report&quot;,&quot;id&quot;:&quot;840ad346-c659-3ffb-a1d9-9293d1d0fd4b&quot;,&quot;title&quot;:&quot;Education, skills, and labor market outcomes in Ghana&quot;,&quot;author&quot;:[{&quot;family&quot;:&quot;Adams&quot;,&quot;given&quot;:&quot;Arvil&quot;,&quot;parse-names&quot;:false,&quot;dropping-particle&quot;:&quot;&quot;,&quot;non-dropping-particle&quot;:&quot;&quot;},{&quot;family&quot;:&quot;Coulombe&quot;,&quot;given&quot;:&quot;Harold&quot;,&quot;parse-names&quot;:false,&quot;dropping-particle&quot;:&quot;&quot;,&quot;non-dropping-particle&quot;:&quot;&quot;},{&quot;family&quot;:&quot;Wodon&quot;,&quot;given&quot;:&quot;Quentin&quot;,&quot;parse-names&quot;:false,&quot;dropping-particle&quot;:&quot;&quot;,&quot;non-dropping-particle&quot;:&quot;&quot;},{&quot;family&quot;:&quot;Razmara&quot;,&quot;given&quot;:&quot;Setarah&quot;,&quot;parse-names&quot;:false,&quot;dropping-particle&quot;:&quot;&quot;,&quot;non-dropping-particle&quot;:&quot;&quot;}],&quot;issued&quot;:{&quot;date-parts&quot;:[[2007]]}},&quot;isTemporary&quot;:false}],&quot;citationTag&quot;:&quot;MENDELEY_CITATION_v3_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&quot;},{&quot;citationID&quot;:&quot;MENDELEY_CITATION_6c5a1055-9580-4f83-b976-f6c70f0c67c0&quot;,&quot;citationItems&quot;:[{&quot;id&quot;:&quot;76e45646-63c8-3665-adb6-082469873232&quot;,&quot;itemData&quot;:{&quot;type&quot;:&quot;book&quot;,&quot;id&quot;:&quot;76e45646-63c8-3665-adb6-082469873232&quot;,&quot;title&quot;:&quot;Education, skill, and earnings further evidence from Ghana&quot;,&quot;author&quot;:[{&quot;family&quot;:&quot;Ackah&quot;,&quot;given&quot;:&quot;Charles&quot;,&quot;parse-names&quot;:false,&quot;dropping-particle&quot;:&quot;&quot;,&quot;non-dropping-particle&quot;:&quot;&quot;},{&quot;family&quot;:&quot;Adjasi&quot;,&quot;given&quot;:&quot;Charles&quot;,&quot;parse-names&quot;:false,&quot;dropping-particle&quot;:&quot;&quot;,&quot;non-dropping-particle&quot;:&quot;&quot;},{&quot;family&quot;:&quot;Turkson&quot;,&quot;given&quot;:&quot;Festus&quot;,&quot;parse-names&quot;:false,&quot;dropping-particle&quot;:&quot;&quot;,&quot;non-dropping-particle&quot;:&quot;&quot;},{&quot;family&quot;:&quot;Acquah&quot;,&quot;given&quot;:&quot;Adjoa&quot;,&quot;parse-names&quot;:false,&quot;dropping-particle&quot;:&quot;&quot;,&quot;non-dropping-particle&quot;:&quot;&quot;}],&quot;ISBN&quot;:&quot;9789292307943&quot;,&quot;issued&quot;:{&quot;date-parts&quot;:[[2014]]},&quot;abstract&quot;:&quot;This paper provides evidence on the nature of returns to education in Ghana and confirms the emerging empirical literature on the convexity of returns to education in Ghana. Using a basic Mincerian, model we find that returns to education more than triples from primary to secondary level or higher - an indication of a rather strong convex relationship. The results point to the importance of higher education in productivity. Nonetheless educational policies should not only be directed at increasing enrolment and quality of education at the secondary and higher educational levels but also at improving the quality of basic education.&quot;,&quot;publisher&quot;:&quot;WIDER&quot;},&quot;isTemporary&quot;:false}],&quot;properties&quot;:{&quot;noteIndex&quot;:0},&quot;isEdited&quot;:false,&quot;manualOverride&quot;:{&quot;isManuallyOverridden&quot;:true,&quot;citeprocText&quot;:&quot;(Ackah et al., 2014b)&quot;,&quot;manualOverrideText&quot;:&quot;Ackah et al., 2014)&quot;},&quot;citationTag&quot;:&quot;MENDELEY_CITATION_v3_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&quot;},{&quot;citationID&quot;:&quot;MENDELEY_CITATION_42ae5413-c58d-4180-b0d5-7418b5a368d9&quot;,&quot;citationItems&quot;:[{&quot;id&quot;:&quot;51e6e906-82b8-3c1c-81e3-8e0084923973&quot;,&quot;itemData&quot;:{&quot;type&quot;:&quot;report&quot;,&quot;id&quot;:&quot;51e6e906-82b8-3c1c-81e3-8e0084923973&quot;,&quot;title&quot;:&quot;Education, Skills, and Labor Market Outcomes in Ghana&quot;,&quot;author&quot;:[{&quot;family&quot;:&quot;Adams&quot;,&quot;given&quot;:&quot;Arvil&quot;,&quot;parse-names&quot;:false,&quot;dropping-particle&quot;:&quot;v&quot;,&quot;non-dropping-particle&quot;:&quot;&quot;},{&quot;family&quot;:&quot;Coulombe&quot;,&quot;given&quot;:&quot;Harold&quot;,&quot;parse-names&quot;:false,&quot;dropping-particle&quot;:&quot;&quot;,&quot;non-dropping-particle&quot;:&quot;&quot;},{&quot;family&quot;:&quot;Wodon&quot;,&quot;given&quot;:&quot;Quentin&quot;,&quot;parse-names&quot;:false,&quot;dropping-particle&quot;:&quot;&quot;,&quot;non-dropping-particle&quot;:&quot;&quot;},{&quot;family&quot;:&quot;Razmara&quot;,&quot;given&quot;:&quot;Setarah&quot;,&quot;parse-names&quot;:false,&quot;dropping-particle&quot;:&quot;&quot;,&quot;non-dropping-particle&quot;:&quot;&quot;},{&quot;family&quot;:&quot;Bank&quot;,&quot;given&quot;:&quot;World&quot;,&quot;parse-names&quot;:false,&quot;dropping-particle&quot;:&quot;&quot;,&quot;non-dropping-particle&quot;:&quot;&quot;}],&quot;abstract&quot;:&quot;Trade, rapid advances in science and technology, and intensified economic competition are shaping the demand for skills in countries worldwide. These forces have increased the attention given to the ability of education and training systems to prepare youth for entry to the world of work and to support more seasoned workers in adjusting to structural changes taking place in labor markets. 1 Concern exists whether skill deficits have or may become a constraint to Ghana's further growth and capacity for reducing poverty. Noting the limited opportunities for skills development beyond basic education, a White Paper was prepared in 2004, building on the Education Strategic Plan (ESP) for 2003-2015 prepared by the Ministry of Education Science and Sports (MOESS) and calling for increased emphasis on technical, vocational, and agricultural education and apprenticeship. 2 In a sector review, MOESS refers to evidence of a widespread disparity between what education institutions produce and what the labor market wants. 3 This paper begins with an overview of the landscape for skills development, starting with basic education and moving on to consider options for further education and skills development, comparing school-based and post-school options for training and highlighting issues of access, quality, efficiency and financing in various programs. The second section estimates returns to education and training, looking for evidence of growing skills gaps, and the third section reviews the ESP recommendations for sector reforms involving skills, and benchmarks recommendations against regional and international experience, emphasizing priorities. Overall, the analysis shows that though Ghana has made substantial investments in basic education, improvements in quality are necessary. Furthermore, education and skills training are influencing wages and earnings directly by raising the productivity of the worker and indirectly by promoting entry into more lucrative forms of employment. Therefore improving skills development is key to the attainment of middle-income status. To this end, Government needs to continue improving the quality of basic education while opening access to post-basic education and improving articulation between formal education and training programs, including traditional apprenticeships. Government can play an important role in promoting the efficient operation of training markets by engaging employers in setting skills standards, focusing on development of a quality assurance framework, and linking public financing of training to outcomes.&quot;},&quot;isTemporary&quot;:false}],&quot;properties&quot;:{&quot;noteIndex&quot;:0},&quot;isEdited&quot;:false,&quot;manualOverride&quot;:{&quot;isManuallyOverridden&quot;:true,&quot;citeprocText&quot;:&quot;(Adams et al., n.d.)&quot;,&quot;manualOverrideText&quot;:&quot;(Adams et al., 2007)&quot;},&quot;citationTag&quot;:&quot;MENDELEY_CITATION_v3_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&quot;},{&quot;citationID&quot;:&quot;MENDELEY_CITATION_d905ed15-e40f-42e2-8b13-3c08bcd67ff4&quot;,&quot;citationItems&quot;:[{&quot;id&quot;:&quot;cb658c2a-cc00-343c-b4c5-dcedea988061&quot;,&quot;itemData&quot;:{&quot;type&quot;:&quot;report&quot;,&quot;id&quot;:&quot;cb658c2a-cc00-343c-b4c5-dcedea988061&quot;,&quot;title&quot;:&quot;Ghana Labour Market Profile 2020&quot;,&quot;author&quot;:[{&quot;family&quot;:&quot;DTDA&quot;,&quot;given&quot;:&quot;&quot;,&quot;parse-names&quot;:false,&quot;dropping-particle&quot;:&quot;&quot;,&quot;non-dropping-particle&quot;:&quot;&quot;}],&quot;URL&quot;:&quot;https://www.ulandssekretariatet.dk/wp-content/uploads/2020/02/Ghana_lmp_2020.pdf&quot;,&quot;issued&quot;:{&quot;date-parts&quot;:[[2020]]},&quot;number-of-pages&quot;:&quot;10-13&quot;},&quot;isTemporary&quot;:false}],&quot;properties&quot;:{&quot;noteIndex&quot;:0},&quot;isEdited&quot;:false,&quot;manualOverride&quot;:{&quot;isManuallyOverridden&quot;:true,&quot;citeprocText&quot;:&quot;(DTDA, 2020b)&quot;,&quot;manualOverrideText&quot;:&quot;(DTDA, 2020)&quot;},&quot;citationTag&quot;:&quot;MENDELEY_CITATION_v3_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&quot;},{&quot;citationID&quot;:&quot;MENDELEY_CITATION_18b41a10-6af9-463c-9551-5339056ac026&quot;,&quot;citationItems&quot;:[{&quot;id&quot;:&quot;2eec4e30-034e-3073-9d7a-972ce07ee41f&quot;,&quot;itemData&quot;:{&quot;type&quot;:&quot;report&quot;,&quot;id&quot;:&quot;2eec4e30-034e-3073-9d7a-972ce07ee41f&quot;,&quot;title&quot;:&quot;Ghana Living Standards Survey Round Seven (GLSS7)&quot;,&quot;author&quot;:[{&quot;family&quot;:&quot;GSS&quot;,&quot;given&quot;:&quot;&quot;,&quot;parse-names&quot;:false,&quot;dropping-particle&quot;:&quot;&quot;,&quot;non-dropping-particle&quot;:&quot;&quot;}],&quot;URL&quot;:&quot;https://statsghana.gov.gh/gsspublications.php?category=MTAwMjg3Mzk3NC4zMDc=/webstats/1opr93rn57&quot;,&quot;issued&quot;:{&quot;date-parts&quot;:[[2019]]},&quot;number-of-pages&quot;:&quot;1-343&quot;,&quot;abstract&quot;:&quot;The Ghana Living Standards Survey (GLSS) provides information for understanding and monitoring living conditions in Ghana. This is the seventh round of a nationwide household survey. The data collection was over a period of 12 months (22 nd October, 2016 to 17 th October, 2017). The uniqueness of the GLSS round seven (GLSS7) are the inclusion of a module on Data Protection and the use of smart devices in the collection of the data. The survey collected detailed information on the demographic characteristics of the households, education, health, employment, migration &amp; remittances, information communication and technology (ICT), tourism, housing, household agriculture, non-farm household enterprises, financial services, anthropometry and asset. Information was also collected on households' perception of governance, peace and security and knowledge of data protection in Ghana. The results from this survey have provided information for the preparation of a Poverty Profile Report. In addition, separate reports on Tourism, and Governance, Peace and Security have also been prepared. To promote further analysis with the aim of maximizing the returns of the data collection exercise, the micro data has been made available.&quot;},&quot;isTemporary&quot;:false}],&quot;properties&quot;:{&quot;noteIndex&quot;:0},&quot;isEdited&quot;:false,&quot;manualOverride&quot;:{&quot;isManuallyOverridden&quot;:false,&quot;citeprocText&quot;:&quot;(GSS, 2019)&quot;,&quot;manualOverrideText&quot;:&quot;&quot;},&quot;citationTag&quot;:&quot;MENDELEY_CITATION_v3_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&quot;},{&quot;citationID&quot;:&quot;MENDELEY_CITATION_bb841861-146b-43c3-a396-3d7e72e917c8&quot;,&quot;citationItems&quot;:[{&quot;id&quot;:&quot;45e2cc76-2911-3a9a-a458-07ed29879918&quot;,&quot;itemData&quot;:{&quot;type&quot;:&quot;report&quot;,&quot;id&quot;:&quot;45e2cc76-2911-3a9a-a458-07ed29879918&quot;,&quot;title&quot;:&quot;Gender inequality in key sectors in Ghana: Current trends, causes and interventions Ghana: Social policy interventions for children, older people and the family View project&quot;,&quot;author&quot;:[{&quot;family&quot;:&quot;Appiah-Kubi&quot;,&quot;given&quot;:&quot;Jamal&quot;,&quot;parse-names&quot;:false,&quot;dropping-particle&quot;:&quot;&quot;,&quot;non-dropping-particle&quot;:&quot;&quot;},{&quot;family&quot;:&quot;Luboder&quot;,&quot;given&quot;:&quot;Zlata&quot;,&quot;parse-names&quot;:false,&quot;dropping-particle&quot;:&quot;&quot;,&quot;non-dropping-particle&quot;:&quot;&quot;}],&quot;URL&quot;:&quot;https://www.researchgate.net/publication/342572475&quot;,&quot;issued&quot;:{&quot;date-parts&quot;:[[2020]]}},&quot;isTemporary&quot;:false}],&quot;properties&quot;:{&quot;noteIndex&quot;:0},&quot;isEdited&quot;:false,&quot;manualOverride&quot;:{&quot;isManuallyOverridden&quot;:true,&quot;citeprocText&quot;:&quot;(Appiah-Kubi &amp;#38; Luboder, 2020)&quot;,&quot;manualOverrideText&quot;:&quot; Appiah-Kubi and Luboder (2020),&quot;},&quot;citationTag&quot;:&quot;MENDELEY_CITATION_v3_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&quot;},{&quot;citationID&quot;:&quot;MENDELEY_CITATION_565eb501-bbff-46da-8d00-c36799e4e993&quot;,&quot;properties&quot;:{&quot;noteIndex&quot;:0},&quot;isEdited&quot;:false,&quot;manualOverride&quot;:{&quot;isManuallyOverridden&quot;:false,&quot;citeprocText&quot;:&quot;(IGED-AFRICA &amp;#38; GI-ESCR, 2014)&quot;,&quot;manualOverrideText&quot;:&quot;&quot;},&quot;citationItems&quot;:[{&quot;id&quot;:&quot;417ab70d-825b-3a62-99a7-dab43285e3f1&quot;,&quot;itemData&quot;:{&quot;type&quot;:&quot;article&quot;,&quot;id&quot;:&quot;417ab70d-825b-3a62-99a7-dab43285e3f1&quot;,&quot;title&quot;:&quot;PARALLEL REPORT TO THE UNITED NATIONS COMMITTEE ON THE ELIMINATION OF DISCRIMINATION AGAINST WOMEN&quot;,&quot;author&quot;:[{&quot;family&quot;:&quot;IGED-AFRICA&quot;,&quot;given&quot;:&quot;&quot;,&quot;parse-names&quot;:false,&quot;dropping-particle&quot;:&quot;&quot;,&quot;non-dropping-particle&quot;:&quot;&quot;},{&quot;family&quot;:&quot;GI-ESCR&quot;,&quot;given&quot;:&quot;&quot;,&quot;parse-names&quot;:false,&quot;dropping-particle&quot;:&quot;&quot;,&quot;non-dropping-particle&quot;:&quot;&quot;}],&quot;URL&quot;:&quot;https://openknowledge.worldbank.org/handle/10986/9855&quot;,&quot;issued&quot;:{&quot;date-parts&quot;:[[2014]]}},&quot;isTemporary&quot;:false}],&quot;citationTag&quot;:&quot;MENDELEY_CITATION_v3_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&quot;},{&quot;citationID&quot;:&quot;MENDELEY_CITATION_f8feee34-80ac-4338-99bc-6dd0c89dbde9&quot;,&quot;citationItems&quot;:[{&quot;id&quot;:&quot;2eec4e30-034e-3073-9d7a-972ce07ee41f&quot;,&quot;itemData&quot;:{&quot;type&quot;:&quot;report&quot;,&quot;id&quot;:&quot;2eec4e30-034e-3073-9d7a-972ce07ee41f&quot;,&quot;title&quot;:&quot;Ghana Living Standards Survey Round Seven (GLSS7)&quot;,&quot;author&quot;:[{&quot;family&quot;:&quot;GSS&quot;,&quot;given&quot;:&quot;&quot;,&quot;parse-names&quot;:false,&quot;dropping-particle&quot;:&quot;&quot;,&quot;non-dropping-particle&quot;:&quot;&quot;}],&quot;URL&quot;:&quot;https://statsghana.gov.gh/gsspublications.php?category=MTAwMjg3Mzk3NC4zMDc=/webstats/1opr93rn57&quot;,&quot;issued&quot;:{&quot;date-parts&quot;:[[2019]]},&quot;number-of-pages&quot;:&quot;1-343&quot;,&quot;abstract&quot;:&quot;The Ghana Living Standards Survey (GLSS) provides information for understanding and monitoring living conditions in Ghana. This is the seventh round of a nationwide household survey. The data collection was over a period of 12 months (22 nd October, 2016 to 17 th October, 2017). The uniqueness of the GLSS round seven (GLSS7) are the inclusion of a module on Data Protection and the use of smart devices in the collection of the data. The survey collected detailed information on the demographic characteristics of the households, education, health, employment, migration &amp; remittances, information communication and technology (ICT), tourism, housing, household agriculture, non-farm household enterprises, financial services, anthropometry and asset. Information was also collected on households' perception of governance, peace and security and knowledge of data protection in Ghana. The results from this survey have provided information for the preparation of a Poverty Profile Report. In addition, separate reports on Tourism, and Governance, Peace and Security have also been prepared. To promote further analysis with the aim of maximizing the returns of the data collection exercise, the micro data has been made available.&quot;},&quot;isTemporary&quot;:false}],&quot;properties&quot;:{&quot;noteIndex&quot;:0},&quot;isEdited&quot;:false,&quot;manualOverride&quot;:{&quot;isManuallyOverridden&quot;:false,&quot;citeprocText&quot;:&quot;(GSS, 2019)&quot;,&quot;manualOverrideText&quot;:&quot;&quot;},&quot;citationTag&quot;:&quot;MENDELEY_CITATION_v3_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&quot;},{&quot;citationID&quot;:&quot;MENDELEY_CITATION_9ef7b259-204d-4041-9726-18a742586cbb&quot;,&quot;citationItems&quot;:[{&quot;id&quot;:&quot;87a44390-4957-3a3f-93da-d4d5d1c777a6&quot;,&quot;itemData&quot;:{&quot;type&quot;:&quot;article-journal&quot;,&quot;id&quot;:&quot;87a44390-4957-3a3f-93da-d4d5d1c777a6&quot;,&quot;title&quot;:&quot;Unemployment and self-rated health in Ghana: are there gender differences?&quot;,&quot;author&quot;:[{&quot;family&quot;:&quot;Sulemana&quot;,&quot;given&quot;:&quot;Iddisah&quot;,&quot;parse-names&quot;:false,&quot;dropping-particle&quot;:&quot;&quot;,&quot;non-dropping-particle&quot;:&quot;&quot;},{&quot;family&quot;:&quot;Anarfo&quot;,&quot;given&quot;:&quot;Ebenezer Bugri&quot;,&quot;parse-names&quot;:false,&quot;dropping-particle&quot;:&quot;&quot;,&quot;non-dropping-particle&quot;:&quot;&quot;},{&quot;family&quot;:&quot;Doabil&quot;,&quot;given&quot;:&quot;Louis&quot;,&quot;parse-names&quot;:false,&quot;dropping-particle&quot;:&quot;&quot;,&quot;non-dropping-particle&quot;:&quot;&quot;}],&quot;container-title&quot;:&quot;International Journal of Social Economics&quot;,&quot;DOI&quot;:&quot;10.1108/IJSE-03-2018-0166&quot;,&quot;ISSN&quot;:&quot;03068293&quot;,&quot;issued&quot;:{&quot;date-parts&quot;:[[2019,10,4]]},&quot;page&quot;:&quot;1155-1170&quot;,&quot;abstract&quot;:&quot;Purpose: A large extant literature examines the association between unemployment and self-rated health. Most of these studies reveal that unemployment diminishes self-rated health. Another strand of this literature, albeit sparse, suggests that the relationship between unemployment and self-rated health is gendered. The purpose of this paper is twofold: first, to examine whether unemployment is correlated with self-rated health in Ghana; and second, to explore whether and to what extent men differ from women on the basis of this relationship. Design/methodology/approach: The authors used data from the Wave 6 of World Values Survey in Ghana (n=1552) and probit and instrumental variable probit regressions to empirically examine the association between unemployment and self-rated health in Ghana. Findings: The results confirm that unemployment is negatively correlated with self-rated health among Ghanaians. Specifically, the unemployed are about 6.84–7.20 percent less likely to report good health status in a pooled sample. Further, after correcting for endogeneity, unemployed men are about 26.68 percent less likely to report good health. However, the association is not statistically significant for unemployed women. Originality/value: The study contributes to the literature by providing empirical evidence from Ghana.&quot;,&quot;publisher&quot;:&quot;Emerald Group Holdings Ltd.&quot;,&quot;issue&quot;:&quot;9&quot;,&quot;volume&quot;:&quot;46&quot;},&quot;isTemporary&quot;:false}],&quot;properties&quot;:{&quot;noteIndex&quot;:0},&quot;isEdited&quot;:false,&quot;manualOverride&quot;:{&quot;isManuallyOverridden&quot;:false,&quot;citeprocText&quot;:&quot;(Sulemana et al., 2019)&quot;,&quot;manualOverrideText&quot;:&quot;&quot;},&quot;citationTag&quot;:&quot;MENDELEY_CITATION_v3_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&quot;},{&quot;citationID&quot;:&quot;MENDELEY_CITATION_0af39926-8c55-45e1-b195-2508ad14cece&quot;,&quot;citationItems&quot;:[{&quot;id&quot;:&quot;35398aaf-0e51-39b9-ae3e-fd24833318cb&quot;,&quot;itemData&quot;:{&quot;type&quot;:&quot;report&quot;,&quot;id&quot;:&quot;35398aaf-0e51-39b9-ae3e-fd24833318cb&quot;,&quot;title&quot;:&quot;Determinants of Unemployment in Ghana&quot;,&quot;author&quot;:[{&quot;family&quot;:&quot;Baah-Boateng&quot;,&quot;given&quot;:&quot;William&quot;,&quot;parse-names&quot;:false,&quot;dropping-particle&quot;:&quot;&quot;,&quot;non-dropping-particle&quot;:&quot;&quot;}],&quot;issued&quot;:{&quot;date-parts&quot;:[[2014]]},&quot;abstract&quot;:&quot;Unemployment is often cited as a measure of the low employment content of Ghana's strong growth performance over the past three decades. The paper presents evidence to suggest that employment growth in Ghana continues to trail economic growth due to high growth of low employment generating sectors against sluggish growth of high labour absorption sectors. A cross-sectional estimation of a probit regression model also indicates a strong effect of demand factors on unemployment, indicating a weak employment generating impact of economic growth. Empirical analysis also confirms higher vulnerability of youth and urban dwellers to unemployment with education and gender explaining unemployment in some instances. Reservation wage is also observed to have an increasing effect of unemployment. The paper recommends policies that promote investment in agriculture and manufacturing which is associated with higher employment elasticity of output. High incidence of unemployment among the youth and secondary school leavers in the most recent period requires targeted intervention including support for entrepreneurial training and start-up capital to attract young school leavers to become 'creators' rather than 'seekers' of jobs. A downward review of expectations on the part of jobseekers in terms of their reservation wage could help reduce unemployment in Ghana.&quot;},&quot;isTemporary&quot;:false}],&quot;properties&quot;:{&quot;noteIndex&quot;:0},&quot;isEdited&quot;:false,&quot;manualOverride&quot;:{&quot;isManuallyOverridden&quot;:false,&quot;citeprocText&quot;:&quot;(Baah-Boateng, 2014)&quot;,&quot;manualOverrideText&quot;:&quot;&quot;},&quot;citationTag&quot;:&quot;MENDELEY_CITATION_v3_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&quot;},{&quot;citationID&quot;:&quot;MENDELEY_CITATION_319cc7c9-05ea-43ba-8540-2681ba657f30&quot;,&quot;citationItems&quot;:[{&quot;id&quot;:&quot;35398aaf-0e51-39b9-ae3e-fd24833318cb&quot;,&quot;itemData&quot;:{&quot;type&quot;:&quot;report&quot;,&quot;id&quot;:&quot;35398aaf-0e51-39b9-ae3e-fd24833318cb&quot;,&quot;title&quot;:&quot;Determinants of Unemployment in Ghana&quot;,&quot;author&quot;:[{&quot;family&quot;:&quot;Baah-Boateng&quot;,&quot;given&quot;:&quot;William&quot;,&quot;parse-names&quot;:false,&quot;dropping-particle&quot;:&quot;&quot;,&quot;non-dropping-particle&quot;:&quot;&quot;}],&quot;issued&quot;:{&quot;date-parts&quot;:[[2014]]},&quot;abstract&quot;:&quot;Unemployment is often cited as a measure of the low employment content of Ghana's strong growth performance over the past three decades. The paper presents evidence to suggest that employment growth in Ghana continues to trail economic growth due to high growth of low employment generating sectors against sluggish growth of high labour absorption sectors. A cross-sectional estimation of a probit regression model also indicates a strong effect of demand factors on unemployment, indicating a weak employment generating impact of economic growth. Empirical analysis also confirms higher vulnerability of youth and urban dwellers to unemployment with education and gender explaining unemployment in some instances. Reservation wage is also observed to have an increasing effect of unemployment. The paper recommends policies that promote investment in agriculture and manufacturing which is associated with higher employment elasticity of output. High incidence of unemployment among the youth and secondary school leavers in the most recent period requires targeted intervention including support for entrepreneurial training and start-up capital to attract young school leavers to become 'creators' rather than 'seekers' of jobs. A downward review of expectations on the part of jobseekers in terms of their reservation wage could help reduce unemployment in Ghana.&quot;},&quot;isTemporary&quot;:false}],&quot;properties&quot;:{&quot;noteIndex&quot;:0},&quot;isEdited&quot;:false,&quot;manualOverride&quot;:{&quot;isManuallyOverridden&quot;:false,&quot;citeprocText&quot;:&quot;(Baah-Boateng, 2014)&quot;,&quot;manualOverrideText&quot;:&quot;&quot;},&quot;citationTag&quot;:&quot;MENDELEY_CITATION_v3_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&quot;},{&quot;citationID&quot;:&quot;MENDELEY_CITATION_6bb3cc83-da53-4515-98a6-98cc2a514fa8&quot;,&quot;citationItems&quot;:[{&quot;id&quot;:&quot;1471dcfe-ad94-332b-beb0-02aee64ecfc9&quot;,&quot;itemData&quot;:{&quot;type&quot;:&quot;chapter&quot;,&quot;id&quot;:&quot;1471dcfe-ad94-332b-beb0-02aee64ecfc9&quot;,&quot;title&quot;:&quot;Youth Employment and Labor Market\nVulnerability in Ghana: Aggregate Trends\nand Determinants&quot;,&quot;author&quot;:[{&quot;family&quot;:&quot;Adeniran&quot;,&quot;given&quot;:&quot;Adedeji&quot;,&quot;parse-names&quot;:false,&quot;dropping-particle&quot;:&quot;&quot;,&quot;non-dropping-particle&quot;:&quot;&quot;},{&quot;family&quot;:&quot;Ishaku&quot;,&quot;given&quot;:&quot;Joseph&quot;,&quot;parse-names&quot;:false,&quot;dropping-particle&quot;:&quot;&quot;,&quot;non-dropping-particle&quot;:&quot;&quot;},{&quot;family&quot;:&quot;Yusuf&quot;,&quot;given&quot;:&quot;Adekunle&quot;,&quot;parse-names&quot;:false,&quot;dropping-particle&quot;:&quot;&quot;,&quot;non-dropping-particle&quot;:&quot;&quot;}],&quot;container-title&quot;:&quot;West African Youth Challenges and Opportunity Pathways&quot;,&quot;URL&quot;:&quot;http://www.palgrave.com/gp/series/14996&quot;,&quot;issued&quot;:{&quot;date-parts&quot;:[[2020]]},&quot;page&quot;:&quot;187-211&quot;},&quot;isTemporary&quot;:false}],&quot;properties&quot;:{&quot;noteIndex&quot;:0},&quot;isEdited&quot;:false,&quot;manualOverride&quot;:{&quot;isManuallyOverridden&quot;:true,&quot;citeprocText&quot;:&quot;(Adeniran et al., 2020)&quot;,&quot;manualOverrideText&quot;:&quot;Adeniran et al., (2020) &quot;},&quot;citationTag&quot;:&quot;MENDELEY_CITATION_v3_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&quot;},{&quot;citationID&quot;:&quot;MENDELEY_CITATION_0feaf295-e33b-4c24-9a20-2c997e7340f1&quot;,&quot;citationItems&quot;:[{&quot;id&quot;:&quot;ab380879-41a1-379d-8f88-6f6618f7bf01&quot;,&quot;itemData&quot;:{&quot;type&quot;:&quot;report&quot;,&quot;id&quot;:&quot;ab380879-41a1-379d-8f88-6f6618f7bf01&quot;,&quot;title&quot;:&quot;Ghana Labour Market Profile 2020&quot;,&quot;author&quot;:[{&quot;family&quot;:&quot;DTDA&quot;,&quot;given&quot;:&quot;&quot;,&quot;parse-names&quot;:false,&quot;dropping-particle&quot;:&quot;&quot;,&quot;non-dropping-particle&quot;:&quot;&quot;}],&quot;URL&quot;:&quot;https://www.ulandssekretariatet.dk/wp-content/uploads/2020/02/Ghana_lmp_2020.pdf&quot;,&quot;issued&quot;:{&quot;date-parts&quot;:[[2020]]},&quot;number-of-pages&quot;:&quot;10-13&quot;},&quot;isTemporary&quot;:false}],&quot;properties&quot;:{&quot;noteIndex&quot;:0},&quot;isEdited&quot;:false,&quot;manualOverride&quot;:{&quot;isManuallyOverridden&quot;:true,&quot;citeprocText&quot;:&quot;(DTDA, 2020a)&quot;,&quot;manualOverrideText&quot;:&quot;(DTDA, 2020)&quot;},&quot;citationTag&quot;:&quot;MENDELEY_CITATION_v3_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&quot;},{&quot;citationID&quot;:&quot;MENDELEY_CITATION_7071040f-d116-4e22-b147-4c159e042bd4&quot;,&quot;citationItems&quot;:[{&quot;id&quot;:&quot;7a4032ad-f013-3c80-9dab-f9e876be0198&quot;,&quot;itemData&quot;:{&quot;type&quot;:&quot;report&quot;,&quot;id&quot;:&quot;7a4032ad-f013-3c80-9dab-f9e876be0198&quot;,&quot;title&quot;:&quot;Systematic Country Diagnostic (SCD): Priorities for ending pverty and boosting shared prosperity&quot;,&quot;author&quot;:[{&quot;family&quot;:&quot;World Bank&quot;,&quot;given&quot;:&quot;&quot;,&quot;parse-names&quot;:false,&quot;dropping-particle&quot;:&quot;&quot;,&quot;non-dropping-particle&quot;:&quot;&quot;}],&quot;issued&quot;:{&quot;date-parts&quot;:[[2018]]},&quot;issue&quot;:&quot;132010&quot;},&quot;isTemporary&quot;:false}],&quot;properties&quot;:{&quot;noteIndex&quot;:0},&quot;isEdited&quot;:false,&quot;manualOverride&quot;:{&quot;isManuallyOverridden&quot;:false,&quot;citeprocText&quot;:&quot;(World Bank, 2018)&quot;,&quot;manualOverrideText&quot;:&quot;&quot;},&quot;citationTag&quot;:&quot;MENDELEY_CITATION_v3_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&quot;},{&quot;citationID&quot;:&quot;MENDELEY_CITATION_43b24562-4b08-45d2-91f8-45fd0a25ad75&quot;,&quot;citationItems&quot;:[{&quot;id&quot;:&quot;7a4032ad-f013-3c80-9dab-f9e876be0198&quot;,&quot;itemData&quot;:{&quot;type&quot;:&quot;report&quot;,&quot;id&quot;:&quot;7a4032ad-f013-3c80-9dab-f9e876be0198&quot;,&quot;title&quot;:&quot;Systematic Country Diagnostic (SCD): Priorities for ending pverty and boosting shared prosperity&quot;,&quot;author&quot;:[{&quot;family&quot;:&quot;World Bank&quot;,&quot;given&quot;:&quot;&quot;,&quot;parse-names&quot;:false,&quot;dropping-particle&quot;:&quot;&quot;,&quot;non-dropping-particle&quot;:&quot;&quot;}],&quot;issued&quot;:{&quot;date-parts&quot;:[[2018]]},&quot;issue&quot;:&quot;132010&quot;},&quot;isTemporary&quot;:false}],&quot;properties&quot;:{&quot;noteIndex&quot;:0},&quot;isEdited&quot;:false,&quot;manualOverride&quot;:{&quot;isManuallyOverridden&quot;:false,&quot;citeprocText&quot;:&quot;(World Bank, 2018)&quot;,&quot;manualOverrideText&quot;:&quot;&quot;},&quot;citationTag&quot;:&quot;MENDELEY_CITATION_v3_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&quot;},{&quot;citationID&quot;:&quot;MENDELEY_CITATION_7d2b0cff-d845-44da-9fc0-e6d929ee1d44&quot;,&quot;citationItems&quot;:[{&quot;id&quot;:&quot;277b3681-afec-3552-9c25-c07fa5180f6e&quot;,&quot;itemData&quot;:{&quot;type&quot;:&quot;report&quot;,&quot;id&quot;:&quot;277b3681-afec-3552-9c25-c07fa5180f6e&quot;,&quot;title&quot;:&quot;The financial inclusion agenda: Examining the role of conventional banks in deepening access to formal credit&quot;,&quot;author&quot;:[{&quot;family&quot;:&quot;Iddrisu&quot;,&quot;given&quot;:&quot;Abdul Malik&quot;,&quot;parse-names&quot;:false,&quot;dropping-particle&quot;:&quot;&quot;,&quot;non-dropping-particle&quot;:&quot;&quot;},{&quot;family&quot;:&quot;Danquah&quot;,&quot;given&quot;:&quot;Michael&quot;,&quot;parse-names&quot;:false,&quot;dropping-particle&quot;:&quot;&quot;,&quot;non-dropping-particle&quot;:&quot;&quot;}],&quot;collection-title&quot;:&quot;WIDER Working Paper&quot;,&quot;ISBN&quot;:&quot;9789292670122&quot;,&quot;issued&quot;:{&quot;date-parts&quot;:[[2021]]},&quot;abstract&quot;:&quot;Using a unique district-level panel data set, we investigate the effect of banking system penetration on financial inclusion in Ghana. To purge potential endogeneity bias in the underlying relationship, we exploit a change in the policy environment of the Ghanaian banking system to instrument for banking system penetration. We show, first, that the switch from a compartmentalized system of banking to a universal banking system in Ghana has resulted in an expansion of banks' branch networks, which has benefited hitherto financially less developed districts. Second, our instrumental variable evidence suggests that banking system penetration promotes financial inclusion—notably, access to bank credit and to formal credit. The results of this paper provide important insights into the role of policy in enhancing financial inclusion.&quot;},&quot;isTemporary&quot;:false}],&quot;properties&quot;:{&quot;noteIndex&quot;:0},&quot;isEdited&quot;:false,&quot;manualOverride&quot;:{&quot;isManuallyOverridden&quot;:false,&quot;citeprocText&quot;:&quot;(Iddrisu &amp;#38; Danquah, 2021)&quot;,&quot;manualOverrideText&quot;:&quot;&quot;},&quot;citationTag&quot;:&quot;MENDELEY_CITATION_v3_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&quot;},{&quot;citationID&quot;:&quot;MENDELEY_CITATION_d8d5fb08-9493-413f-8b22-10c72fccaf1b&quot;,&quot;citationItems&quot;:[{&quot;id&quot;:&quot;6f6dd468-6197-3935-9cb9-0a6bae12d1cb&quot;,&quot;itemData&quot;:{&quot;type&quot;:&quot;webpage&quot;,&quot;id&quot;:&quot;6f6dd468-6197-3935-9cb9-0a6bae12d1cb&quot;,&quot;title&quot;:&quot;GRD – Government Revenue Dataset&quot;,&quot;author&quot;:[{&quot;family&quot;:&quot;UNU-WIDER&quot;,&quot;given&quot;:&quot;&quot;,&quot;parse-names&quot;:false,&quot;dropping-particle&quot;:&quot;&quot;,&quot;non-dropping-particle&quot;:&quot;&quot;}],&quot;issued&quot;:{&quot;date-parts&quot;:[[2021]]}},&quot;isTemporary&quot;:false}],&quot;properties&quot;:{&quot;noteIndex&quot;:0},&quot;isEdited&quot;:false,&quot;manualOverride&quot;:{&quot;isManuallyOverridden&quot;:false,&quot;citeprocText&quot;:&quot;(UNU-WIDER, 2021)&quot;,&quot;manualOverrideText&quot;:&quot;&quot;},&quot;citationTag&quot;:&quot;MENDELEY_CITATION_v3_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&quot;},{&quot;citationID&quot;:&quot;MENDELEY_CITATION_eb593c9a-6df3-4d5f-85bd-0757dc9c2e96&quot;,&quot;citationItems&quot;:[{&quot;id&quot;:&quot;20618173-d3e0-3f82-a7cc-cbeadbfbff54&quot;,&quot;itemData&quot;:{&quot;type&quot;:&quot;report&quot;,&quot;id&quot;:&quot;20618173-d3e0-3f82-a7cc-cbeadbfbff54&quot;,&quot;title&quot;:&quot;Monetary Policy Report Fiscal Developments&quot;,&quot;author&quot;:[{&quot;family&quot;:&quot;Bank of Ghana&quot;,&quot;given&quot;:&quot;&quot;,&quot;parse-names&quot;:false,&quot;dropping-particle&quot;:&quot;&quot;,&quot;non-dropping-particle&quot;:&quot;&quot;}],&quot;issued&quot;:{&quot;date-parts&quot;:[[2020]]},&quot;issue&quot;:&quot;3&quot;,&quot;volume&quot;:&quot;3&quot;},&quot;isTemporary&quot;:false}],&quot;properties&quot;:{&quot;noteIndex&quot;:0},&quot;isEdited&quot;:false,&quot;manualOverride&quot;:{&quot;isManuallyOverridden&quot;:false,&quot;citeprocText&quot;:&quot;(Bank of Ghana, 2020)&quot;,&quot;manualOverrideText&quot;:&quot;&quot;},&quot;citationTag&quot;:&quot;MENDELEY_CITATION_v3_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&quot;},{&quot;citationID&quot;:&quot;MENDELEY_CITATION_4a42fd03-b222-422d-bb39-82e7dfdbc2e6&quot;,&quot;citationItems&quot;:[{&quot;id&quot;:&quot;277b3681-afec-3552-9c25-c07fa5180f6e&quot;,&quot;itemData&quot;:{&quot;type&quot;:&quot;report&quot;,&quot;id&quot;:&quot;277b3681-afec-3552-9c25-c07fa5180f6e&quot;,&quot;title&quot;:&quot;The financial inclusion agenda: Examining the role of conventional banks in deepening access to formal credit&quot;,&quot;author&quot;:[{&quot;family&quot;:&quot;Iddrisu&quot;,&quot;given&quot;:&quot;Abdul Malik&quot;,&quot;parse-names&quot;:false,&quot;dropping-particle&quot;:&quot;&quot;,&quot;non-dropping-particle&quot;:&quot;&quot;},{&quot;family&quot;:&quot;Danquah&quot;,&quot;given&quot;:&quot;Michael&quot;,&quot;parse-names&quot;:false,&quot;dropping-particle&quot;:&quot;&quot;,&quot;non-dropping-particle&quot;:&quot;&quot;}],&quot;collection-title&quot;:&quot;WIDER Working Paper&quot;,&quot;ISBN&quot;:&quot;9789292670122&quot;,&quot;issued&quot;:{&quot;date-parts&quot;:[[2021]]},&quot;abstract&quot;:&quot;Using a unique district-level panel data set, we investigate the effect of banking system penetration on financial inclusion in Ghana. To purge potential endogeneity bias in the underlying relationship, we exploit a change in the policy environment of the Ghanaian banking system to instrument for banking system penetration. We show, first, that the switch from a compartmentalized system of banking to a universal banking system in Ghana has resulted in an expansion of banks' branch networks, which has benefited hitherto financially less developed districts. Second, our instrumental variable evidence suggests that banking system penetration promotes financial inclusion—notably, access to bank credit and to formal credit. The results of this paper provide important insights into the role of policy in enhancing financial inclusion.&quot;},&quot;isTemporary&quot;:false}],&quot;properties&quot;:{&quot;noteIndex&quot;:0},&quot;isEdited&quot;:false,&quot;manualOverride&quot;:{&quot;isManuallyOverridden&quot;:false,&quot;citeprocText&quot;:&quot;(Iddrisu &amp;#38; Danquah, 2021)&quot;,&quot;manualOverrideText&quot;:&quot;&quot;},&quot;citationTag&quot;:&quot;MENDELEY_CITATION_v3_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&quot;},{&quot;citationID&quot;:&quot;MENDELEY_CITATION_85e20b61-47f5-407f-bb9a-d1af404d18ee&quot;,&quot;citationItems&quot;:[{&quot;id&quot;:&quot;e531e4bb-1c38-3c94-a349-fbf931da474d&quot;,&quot;itemData&quot;:{&quot;type&quot;:&quot;report&quot;,&quot;id&quot;:&quot;e531e4bb-1c38-3c94-a349-fbf931da474d&quot;,&quot;title&quot;:&quot;A survey of the Ghanaian tax system&quot;,&quot;author&quot;:[{&quot;family&quot;:&quot;Iddrisu&quot;,&quot;given&quot;:&quot;Abdul Malik&quot;,&quot;parse-names&quot;:false,&quot;dropping-particle&quot;:&quot;&quot;,&quot;non-dropping-particle&quot;:&quot;&quot;},{&quot;family&quot;:&quot;Warwick&quot;,&quot;given&quot;:&quot;Ross&quot;,&quot;parse-names&quot;:false,&quot;dropping-particle&quot;:&quot;&quot;,&quot;non-dropping-particle&quot;:&quot;&quot;},{&quot;family&quot;:&quot;Abrokwah&quot;,&quot;given&quot;:&quot;Edward&quot;,&quot;parse-names&quot;:false,&quot;dropping-particle&quot;:&quot;&quot;,&quot;non-dropping-particle&quot;:&quot;&quot;},{&quot;family&quot;:&quot;Conron&quot;,&quot;given&quot;:&quot;Harriet&quot;,&quot;parse-names&quot;:false,&quot;dropping-particle&quot;:&quot;&quot;,&quot;non-dropping-particle&quot;:&quot;&quot;},{&quot;family&quot;:&quot;Kamara&quot;,&quot;given&quot;:&quot;Andara&quot;,&quot;parse-names&quot;:false,&quot;dropping-particle&quot;:&quot;&quot;,&quot;non-dropping-particle&quot;:&quot;&quot;},{&quot;family&quot;:&quot;Nuer&quot;,&quot;given&quot;:&quot;Daniel&quot;,&quot;parse-names&quot;:false,&quot;dropping-particle&quot;:&quot;&quot;,&quot;non-dropping-particle&quot;:&quot;&quot;}],&quot;ISBN&quot;:&quot;9781801030403&quot;,&quot;issued&quot;:{&quot;date-parts&quot;:[[2021]]},&quot;abstract&quot;:&quot;In its 2020 Ghana CARES 'Obaatanpa' programme, the Government of Ghana emphasised the need to improve domestic revenue mobilisation in order to ensure the realisation of its medium-term fiscal policy and development objectives. In the context of ambitious revenue mobilisation goals and a challenging fiscal outlook, the design of the country's tax system is a crucial issue for policymakers. In this report, we provide a comprehensive overview of Ghana's tax system. This is intended as a repository of key information for researchers, policymakers and the public, as well as highlighting aggregate patterns of note as a first step for identifying challenges and areas for reform.&quot;},&quot;isTemporary&quot;:false}],&quot;properties&quot;:{&quot;noteIndex&quot;:0},&quot;isEdited&quot;:false,&quot;manualOverride&quot;:{&quot;isManuallyOverridden&quot;:false,&quot;citeprocText&quot;:&quot;(Iddrisu et al., 2021)&quot;,&quot;manualOverrideText&quot;:&quot;&quot;},&quot;citationTag&quot;:&quot;MENDELEY_CITATION_v3_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&quot;},{&quot;citationID&quot;:&quot;MENDELEY_CITATION_a72d0802-d881-4b67-b6fa-f2b8f2a7fd0a&quot;,&quot;citationItems&quot;:[{&quot;id&quot;:&quot;e531e4bb-1c38-3c94-a349-fbf931da474d&quot;,&quot;itemData&quot;:{&quot;type&quot;:&quot;report&quot;,&quot;id&quot;:&quot;e531e4bb-1c38-3c94-a349-fbf931da474d&quot;,&quot;title&quot;:&quot;A survey of the Ghanaian tax system&quot;,&quot;author&quot;:[{&quot;family&quot;:&quot;Iddrisu&quot;,&quot;given&quot;:&quot;Abdul Malik&quot;,&quot;parse-names&quot;:false,&quot;dropping-particle&quot;:&quot;&quot;,&quot;non-dropping-particle&quot;:&quot;&quot;},{&quot;family&quot;:&quot;Warwick&quot;,&quot;given&quot;:&quot;Ross&quot;,&quot;parse-names&quot;:false,&quot;dropping-particle&quot;:&quot;&quot;,&quot;non-dropping-particle&quot;:&quot;&quot;},{&quot;family&quot;:&quot;Abrokwah&quot;,&quot;given&quot;:&quot;Edward&quot;,&quot;parse-names&quot;:false,&quot;dropping-particle&quot;:&quot;&quot;,&quot;non-dropping-particle&quot;:&quot;&quot;},{&quot;family&quot;:&quot;Conron&quot;,&quot;given&quot;:&quot;Harriet&quot;,&quot;parse-names&quot;:false,&quot;dropping-particle&quot;:&quot;&quot;,&quot;non-dropping-particle&quot;:&quot;&quot;},{&quot;family&quot;:&quot;Kamara&quot;,&quot;given&quot;:&quot;Andara&quot;,&quot;parse-names&quot;:false,&quot;dropping-particle&quot;:&quot;&quot;,&quot;non-dropping-particle&quot;:&quot;&quot;},{&quot;family&quot;:&quot;Nuer&quot;,&quot;given&quot;:&quot;Daniel&quot;,&quot;parse-names&quot;:false,&quot;dropping-particle&quot;:&quot;&quot;,&quot;non-dropping-particle&quot;:&quot;&quot;}],&quot;ISBN&quot;:&quot;9781801030403&quot;,&quot;issued&quot;:{&quot;date-parts&quot;:[[2021]]},&quot;abstract&quot;:&quot;In its 2020 Ghana CARES 'Obaatanpa' programme, the Government of Ghana emphasised the need to improve domestic revenue mobilisation in order to ensure the realisation of its medium-term fiscal policy and development objectives. In the context of ambitious revenue mobilisation goals and a challenging fiscal outlook, the design of the country's tax system is a crucial issue for policymakers. In this report, we provide a comprehensive overview of Ghana's tax system. This is intended as a repository of key information for researchers, policymakers and the public, as well as highlighting aggregate patterns of note as a first step for identifying challenges and areas for reform.&quot;},&quot;isTemporary&quot;:false}],&quot;properties&quot;:{&quot;noteIndex&quot;:0},&quot;isEdited&quot;:false,&quot;manualOverride&quot;:{&quot;isManuallyOverridden&quot;:false,&quot;citeprocText&quot;:&quot;(Iddrisu et al., 2021)&quot;,&quot;manualOverrideText&quot;:&quot;&quot;},&quot;citationTag&quot;:&quot;MENDELEY_CITATION_v3_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&quot;},{&quot;citationID&quot;:&quot;MENDELEY_CITATION_1d7c79f1-22e2-411e-a053-af3d79d1bf6b&quot;,&quot;citationItems&quot;:[{&quot;id&quot;:&quot;d9a19048-8741-3956-bd8c-6efc8c714fba&quot;,&quot;itemData&quot;:{&quot;type&quot;:&quot;article-journal&quot;,&quot;id&quot;:&quot;d9a19048-8741-3956-bd8c-6efc8c714fba&quot;,&quot;title&quot;:&quot;Fiscal consolidation to accelerate growth and support inclusive development&quot;,&quot;author&quot;:[{&quot;family&quot;:&quot;World Bank&quot;,&quot;given&quot;:&quot;&quot;,&quot;parse-names&quot;:false,&quot;dropping-particle&quot;:&quot;&quot;,&quot;non-dropping-particle&quot;:&quot;&quot;}],&quot;issued&quot;:{&quot;date-parts&quot;:[[2017]]}},&quot;isTemporary&quot;:false}],&quot;properties&quot;:{&quot;noteIndex&quot;:0},&quot;isEdited&quot;:false,&quot;manualOverride&quot;:{&quot;isManuallyOverridden&quot;:true,&quot;citeprocText&quot;:&quot;(World Bank, 2017)&quot;,&quot;manualOverrideText&quot;:&quot;World Bank (2017)&quot;},&quot;citationTag&quot;:&quot;MENDELEY_CITATION_v3_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&quot;},{&quot;citationID&quot;:&quot;MENDELEY_CITATION_8ec923a3-4a1a-4f8e-bd27-d86907de0307&quot;,&quot;citationItems&quot;:[{&quot;id&quot;:&quot;e531e4bb-1c38-3c94-a349-fbf931da474d&quot;,&quot;itemData&quot;:{&quot;type&quot;:&quot;report&quot;,&quot;id&quot;:&quot;e531e4bb-1c38-3c94-a349-fbf931da474d&quot;,&quot;title&quot;:&quot;A survey of the Ghanaian tax system&quot;,&quot;author&quot;:[{&quot;family&quot;:&quot;Iddrisu&quot;,&quot;given&quot;:&quot;Abdul Malik&quot;,&quot;parse-names&quot;:false,&quot;dropping-particle&quot;:&quot;&quot;,&quot;non-dropping-particle&quot;:&quot;&quot;},{&quot;family&quot;:&quot;Warwick&quot;,&quot;given&quot;:&quot;Ross&quot;,&quot;parse-names&quot;:false,&quot;dropping-particle&quot;:&quot;&quot;,&quot;non-dropping-particle&quot;:&quot;&quot;},{&quot;family&quot;:&quot;Abrokwah&quot;,&quot;given&quot;:&quot;Edward&quot;,&quot;parse-names&quot;:false,&quot;dropping-particle&quot;:&quot;&quot;,&quot;non-dropping-particle&quot;:&quot;&quot;},{&quot;family&quot;:&quot;Conron&quot;,&quot;given&quot;:&quot;Harriet&quot;,&quot;parse-names&quot;:false,&quot;dropping-particle&quot;:&quot;&quot;,&quot;non-dropping-particle&quot;:&quot;&quot;},{&quot;family&quot;:&quot;Kamara&quot;,&quot;given&quot;:&quot;Andara&quot;,&quot;parse-names&quot;:false,&quot;dropping-particle&quot;:&quot;&quot;,&quot;non-dropping-particle&quot;:&quot;&quot;},{&quot;family&quot;:&quot;Nuer&quot;,&quot;given&quot;:&quot;Daniel&quot;,&quot;parse-names&quot;:false,&quot;dropping-particle&quot;:&quot;&quot;,&quot;non-dropping-particle&quot;:&quot;&quot;}],&quot;ISBN&quot;:&quot;9781801030403&quot;,&quot;issued&quot;:{&quot;date-parts&quot;:[[2021]]},&quot;abstract&quot;:&quot;In its 2020 Ghana CARES 'Obaatanpa' programme, the Government of Ghana emphasised the need to improve domestic revenue mobilisation in order to ensure the realisation of its medium-term fiscal policy and development objectives. In the context of ambitious revenue mobilisation goals and a challenging fiscal outlook, the design of the country's tax system is a crucial issue for policymakers. In this report, we provide a comprehensive overview of Ghana's tax system. This is intended as a repository of key information for researchers, policymakers and the public, as well as highlighting aggregate patterns of note as a first step for identifying challenges and areas for reform.&quot;},&quot;isTemporary&quot;:false}],&quot;properties&quot;:{&quot;noteIndex&quot;:0},&quot;isEdited&quot;:false,&quot;manualOverride&quot;:{&quot;isManuallyOverridden&quot;:false,&quot;citeprocText&quot;:&quot;(Iddrisu et al., 2021)&quot;,&quot;manualOverrideText&quot;:&quot;&quot;},&quot;citationTag&quot;:&quot;MENDELEY_CITATION_v3_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&quot;},{&quot;citationID&quot;:&quot;MENDELEY_CITATION_54466d05-d398-4c0c-b582-6020702fe310&quot;,&quot;citationItems&quot;:[{&quot;id&quot;:&quot;e531e4bb-1c38-3c94-a349-fbf931da474d&quot;,&quot;itemData&quot;:{&quot;type&quot;:&quot;report&quot;,&quot;id&quot;:&quot;e531e4bb-1c38-3c94-a349-fbf931da474d&quot;,&quot;title&quot;:&quot;A survey of the Ghanaian tax system&quot;,&quot;author&quot;:[{&quot;family&quot;:&quot;Iddrisu&quot;,&quot;given&quot;:&quot;Abdul Malik&quot;,&quot;parse-names&quot;:false,&quot;dropping-particle&quot;:&quot;&quot;,&quot;non-dropping-particle&quot;:&quot;&quot;},{&quot;family&quot;:&quot;Warwick&quot;,&quot;given&quot;:&quot;Ross&quot;,&quot;parse-names&quot;:false,&quot;dropping-particle&quot;:&quot;&quot;,&quot;non-dropping-particle&quot;:&quot;&quot;},{&quot;family&quot;:&quot;Abrokwah&quot;,&quot;given&quot;:&quot;Edward&quot;,&quot;parse-names&quot;:false,&quot;dropping-particle&quot;:&quot;&quot;,&quot;non-dropping-particle&quot;:&quot;&quot;},{&quot;family&quot;:&quot;Conron&quot;,&quot;given&quot;:&quot;Harriet&quot;,&quot;parse-names&quot;:false,&quot;dropping-particle&quot;:&quot;&quot;,&quot;non-dropping-particle&quot;:&quot;&quot;},{&quot;family&quot;:&quot;Kamara&quot;,&quot;given&quot;:&quot;Andara&quot;,&quot;parse-names&quot;:false,&quot;dropping-particle&quot;:&quot;&quot;,&quot;non-dropping-particle&quot;:&quot;&quot;},{&quot;family&quot;:&quot;Nuer&quot;,&quot;given&quot;:&quot;Daniel&quot;,&quot;parse-names&quot;:false,&quot;dropping-particle&quot;:&quot;&quot;,&quot;non-dropping-particle&quot;:&quot;&quot;}],&quot;ISBN&quot;:&quot;9781801030403&quot;,&quot;issued&quot;:{&quot;date-parts&quot;:[[2021]]},&quot;abstract&quot;:&quot;In its 2020 Ghana CARES 'Obaatanpa' programme, the Government of Ghana emphasised the need to improve domestic revenue mobilisation in order to ensure the realisation of its medium-term fiscal policy and development objectives. In the context of ambitious revenue mobilisation goals and a challenging fiscal outlook, the design of the country's tax system is a crucial issue for policymakers. In this report, we provide a comprehensive overview of Ghana's tax system. This is intended as a repository of key information for researchers, policymakers and the public, as well as highlighting aggregate patterns of note as a first step for identifying challenges and areas for reform.&quot;},&quot;isTemporary&quot;:false}],&quot;properties&quot;:{&quot;noteIndex&quot;:0},&quot;isEdited&quot;:false,&quot;manualOverride&quot;:{&quot;isManuallyOverridden&quot;:false,&quot;citeprocText&quot;:&quot;(Iddrisu et al., 2021)&quot;,&quot;manualOverrideText&quot;:&quot;&quot;},&quot;citationTag&quot;:&quot;MENDELEY_CITATION_v3_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&quot;},{&quot;citationID&quot;:&quot;MENDELEY_CITATION_5dd6cf6a-f245-40e4-b7ea-e1b9cfd5ba26&quot;,&quot;citationItems&quot;:[{&quot;id&quot;:&quot;cb658c2a-cc00-343c-b4c5-dcedea988061&quot;,&quot;itemData&quot;:{&quot;type&quot;:&quot;report&quot;,&quot;id&quot;:&quot;cb658c2a-cc00-343c-b4c5-dcedea988061&quot;,&quot;title&quot;:&quot;Ghana Labour Market Profile 2020&quot;,&quot;author&quot;:[{&quot;family&quot;:&quot;DTDA&quot;,&quot;given&quot;:&quot;&quot;,&quot;parse-names&quot;:false,&quot;dropping-particle&quot;:&quot;&quot;,&quot;non-dropping-particle&quot;:&quot;&quot;}],&quot;URL&quot;:&quot;https://www.ulandssekretariatet.dk/wp-content/uploads/2020/02/Ghana_lmp_2020.pdf&quot;,&quot;issued&quot;:{&quot;date-parts&quot;:[[2020]]},&quot;number-of-pages&quot;:&quot;10-13&quot;},&quot;isTemporary&quot;:false}],&quot;properties&quot;:{&quot;noteIndex&quot;:0},&quot;isEdited&quot;:false,&quot;manualOverride&quot;:{&quot;isManuallyOverridden&quot;:true,&quot;citeprocText&quot;:&quot;(DTDA, 2020b)&quot;,&quot;manualOverrideText&quot;:&quot;(DTDA, 2020)&quot;},&quot;citationTag&quot;:&quot;MENDELEY_CITATION_v3_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&quot;},{&quot;citationID&quot;:&quot;MENDELEY_CITATION_61fb6295-dde0-4ae1-9fb1-3b2a72371ad5&quot;,&quot;citationItems&quot;:[{&quot;id&quot;:&quot;db3cb11f-89b8-3f1e-8441-6abcbc83e736&quot;,&quot;itemData&quot;:{&quot;type&quot;:&quot;article-journal&quot;,&quot;id&quot;:&quot;db3cb11f-89b8-3f1e-8441-6abcbc83e736&quot;,&quot;title&quot;:&quot;Income Tax Evasion in the Ghanaian Informal Sector: Insights from Abossey Okai Spare-Parts Traders&quot;,&quot;author&quot;:[{&quot;family&quot;:&quot;Tenakwah&quot;,&quot;given&quot;:&quot;Emmanuel Juior&quot;,&quot;parse-names&quot;:false,&quot;dropping-particle&quot;:&quot;&quot;,&quot;non-dropping-particle&quot;:&quot;&quot;}],&quot;container-title&quot;:&quot;International Journal of Management, Accounting and Economics&quot;,&quot;ISSN&quot;:&quot;2383-2126&quot;,&quot;URL&quot;:&quot;www.ijmae.com&quot;,&quot;issued&quot;:{&quot;date-parts&quot;:[[2017]]},&quot;page&quot;:&quot;760-779&quot;,&quot;abstract&quot;:&quot;Tax evasion is a problem which has caused the Ghanaian tax system right from the colonial times. While some have blamed the situation on the tax authorities for not living up to expectation with regards to tax administration, others attribute it to the unpatriotic attitude of the taxpayers. It was in the light of these challenging positions that this research was carried out using a survey involving tax authorities and individual taxpayers in Abossey Okai, Accra. The study examined the factors contributing to tax evasion in the informal sector, identified the various ways through which tax evasion is perpetrated and the challenges faced by tax authorities in generating tax revenue from the informal sector. The study made use of convenient sampling technique where both taxpayers and tax authorities were selected. The survey revealed that the informal sector of the Ghanaian economy is largely characterized by activities of sole-proprietors who are involved in retailing, wholesaling as well as repairs. It was also revealed that the dominance of sole-proprietorship business in the informal sector has made it difficult for tax authorities to levy taxes on them. The dominance of this business unit is associated with many characteristics which induces tax evasion. These characteristics include but not limited to business registration, lack of permanent business location and predominance of cash transactions. Tax evasion and for that matter the informal sector has caused a great deal of harm to Ghana through its direct and indirect consequences and if care is not taken will gain deep roots in this country. It is therefore recommended that for the Government of Ghana to meet the needs of the citizenry, it would be appropriate to take a look at the factors responsible for the incidence of high tax evasion in the economy.&quot;,&quot;issue&quot;:&quot;7&quot;,&quot;volume&quot;:&quot;4&quot;},&quot;isTemporary&quot;:false}],&quot;properties&quot;:{&quot;noteIndex&quot;:0},&quot;isEdited&quot;:false,&quot;manualOverride&quot;:{&quot;isManuallyOverridden&quot;:true,&quot;citeprocText&quot;:&quot;(Tenakwah, 2017a)&quot;,&quot;manualOverrideText&quot;:&quot;(Tenakwah, 2017)&quot;},&quot;citationTag&quot;:&quot;MENDELEY_CITATION_v3_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&quot;},{&quot;citationID&quot;:&quot;MENDELEY_CITATION_f6edfa7a-6d61-414b-935f-c3bae47062df&quot;,&quot;citationItems&quot;:[{&quot;id&quot;:&quot;6eed7c9d-78ff-3568-aebf-f960917bd516&quot;,&quot;itemData&quot;:{&quot;type&quot;:&quot;report&quot;,&quot;id&quot;:&quot;6eed7c9d-78ff-3568-aebf-f960917bd516&quot;,&quot;title&quot;:&quot;Estimating the Size and Trends of the Informal Economy in Ghana&quot;,&quot;author&quot;:[{&quot;family&quot;:&quot;Ocran&quot;,&quot;given&quot;:&quot;Matthew Kofi&quot;,&quot;parse-names&quot;:false,&quot;dropping-particle&quot;:&quot;&quot;,&quot;non-dropping-particle&quot;:&quot;&quot;}],&quot;collection-title&quot;:&quot;AERC Research Papers&quot;,&quot;ISBN&quot;:&quot;9789966610485&quot;,&quot;URL&quot;:&quot;http://mpra.ub.uni-muenchen.de/37807/&quot;,&quot;issued&quot;:{&quot;date-parts&quot;:[[2018]]},&quot;publisher-place&quot;:&quot;Nairobi&quot;},&quot;isTemporary&quot;:false}],&quot;properties&quot;:{&quot;noteIndex&quot;:0},&quot;isEdited&quot;:false,&quot;manualOverride&quot;:{&quot;isManuallyOverridden&quot;:true,&quot;citeprocText&quot;:&quot;(Ocran, 2018a)&quot;,&quot;manualOverrideText&quot;:&quot;Ocran (2018)&quot;},&quot;citationTag&quot;:&quot;MENDELEY_CITATION_v3_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&quot;},{&quot;citationID&quot;:&quot;MENDELEY_CITATION_be740c0d-cb61-467e-9612-fa64d92ee5f7&quot;,&quot;citationItems&quot;:[{&quot;id&quot;:&quot;dde6d85f-e8ec-3ab4-b4ce-e55d97418f6b&quot;,&quot;itemData&quot;:{&quot;type&quot;:&quot;report&quot;,&quot;id&quot;:&quot;dde6d85f-e8ec-3ab4-b4ce-e55d97418f6b&quot;,&quot;title&quot;:&quot;Informality and the tax gap : A case of non-farm enterprises in Ghana&quot;,&quot;author&quot;:[{&quot;family&quot;:&quot;Danquah&quot;,&quot;given&quot;:&quot;Michael&quot;,&quot;parse-names&quot;:false,&quot;dropping-particle&quot;:&quot;&quot;,&quot;non-dropping-particle&quot;:&quot;&quot;},{&quot;family&quot;:&quot;Osei-Assibey&quot;,&quot;given&quot;:&quot;Eric&quot;,&quot;parse-names&quot;:false,&quot;dropping-particle&quot;:&quot;&quot;,&quot;non-dropping-particle&quot;:&quot;&quot;}],&quot;issued&quot;:{&quot;date-parts&quot;:[[2016]]},&quot;number-of-pages&quot;:&quot;1-37&quot;,&quot;abstract&quot;:&quot;Broadening a country's tax base plays a vital role in domestic revenue generation which in turn influences economic growth and development. However, in Ghana greater majority of individuals and businesses within the informal sector do not pay tax. This study attempts to estimate the tax gap within the informal sector and also investigates determinants of the propensity to pay tax among non-farm informal enterprises in Ghana. Using the sixth round of the Ghana Living Standards Survey, the tax gap was estimated by computing the difference between the potential and the actual annual tax payments. A logistic regression method was used to ascertain the determinants of the propensity to pay tax whilst an Ordinary Least Square (OLS) procedure was used to estimate the factors that explain the tax gap. The study finds that the country's informal sector has the potential to pay GH¢327,899,384.00 as taxes. However, the actual tax paid in a year per our estimation is GH¢ 100,093,092.00. Thus the estimated national tax loss is GH¢ 227, 806,292.00 per annum. Comparing the actual tax paid to the revenue generated by enterprises within the informal sector indicates that the actual tax paid represents just about 0.54% of their total revenue in a year. The results from the econometric estimations of the study show that several firm owner and firm level characteristics influence the propensity to pay tax as well as the tax gap in the informal sector of Ghana. With regards to the firm owner's characteristics, evidence from the study shows that male firm ownership and having at least primary education qualification significantly increases the propensity to pay tax and reduces the tax gap as expected. Also in line with expectations, our estimates show that firm level variables such as firm sales, bank savings, type of business, urban location as well as experience of the firm significantly increases the propensity to pay tax and reduce the tax gap. The policy implications emanating from the study are as follows: Firstly, there is the need to intensify public education, particularly towards women micro entrepreneurs on their tax responsibilities; secondly, financial inclusion should be vigorously promoted within the informal sector by government or the Bank of Ghana to make more enterprises in this sector bankable, as a firm saving in the bank was found to correlate with its propensity to pay tax.&quot;,&quot;issue&quot;:&quot;August&quot;},&quot;isTemporary&quot;:false}],&quot;properties&quot;:{&quot;noteIndex&quot;:0},&quot;isEdited&quot;:false,&quot;manualOverride&quot;:{&quot;isManuallyOverridden&quot;:true,&quot;citeprocText&quot;:&quot;(Danquah &amp;#38; Osei-Assibey, 2016a)&quot;,&quot;manualOverrideText&quot;:&quot;Danquah &amp; Osei-Assibey (2016)&quot;},&quot;citationTag&quot;:&quot;MENDELEY_CITATION_v3_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&quot;},{&quot;citationID&quot;:&quot;MENDELEY_CITATION_f4f268ad-6d3b-4cfb-92e7-e5d215357fd1&quot;,&quot;citationItems&quot;:[{&quot;id&quot;:&quot;321342a9-df07-344f-9f44-69a5f09b1349&quot;,&quot;itemData&quot;:{&quot;type&quot;:&quot;article-journal&quot;,&quot;id&quot;:&quot;321342a9-df07-344f-9f44-69a5f09b1349&quot;,&quot;title&quot;:&quot;Income Tax Evasion in the Ghanaian Informal Sector: Insights from Abossey Okai Spare-Parts Traders&quot;,&quot;author&quot;:[{&quot;family&quot;:&quot;Tenakwah&quot;,&quot;given&quot;:&quot;Emmanuel Juior&quot;,&quot;parse-names&quot;:false,&quot;dropping-particle&quot;:&quot;&quot;,&quot;non-dropping-particle&quot;:&quot;&quot;}],&quot;container-title&quot;:&quot;International Journal of Management, Accounting and Economics&quot;,&quot;ISSN&quot;:&quot;2383-2126&quot;,&quot;URL&quot;:&quot;www.ijmae.com&quot;,&quot;issued&quot;:{&quot;date-parts&quot;:[[2017]]},&quot;page&quot;:&quot;760-779&quot;,&quot;abstract&quot;:&quot;Tax evasion is a problem which has caused the Ghanaian tax system right from the colonial times. While some have blamed the situation on the tax authorities for not living up to expectation with regards to tax administration, others attribute it to the unpatriotic attitude of the taxpayers. It was in the light of these challenging positions that this research was carried out using a survey involving tax authorities and individual taxpayers in Abossey Okai, Accra. The study examined the factors contributing to tax evasion in the informal sector, identified the various ways through which tax evasion is perpetrated and the challenges faced by tax authorities in generating tax revenue from the informal sector. The study made use of convenient sampling technique where both taxpayers and tax authorities were selected. The survey revealed that the informal sector of the Ghanaian economy is largely characterized by activities of sole-proprietors who are involved in retailing, wholesaling as well as repairs. It was also revealed that the dominance of sole-proprietorship business in the informal sector has made it difficult for tax authorities to levy taxes on them. The dominance of this business unit is associated with many characteristics which induces tax evasion. These characteristics include but not limited to business registration, lack of permanent business location and predominance of cash transactions. Tax evasion and for that matter the informal sector has caused a great deal of harm to Ghana through its direct and indirect consequences and if care is not taken will gain deep roots in this country. It is therefore recommended that for the Government of Ghana to meet the needs of the citizenry, it would be appropriate to take a look at the factors responsible for the incidence of high tax evasion in the economy.&quot;,&quot;issue&quot;:&quot;7&quot;,&quot;volume&quot;:&quot;4&quot;},&quot;isTemporary&quot;:false}],&quot;properties&quot;:{&quot;noteIndex&quot;:0},&quot;isEdited&quot;:false,&quot;manualOverride&quot;:{&quot;isManuallyOverridden&quot;:true,&quot;citeprocText&quot;:&quot;(Tenakwah, 2017b)&quot;,&quot;manualOverrideText&quot;:&quot;(Tenakwah, 2017)&quot;},&quot;citationTag&quot;:&quot;MENDELEY_CITATION_v3_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&quot;},{&quot;citationID&quot;:&quot;MENDELEY_CITATION_4892e810-b54b-4512-9d09-f8db9c395f76&quot;,&quot;citationItems&quot;:[{&quot;id&quot;:&quot;321342a9-df07-344f-9f44-69a5f09b1349&quot;,&quot;itemData&quot;:{&quot;type&quot;:&quot;article-journal&quot;,&quot;id&quot;:&quot;321342a9-df07-344f-9f44-69a5f09b1349&quot;,&quot;title&quot;:&quot;Income Tax Evasion in the Ghanaian Informal Sector: Insights from Abossey Okai Spare-Parts Traders&quot;,&quot;author&quot;:[{&quot;family&quot;:&quot;Tenakwah&quot;,&quot;given&quot;:&quot;Emmanuel Juior&quot;,&quot;parse-names&quot;:false,&quot;dropping-particle&quot;:&quot;&quot;,&quot;non-dropping-particle&quot;:&quot;&quot;}],&quot;container-title&quot;:&quot;International Journal of Management, Accounting and Economics&quot;,&quot;ISSN&quot;:&quot;2383-2126&quot;,&quot;URL&quot;:&quot;www.ijmae.com&quot;,&quot;issued&quot;:{&quot;date-parts&quot;:[[2017]]},&quot;page&quot;:&quot;760-779&quot;,&quot;abstract&quot;:&quot;Tax evasion is a problem which has caused the Ghanaian tax system right from the colonial times. While some have blamed the situation on the tax authorities for not living up to expectation with regards to tax administration, others attribute it to the unpatriotic attitude of the taxpayers. It was in the light of these challenging positions that this research was carried out using a survey involving tax authorities and individual taxpayers in Abossey Okai, Accra. The study examined the factors contributing to tax evasion in the informal sector, identified the various ways through which tax evasion is perpetrated and the challenges faced by tax authorities in generating tax revenue from the informal sector. The study made use of convenient sampling technique where both taxpayers and tax authorities were selected. The survey revealed that the informal sector of the Ghanaian economy is largely characterized by activities of sole-proprietors who are involved in retailing, wholesaling as well as repairs. It was also revealed that the dominance of sole-proprietorship business in the informal sector has made it difficult for tax authorities to levy taxes on them. The dominance of this business unit is associated with many characteristics which induces tax evasion. These characteristics include but not limited to business registration, lack of permanent business location and predominance of cash transactions. Tax evasion and for that matter the informal sector has caused a great deal of harm to Ghana through its direct and indirect consequences and if care is not taken will gain deep roots in this country. It is therefore recommended that for the Government of Ghana to meet the needs of the citizenry, it would be appropriate to take a look at the factors responsible for the incidence of high tax evasion in the economy.&quot;,&quot;issue&quot;:&quot;7&quot;,&quot;volume&quot;:&quot;4&quot;},&quot;isTemporary&quot;:false}],&quot;properties&quot;:{&quot;noteIndex&quot;:0},&quot;isEdited&quot;:false,&quot;manualOverride&quot;:{&quot;isManuallyOverridden&quot;:true,&quot;citeprocText&quot;:&quot;(Tenakwah, 2017b)&quot;,&quot;manualOverrideText&quot;:&quot;(Tenakwah, 2017).&quot;},&quot;citationTag&quot;:&quot;MENDELEY_CITATION_v3_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&quot;},{&quot;citationID&quot;:&quot;MENDELEY_CITATION_4faec8a4-6de7-4f27-a774-c74c32f7c380&quot;,&quot;citationItems&quot;:[{&quot;id&quot;:&quot;41a161df-8671-3985-b696-6f2f448175d1&quot;,&quot;itemData&quot;:{&quot;type&quot;:&quot;report&quot;,&quot;id&quot;:&quot;41a161df-8671-3985-b696-6f2f448175d1&quot;,&quot;title&quot;:&quot;Estimating the Size and Trends of the Informal Economy in Ghana&quot;,&quot;author&quot;:[{&quot;family&quot;:&quot;Ocran&quot;,&quot;given&quot;:&quot;Matthew Kofi&quot;,&quot;parse-names&quot;:false,&quot;dropping-particle&quot;:&quot;&quot;,&quot;non-dropping-particle&quot;:&quot;&quot;}],&quot;collection-title&quot;:&quot;AERC Research Papers&quot;,&quot;ISBN&quot;:&quot;9789966610485&quot;,&quot;URL&quot;:&quot;http://mpra.ub.uni-muenchen.de/37807/&quot;,&quot;issued&quot;:{&quot;date-parts&quot;:[[2018]]},&quot;publisher-place&quot;:&quot;Nairobi&quot;},&quot;isTemporary&quot;:false}],&quot;properties&quot;:{&quot;noteIndex&quot;:0},&quot;isEdited&quot;:false,&quot;manualOverride&quot;:{&quot;isManuallyOverridden&quot;:true,&quot;citeprocText&quot;:&quot;(Ocran, 2018b)&quot;,&quot;manualOverrideText&quot;:&quot;(Ocran, 2018)&quot;},&quot;citationTag&quot;:&quot;MENDELEY_CITATION_v3_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&quot;},{&quot;citationID&quot;:&quot;MENDELEY_CITATION_4f8f7b26-5e26-4600-aa3e-89ea10d4cd68&quot;,&quot;citationItems&quot;:[{&quot;id&quot;:&quot;cb658c2a-cc00-343c-b4c5-dcedea988061&quot;,&quot;itemData&quot;:{&quot;type&quot;:&quot;report&quot;,&quot;id&quot;:&quot;cb658c2a-cc00-343c-b4c5-dcedea988061&quot;,&quot;title&quot;:&quot;Ghana Labour Market Profile 2020&quot;,&quot;author&quot;:[{&quot;family&quot;:&quot;DTDA&quot;,&quot;given&quot;:&quot;&quot;,&quot;parse-names&quot;:false,&quot;dropping-particle&quot;:&quot;&quot;,&quot;non-dropping-particle&quot;:&quot;&quot;}],&quot;URL&quot;:&quot;https://www.ulandssekretariatet.dk/wp-content/uploads/2020/02/Ghana_lmp_2020.pdf&quot;,&quot;issued&quot;:{&quot;date-parts&quot;:[[2020]]},&quot;number-of-pages&quot;:&quot;10-13&quot;},&quot;isTemporary&quot;:false}],&quot;properties&quot;:{&quot;noteIndex&quot;:0},&quot;isEdited&quot;:false,&quot;manualOverride&quot;:{&quot;isManuallyOverridden&quot;:true,&quot;citeprocText&quot;:&quot;(DTDA, 2020b)&quot;,&quot;manualOverrideText&quot;:&quot;(DTDA, 2020)&quot;},&quot;citationTag&quot;:&quot;MENDELEY_CITATION_v3_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&quot;},{&quot;citationID&quot;:&quot;MENDELEY_CITATION_13dbf899-4d82-4bb6-ba87-8d10f02cd2bb&quot;,&quot;citationItems&quot;:[{&quot;id&quot;:&quot;4a2ac2d1-a3b7-36c5-be9a-930643d23224&quot;,&quot;itemData&quot;:{&quot;type&quot;:&quot;report&quot;,&quot;id&quot;:&quot;4a2ac2d1-a3b7-36c5-be9a-930643d23224&quot;,&quot;title&quot;:&quot;Informality and the tax gap : A case of non-farm enterprises in Ghana&quot;,&quot;author&quot;:[{&quot;family&quot;:&quot;Danquah&quot;,&quot;given&quot;:&quot;Michael&quot;,&quot;parse-names&quot;:false,&quot;dropping-particle&quot;:&quot;&quot;,&quot;non-dropping-particle&quot;:&quot;&quot;},{&quot;family&quot;:&quot;Osei-Assibey&quot;,&quot;given&quot;:&quot;Eric&quot;,&quot;parse-names&quot;:false,&quot;dropping-particle&quot;:&quot;&quot;,&quot;non-dropping-particle&quot;:&quot;&quot;}],&quot;issued&quot;:{&quot;date-parts&quot;:[[2016]]},&quot;number-of-pages&quot;:&quot;1-37&quot;,&quot;abstract&quot;:&quot;Broadening a country's tax base plays a vital role in domestic revenue generation which in turn influences economic growth and development. However, in Ghana greater majority of individuals and businesses within the informal sector do not pay tax. This study attempts to estimate the tax gap within the informal sector and also investigates determinants of the propensity to pay tax among non-farm informal enterprises in Ghana. Using the sixth round of the Ghana Living Standards Survey, the tax gap was estimated by computing the difference between the potential and the actual annual tax payments. A logistic regression method was used to ascertain the determinants of the propensity to pay tax whilst an Ordinary Least Square (OLS) procedure was used to estimate the factors that explain the tax gap. The study finds that the country's informal sector has the potential to pay GH¢327,899,384.00 as taxes. However, the actual tax paid in a year per our estimation is GH¢ 100,093,092.00. Thus the estimated national tax loss is GH¢ 227, 806,292.00 per annum. Comparing the actual tax paid to the revenue generated by enterprises within the informal sector indicates that the actual tax paid represents just about 0.54% of their total revenue in a year. The results from the econometric estimations of the study show that several firm owner and firm level characteristics influence the propensity to pay tax as well as the tax gap in the informal sector of Ghana. With regards to the firm owner's characteristics, evidence from the study shows that male firm ownership and having at least primary education qualification significantly increases the propensity to pay tax and reduces the tax gap as expected. Also in line with expectations, our estimates show that firm level variables such as firm sales, bank savings, type of business, urban location as well as experience of the firm significantly increases the propensity to pay tax and reduce the tax gap. The policy implications emanating from the study are as follows: Firstly, there is the need to intensify public education, particularly towards women micro entrepreneurs on their tax responsibilities; secondly, financial inclusion should be vigorously promoted within the informal sector by government or the Bank of Ghana to make more enterprises in this sector bankable, as a firm saving in the bank was found to correlate with its propensity to pay tax.&quot;,&quot;issue&quot;:&quot;August&quot;},&quot;isTemporary&quot;:false}],&quot;properties&quot;:{&quot;noteIndex&quot;:0},&quot;isEdited&quot;:false,&quot;manualOverride&quot;:{&quot;isManuallyOverridden&quot;:true,&quot;citeprocText&quot;:&quot;(Danquah &amp;#38; Osei-Assibey, 2016b)&quot;,&quot;manualOverrideText&quot;:&quot;(Danquah &amp; Osei-Assibey, 2016)&quot;},&quot;citationTag&quot;:&quot;MENDELEY_CITATION_v3_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&quot;},{&quot;citationID&quot;:&quot;MENDELEY_CITATION_5e6c50a3-de7b-4abb-aaba-1e9bb60f4154&quot;,&quot;citationItems&quot;:[{&quot;id&quot;:&quot;098513fb-0946-33d5-838a-3fa1e6890051&quot;,&quot;itemData&quot;:{&quot;type&quot;:&quot;report&quot;,&quot;id&quot;:&quot;098513fb-0946-33d5-838a-3fa1e6890051&quot;,&quot;title&quot;:&quot;Building a More Equal Ghana: A five-point action plan to close the gap between the rich and the rest&quot;,&quot;author&quot;:[{&quot;family&quot;:&quot;Oduro&quot;,&quot;given&quot;:&quot;Abena D&quot;,&quot;parse-names&quot;:false,&quot;dropping-particle&quot;:&quot;&quot;,&quot;non-dropping-particle&quot;:&quot;&quot;},{&quot;family&quot;:&quot;Arhin&quot;,&quot;given&quot;:&quot;Albert A&quot;,&quot;parse-names&quot;:false,&quot;dropping-particle&quot;:&quot;&quot;,&quot;non-dropping-particle&quot;:&quot;&quot;},{&quot;family&quot;:&quot;Domfe&quot;,&quot;given&quot;:&quot;George&quot;,&quot;parse-names&quot;:false,&quot;dropping-particle&quot;:&quot;&quot;,&quot;non-dropping-particle&quot;:&quot;&quot;},{&quot;family&quot;:&quot;Alidu&quot;,&quot;given&quot;:&quot;Seidu&quot;,&quot;parse-names&quot;:false,&quot;dropping-particle&quot;:&quot;&quot;,&quot;non-dropping-particle&quot;:&quot;&quot;},{&quot;family&quot;:&quot;Agyeman&quot;,&quot;given&quot;:&quot;Felix SK&quot;,&quot;parse-names&quot;:false,&quot;dropping-particle&quot;:&quot;&quot;,&quot;non-dropping-particle&quot;:&quot;&quot;},{&quot;family&quot;:&quot;Edem Asimadu&quot;,&quot;given&quot;:&quot;Doreen&quot;,&quot;parse-names&quot;:false,&quot;dropping-particle&quot;:&quot;&quot;,&quot;non-dropping-particle&quot;:&quot;&quot;},{&quot;family&quot;:&quot;Walker&quot;,&quot;given&quot;:&quot;Jo&quot;,&quot;parse-names&quot;:false,&quot;dropping-particle&quot;:&quot;&quot;,&quot;non-dropping-particle&quot;:&quot;&quot;},{&quot;family&quot;:&quot;Gibson&quot;,&quot;given&quot;:&quot;Luke&quot;,&quot;parse-names&quot;:false,&quot;dropping-particle&quot;:&quot;&quot;,&quot;non-dropping-particle&quot;:&quot;&quot;},{&quot;family&quot;:&quot;Mariotti&quot;,&quot;given&quot;:&quot;Chiara&quot;,&quot;parse-names&quot;:false,&quot;dropping-particle&quot;:&quot;&quot;,&quot;non-dropping-particle&quot;:&quot;&quot;},{&quot;family&quot;:&quot;Hall&quot;,&quot;given&quot;:&quot;Sarah&quot;,&quot;parse-names&quot;:false,&quot;dropping-particle&quot;:&quot;&quot;,&quot;non-dropping-particle&quot;:&quot;&quot;}],&quot;accessed&quot;:{&quot;date-parts&quot;:[[2021,10,26]]},&quot;URL&quot;:&quot;https://www.oxfam.org/en/research/building-more-equal-ghana#:~:text=Building%20a%20more%20equal%20Ghana%20Oxfam%20estimates%20that,reduction%2C%20hampering%20economic%20growth%20and%20threatening%20social%20cohesion.&quot;,&quot;issued&quot;:{&quot;date-parts&quot;:[[2018]]},&quot;abstract&quot;:&quot;A five-point action plan to close the gap between the rich and the rest A report by Oxfam, SEND Ghana and Ghana Anti-Corruption Coalition SEND Oxfam estimates that just one of the richest men in Ghana earns from his wealth more in a month than one of the poorest women could earn in 1,000 years. Inequality is slowing down poverty reduction, hampering economic growth and threatening social cohesion. Nearly 300,000 more men, women and children could have been lifted out of poverty between 2006 and 2013 had inequality not increased during this period. Inequality is not inevitable and can be addressed. In 2017, servicing public debt cost Ghana more than the annual amount the government would need to pay for free quality health care for all Ghanaians and to deliver on its globally agreed health goals by 2030. Meeting these goals could have saved the lives of more than 7,000 newborn babies and 1,000 mothers in one year alone. The government must: improve public financial management; use public spending to reduce inequality; create decent work with good wages; put women's economic empowerment at the heart of policy making; and make governance work for everyone.&quot;},&quot;isTemporary&quot;:false}],&quot;properties&quot;:{&quot;noteIndex&quot;:0},&quot;isEdited&quot;:false,&quot;manualOverride&quot;:{&quot;isManuallyOverridden&quot;:false,&quot;citeprocText&quot;:&quot;(Oduro et al., 2018)&quot;,&quot;manualOverrideText&quot;:&quot;&quot;},&quot;citationTag&quot;:&quot;MENDELEY_CITATION_v3_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&quot;},{&quot;citationID&quot;:&quot;MENDELEY_CITATION_c996652c-7c51-47fd-9c30-c502969b9f4f&quot;,&quot;citationItems&quot;:[{&quot;id&quot;:&quot;38673b2b-817e-385c-8e37-a1a00f8238b4&quot;,&quot;itemData&quot;:{&quot;type&quot;:&quot;report&quot;,&quot;id&quot;:&quot;38673b2b-817e-385c-8e37-a1a00f8238b4&quot;,&quot;title&quot;:&quot;Ghana: Social Protection Assessment and Public Expenditure Review Social Protection and Labor and Poverty and Equity Global Practices Africa Region&quot;,&quot;author&quot;:[{&quot;family&quot;:&quot;World Bank&quot;,&quot;given&quot;:&quot;&quot;,&quot;parse-names&quot;:false,&quot;dropping-particle&quot;:&quot;&quot;,&quot;non-dropping-particle&quot;:&quot;&quot;}],&quot;issued&quot;:{&quot;date-parts&quot;:[[2016]]}},&quot;isTemporary&quot;:false}],&quot;properties&quot;:{&quot;noteIndex&quot;:0},&quot;isEdited&quot;:false,&quot;manualOverride&quot;:{&quot;isManuallyOverridden&quot;:false,&quot;citeprocText&quot;:&quot;(World Bank, 2016)&quot;,&quot;manualOverrideText&quot;:&quot;&quot;},&quot;citationTag&quot;:&quot;MENDELEY_CITATION_v3_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mZhbHNlLCJjaXRlcHJvY1RleHQiOiIoV29ybGQgQmFuaywgMjAxNikiLCJtYW51YWxPdmVycmlkZVRleHQiOiIifX0=&quot;},{&quot;citationID&quot;:&quot;MENDELEY_CITATION_8d60da43-5388-4342-a662-6aa57821a7fc&quot;,&quot;citationItems&quot;:[{&quot;id&quot;:&quot;25bbc3fa-10bf-3b4e-920b-07b84e3f96cb&quot;,&quot;itemData&quot;:{&quot;type&quot;:&quot;report&quot;,&quot;id&quot;:&quot;25bbc3fa-10bf-3b4e-920b-07b84e3f96cb&quot;,&quot;title&quot;:&quot;Social Protection Budget Brief&quot;,&quot;author&quot;:[{&quot;family&quot;:&quot;UNICEF&quot;,&quot;given&quot;:&quot;&quot;,&quot;parse-names&quot;:false,&quot;dropping-particle&quot;:&quot;&quot;,&quot;non-dropping-particle&quot;:&quot;&quot;}],&quot;issued&quot;:{&quot;date-parts&quot;:[[2016]]},&quot;abstract&quot;:&quot;At the end of 2018, LEAP covered 324 000 households. The Medium-Term Development Policy Framework 2018-2019 sets a target for LEAP to cover at least 450 000 households by the end of 2021. This target would cover all 2.4 million people estimated to be extremely poor in the new GLSS7 data. However, budget allocations do not match these coverage targets-the GH₵ 168 million allocated in 2019 is the same amount as for 2018, despite the 2017 MTEF calling for a budget of GH₵ 338 million in 2019. This needs to be rectified if the stated targets are to be reached. To cover the target population of extremely poor households, it is estimated that the Government would need to allocate around GH₵ 270 million to LEAP. The allocated budgets also do not provide for the impact of inflation, which has been around 65% since 2015. Households covered by LEAP are hit particularly hard by price increases, which erode the purchasing power of LEAP and thus reduce its effectiveness. To ensure the continued effectiveness of LEAP, and similar cash-transfer programmes, it is important that the value of the cash transfers be regularly adjusted to inflation SOCIAL PROTECTION BUDGET BRIEF 1 The budget allocation for LEAP will need to increase to GH₵ 270 million to achieve the goal of covering 450 000 households. The value of grants also needs to be adjusted for the impact of the high inflation since 2015. SDG 1.3 While this would be a substantial increase, LEAP is a critical social investment that has economic dividends both now and for the next generation. Rigorous evidence shows that LEAP contributes to the achievement of multiple SDG goals and ensures that all Ghanaians can contribute to economic development. LEAP households have increased their consumption by 67%, using the transfer to improve both quantity and quality of food. LEAP supports households to better access social services and make investments their children. For example, children in LEAP households were more likely to be enrolled in preschool when compared to similar households not in the programme. Both adults and children in LEAP households have increased access to NHIS. The programme has a number of positive impacts on maternal health, including increased likelihood of accessing antenatal care and improved rates of exclusive breastfeeding. LEAP also empowers households to invest in productive activities-livestock, fertiliser, improved seeds and small businesses. On a final note, the significant positive effects of LEAP in reducing vulnerability depend on the transfers being regular and predictable. There have been registered delays in disbursing funds to the tens of thousands of very poor households that count on the predictability of the transfer. These households have very limited financial resources to cope with these delays. Late and unpredictable payments can erode many positive impacts. They can also negatively affect programme credibility. LEAP coverage has been increasing substantially over the past years, helping over 320 000 households to combat extreme poverty, but government budget allocations do not provide for expanded coverage&quot;},&quot;isTemporary&quot;:false}],&quot;properties&quot;:{&quot;noteIndex&quot;:0},&quot;isEdited&quot;:false,&quot;manualOverride&quot;:{&quot;isManuallyOverridden&quot;:false,&quot;citeprocText&quot;:&quot;(UNICEF, 2016a)&quot;,&quot;manualOverrideText&quot;:&quot;&quot;},&quot;citationTag&quot;:&quot;MENDELEY_CITATION_v3_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&quot;},{&quot;citationID&quot;:&quot;MENDELEY_CITATION_1fdf4ccc-551c-471b-8141-5acdddfc1f81&quot;,&quot;citationItems&quot;:[{&quot;id&quot;:&quot;38673b2b-817e-385c-8e37-a1a00f8238b4&quot;,&quot;itemData&quot;:{&quot;type&quot;:&quot;report&quot;,&quot;id&quot;:&quot;38673b2b-817e-385c-8e37-a1a00f8238b4&quot;,&quot;title&quot;:&quot;Ghana: Social Protection Assessment and Public Expenditure Review Social Protection and Labor and Poverty and Equity Global Practices Africa Region&quot;,&quot;author&quot;:[{&quot;family&quot;:&quot;World Bank&quot;,&quot;given&quot;:&quot;&quot;,&quot;parse-names&quot;:false,&quot;dropping-particle&quot;:&quot;&quot;,&quot;non-dropping-particle&quot;:&quot;&quot;}],&quot;issued&quot;:{&quot;date-parts&quot;:[[2016]]}},&quot;isTemporary&quot;:false}],&quot;properties&quot;:{&quot;noteIndex&quot;:0},&quot;isEdited&quot;:false,&quot;manualOverride&quot;:{&quot;isManuallyOverridden&quot;:false,&quot;citeprocText&quot;:&quot;(World Bank, 2016)&quot;,&quot;manualOverrideText&quot;:&quot;&quot;},&quot;citationTag&quot;:&quot;MENDELEY_CITATION_v3_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mZhbHNlLCJjaXRlcHJvY1RleHQiOiIoV29ybGQgQmFuaywgMjAxNikiLCJtYW51YWxPdmVycmlkZVRleHQiOiIifX0=&quot;},{&quot;citationID&quot;:&quot;MENDELEY_CITATION_95b688aa-e856-487f-a762-c6c24959648a&quot;,&quot;citationItems&quot;:[{&quot;id&quot;:&quot;38673b2b-817e-385c-8e37-a1a00f8238b4&quot;,&quot;itemData&quot;:{&quot;type&quot;:&quot;report&quot;,&quot;id&quot;:&quot;38673b2b-817e-385c-8e37-a1a00f8238b4&quot;,&quot;title&quot;:&quot;Ghana: Social Protection Assessment and Public Expenditure Review Social Protection and Labor and Poverty and Equity Global Practices Africa Region&quot;,&quot;author&quot;:[{&quot;family&quot;:&quot;World Bank&quot;,&quot;given&quot;:&quot;&quot;,&quot;parse-names&quot;:false,&quot;dropping-particle&quot;:&quot;&quot;,&quot;non-dropping-particle&quot;:&quot;&quot;}],&quot;issued&quot;:{&quot;date-parts&quot;:[[2016]]}},&quot;isTemporary&quot;:false}],&quot;properties&quot;:{&quot;noteIndex&quot;:0},&quot;isEdited&quot;:false,&quot;manualOverride&quot;:{&quot;isManuallyOverridden&quot;:false,&quot;citeprocText&quot;:&quot;(World Bank, 2016)&quot;,&quot;manualOverrideText&quot;:&quot;&quot;},&quot;citationTag&quot;:&quot;MENDELEY_CITATION_v3_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mZhbHNlLCJjaXRlcHJvY1RleHQiOiIoV29ybGQgQmFuaywgMjAxNikiLCJtYW51YWxPdmVycmlkZVRleHQiOiIifX0=&quot;},{&quot;citationID&quot;:&quot;MENDELEY_CITATION_5284e1bb-d100-4eac-8cb0-ee9aaa1ec6de&quot;,&quot;citationItems&quot;:[{&quot;id&quot;:&quot;d93cc624-2039-38d5-a10a-da70544853e5&quot;,&quot;itemData&quot;:{&quot;type&quot;:&quot;report&quot;,&quot;id&quot;:&quot;d93cc624-2039-38d5-a10a-da70544853e5&quot;,&quot;title&quot;:&quot;SOCIAL PROTECTION IN GHANA&quot;,&quot;author&quot;:[{&quot;family&quot;:&quot;Abdulai&quot;,&quot;given&quot;:&quot;Abdul-Gafaru&quot;,&quot;parse-names&quot;:false,&quot;dropping-particle&quot;:&quot;&quot;,&quot;non-dropping-particle&quot;:&quot;&quot;}],&quot;accessed&quot;:{&quot;date-parts&quot;:[[2021,10,26]]},&quot;URL&quot;:&quot;https://cddgh.org/social-protection-in-ghana/&quot;,&quot;issued&quot;:{&quot;date-parts&quot;:[[2021]]},&quot;issue&quot;:&quot;1&quot;,&quot;volume&quot;:&quot;18&quot;},&quot;isTemporary&quot;:false}],&quot;properties&quot;:{&quot;noteIndex&quot;:0},&quot;isEdited&quot;:false,&quot;manualOverride&quot;:{&quot;isManuallyOverridden&quot;:false,&quot;citeprocText&quot;:&quot;(Abdulai, 2021)&quot;,&quot;manualOverrideText&quot;:&quot;&quot;},&quot;citationTag&quot;:&quot;MENDELEY_CITATION_v3_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&quot;},{&quot;citationID&quot;:&quot;MENDELEY_CITATION_61b57733-3ea3-4027-9d28-0fe558ece87d&quot;,&quot;citationItems&quot;:[{&quot;id&quot;:&quot;38673b2b-817e-385c-8e37-a1a00f8238b4&quot;,&quot;itemData&quot;:{&quot;type&quot;:&quot;report&quot;,&quot;id&quot;:&quot;38673b2b-817e-385c-8e37-a1a00f8238b4&quot;,&quot;title&quot;:&quot;Ghana: Social Protection Assessment and Public Expenditure Review Social Protection and Labor and Poverty and Equity Global Practices Africa Region&quot;,&quot;author&quot;:[{&quot;family&quot;:&quot;World Bank&quot;,&quot;given&quot;:&quot;&quot;,&quot;parse-names&quot;:false,&quot;dropping-particle&quot;:&quot;&quot;,&quot;non-dropping-particle&quot;:&quot;&quot;}],&quot;issued&quot;:{&quot;date-parts&quot;:[[2016]]}},&quot;isTemporary&quot;:false}],&quot;properties&quot;:{&quot;noteIndex&quot;:0},&quot;isEdited&quot;:false,&quot;manualOverride&quot;:{&quot;isManuallyOverridden&quot;:false,&quot;citeprocText&quot;:&quot;(World Bank, 2016)&quot;,&quot;manualOverrideText&quot;:&quot;&quot;},&quot;citationTag&quot;:&quot;MENDELEY_CITATION_v3_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mZhbHNlLCJjaXRlcHJvY1RleHQiOiIoV29ybGQgQmFuaywgMjAxNikiLCJtYW51YWxPdmVycmlkZVRleHQiOiIifX0=&quot;},{&quot;citationID&quot;:&quot;MENDELEY_CITATION_0074d2f4-1abd-495c-82c7-30ea958c9684&quot;,&quot;citationItems&quot;:[{&quot;id&quot;:&quot;38673b2b-817e-385c-8e37-a1a00f8238b4&quot;,&quot;itemData&quot;:{&quot;type&quot;:&quot;report&quot;,&quot;id&quot;:&quot;38673b2b-817e-385c-8e37-a1a00f8238b4&quot;,&quot;title&quot;:&quot;Ghana: Social Protection Assessment and Public Expenditure Review Social Protection and Labor and Poverty and Equity Global Practices Africa Region&quot;,&quot;author&quot;:[{&quot;family&quot;:&quot;World Bank&quot;,&quot;given&quot;:&quot;&quot;,&quot;parse-names&quot;:false,&quot;dropping-particle&quot;:&quot;&quot;,&quot;non-dropping-particle&quot;:&quot;&quot;}],&quot;issued&quot;:{&quot;date-parts&quot;:[[2016]]}},&quot;isTemporary&quot;:false}],&quot;properties&quot;:{&quot;noteIndex&quot;:0},&quot;isEdited&quot;:false,&quot;manualOverride&quot;:{&quot;isManuallyOverridden&quot;:false,&quot;citeprocText&quot;:&quot;(World Bank, 2016)&quot;,&quot;manualOverrideText&quot;:&quot;&quot;},&quot;citationTag&quot;:&quot;MENDELEY_CITATION_v3_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mZhbHNlLCJjaXRlcHJvY1RleHQiOiIoV29ybGQgQmFuaywgMjAxNikiLCJtYW51YWxPdmVycmlkZVRleHQiOiIifX0=&quot;},{&quot;citationID&quot;:&quot;MENDELEY_CITATION_e7465aea-1178-418e-958f-b0c695c36fb9&quot;,&quot;citationItems&quot;:[{&quot;id&quot;:&quot;1d7e381d-ecca-352d-8586-872411fe55b6&quot;,&quot;itemData&quot;:{&quot;type&quot;:&quot;report&quot;,&quot;id&quot;:&quot;1d7e381d-ecca-352d-8586-872411fe55b6&quot;,&quot;title&quot;:&quot;THE EFFECT OF GHANA'S NATIONAL HEALTH INSURANCE SCHEME ON HEALTH CARE UTILISATION&quot;,&quot;author&quot;:[{&quot;family&quot;:&quot;Blanchet&quot;,&quot;given&quot;:&quot;N J&quot;,&quot;parse-names&quot;:false,&quot;dropping-particle&quot;:&quot;&quot;,&quot;non-dropping-particle&quot;:&quot;&quot;},{&quot;family&quot;:&quot;Fink&quot;,&quot;given&quot;:&quot;G&quot;,&quot;parse-names&quot;:false,&quot;dropping-particle&quot;:&quot;&quot;,&quot;non-dropping-particle&quot;:&quot;&quot;},{&quot;family&quot;:&quot;Osei-Akoto&quot;,&quot;given&quot;:&quot;I&quot;,&quot;parse-names&quot;:false,&quot;dropping-particle&quot;:&quot;&quot;,&quot;non-dropping-particle&quot;:&quot;&quot;},{&quot;family&quot;:&quot;Blanchet&quot;,&quot;given&quot;:&quot;Nathan J&quot;,&quot;parse-names&quot;:false,&quot;dropping-particle&quot;:&quot;&quot;,&quot;non-dropping-particle&quot;:&quot;&quot;}],&quot;accessed&quot;:{&quot;date-parts&quot;:[[2021,10,26]]},&quot;URL&quot;:&quot;https://www.ncbi.nlm.nih.gov/pmc/articles/PMC3426378/pdf/GMJ4602-0076.pdf&quot;,&quot;issued&quot;:{&quot;date-parts&quot;:[[2012]]},&quot;abstract&quot;:&quot;Objectives: The study investigates the effect of Ghana's National Health Insurance Scheme (NHIS) on health care utilisation. Methods: We provide a short history of health insurance in Ghana, and briefly discuss general patterns of enrolment in Ghana as well as in Accra in a first step. In a second step, we use data from the Women's Health Study of Accra wave II to evaluate the effect of insurance on health seeking behaviour using propensity score matching. Results: We find that on average individuals enrolled in the insurance scheme are significantly more likely to obtain prescriptions, visit clinics and seek formal health care when sick. Conclusion: These results suggest that the government's objective to increase access to the formal health care sector through health insurance has at least partially been achieved.&quot;,&quot;volume&quot;:&quot;46&quot;},&quot;isTemporary&quot;:false}],&quot;properties&quot;:{&quot;noteIndex&quot;:0},&quot;isEdited&quot;:false,&quot;manualOverride&quot;:{&quot;isManuallyOverridden&quot;:false,&quot;citeprocText&quot;:&quot;(Blanchet et al., 2012)&quot;,&quot;manualOverrideText&quot;:&quot;&quot;},&quot;citationTag&quot;:&quot;MENDELEY_CITATION_v3_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&quot;},{&quot;citationID&quot;:&quot;MENDELEY_CITATION_62cd0e81-ba99-4384-bc6d-c586b55d96e7&quot;,&quot;citationItems&quot;:[{&quot;id&quot;:&quot;2eec4e30-034e-3073-9d7a-972ce07ee41f&quot;,&quot;itemData&quot;:{&quot;type&quot;:&quot;report&quot;,&quot;id&quot;:&quot;2eec4e30-034e-3073-9d7a-972ce07ee41f&quot;,&quot;title&quot;:&quot;Ghana Living Standards Survey Round Seven (GLSS7)&quot;,&quot;author&quot;:[{&quot;family&quot;:&quot;GSS&quot;,&quot;given&quot;:&quot;&quot;,&quot;parse-names&quot;:false,&quot;dropping-particle&quot;:&quot;&quot;,&quot;non-dropping-particle&quot;:&quot;&quot;}],&quot;URL&quot;:&quot;https://statsghana.gov.gh/gsspublications.php?category=MTAwMjg3Mzk3NC4zMDc=/webstats/1opr93rn57&quot;,&quot;issued&quot;:{&quot;date-parts&quot;:[[2019]]},&quot;number-of-pages&quot;:&quot;1-343&quot;,&quot;abstract&quot;:&quot;The Ghana Living Standards Survey (GLSS) provides information for understanding and monitoring living conditions in Ghana. This is the seventh round of a nationwide household survey. The data collection was over a period of 12 months (22 nd October, 2016 to 17 th October, 2017). The uniqueness of the GLSS round seven (GLSS7) are the inclusion of a module on Data Protection and the use of smart devices in the collection of the data. The survey collected detailed information on the demographic characteristics of the households, education, health, employment, migration &amp; remittances, information communication and technology (ICT), tourism, housing, household agriculture, non-farm household enterprises, financial services, anthropometry and asset. Information was also collected on households' perception of governance, peace and security and knowledge of data protection in Ghana. The results from this survey have provided information for the preparation of a Poverty Profile Report. In addition, separate reports on Tourism, and Governance, Peace and Security have also been prepared. To promote further analysis with the aim of maximizing the returns of the data collection exercise, the micro data has been made available.&quot;},&quot;isTemporary&quot;:false}],&quot;properties&quot;:{&quot;noteIndex&quot;:0},&quot;isEdited&quot;:false,&quot;manualOverride&quot;:{&quot;isManuallyOverridden&quot;:false,&quot;citeprocText&quot;:&quot;(GSS, 2019)&quot;,&quot;manualOverrideText&quot;:&quot;&quot;},&quot;citationTag&quot;:&quot;MENDELEY_CITATION_v3_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&quot;},{&quot;citationID&quot;:&quot;MENDELEY_CITATION_8afd94bf-c8b8-4601-a203-652c9aecee07&quot;,&quot;citationItems&quot;:[{&quot;id&quot;:&quot;38673b2b-817e-385c-8e37-a1a00f8238b4&quot;,&quot;itemData&quot;:{&quot;type&quot;:&quot;report&quot;,&quot;id&quot;:&quot;38673b2b-817e-385c-8e37-a1a00f8238b4&quot;,&quot;title&quot;:&quot;Ghana: Social Protection Assessment and Public Expenditure Review Social Protection and Labor and Poverty and Equity Global Practices Africa Region&quot;,&quot;author&quot;:[{&quot;family&quot;:&quot;World Bank&quot;,&quot;given&quot;:&quot;&quot;,&quot;parse-names&quot;:false,&quot;dropping-particle&quot;:&quot;&quot;,&quot;non-dropping-particle&quot;:&quot;&quot;}],&quot;issued&quot;:{&quot;date-parts&quot;:[[2016]]}},&quot;isTemporary&quot;:false}],&quot;properties&quot;:{&quot;noteIndex&quot;:0},&quot;isEdited&quot;:false,&quot;manualOverride&quot;:{&quot;isManuallyOverridden&quot;:false,&quot;citeprocText&quot;:&quot;(World Bank, 2016)&quot;,&quot;manualOverrideText&quot;:&quot;&quot;},&quot;citationTag&quot;:&quot;MENDELEY_CITATION_v3_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mZhbHNlLCJjaXRlcHJvY1RleHQiOiIoV29ybGQgQmFuaywgMjAxNikiLCJtYW51YWxPdmVycmlkZVRleHQiOiIifX0=&quot;},{&quot;citationID&quot;:&quot;MENDELEY_CITATION_6f6abba0-73cb-4798-9ffa-426ef1d65663&quot;,&quot;citationItems&quot;:[{&quot;id&quot;:&quot;25bbc3fa-10bf-3b4e-920b-07b84e3f96cb&quot;,&quot;itemData&quot;:{&quot;type&quot;:&quot;report&quot;,&quot;id&quot;:&quot;25bbc3fa-10bf-3b4e-920b-07b84e3f96cb&quot;,&quot;title&quot;:&quot;Social Protection Budget Brief&quot;,&quot;author&quot;:[{&quot;family&quot;:&quot;UNICEF&quot;,&quot;given&quot;:&quot;&quot;,&quot;parse-names&quot;:false,&quot;dropping-particle&quot;:&quot;&quot;,&quot;non-dropping-particle&quot;:&quot;&quot;}],&quot;issued&quot;:{&quot;date-parts&quot;:[[2016]]},&quot;abstract&quot;:&quot;At the end of 2018, LEAP covered 324 000 households. The Medium-Term Development Policy Framework 2018-2019 sets a target for LEAP to cover at least 450 000 households by the end of 2021. This target would cover all 2.4 million people estimated to be extremely poor in the new GLSS7 data. However, budget allocations do not match these coverage targets-the GH₵ 168 million allocated in 2019 is the same amount as for 2018, despite the 2017 MTEF calling for a budget of GH₵ 338 million in 2019. This needs to be rectified if the stated targets are to be reached. To cover the target population of extremely poor households, it is estimated that the Government would need to allocate around GH₵ 270 million to LEAP. The allocated budgets also do not provide for the impact of inflation, which has been around 65% since 2015. Households covered by LEAP are hit particularly hard by price increases, which erode the purchasing power of LEAP and thus reduce its effectiveness. To ensure the continued effectiveness of LEAP, and similar cash-transfer programmes, it is important that the value of the cash transfers be regularly adjusted to inflation SOCIAL PROTECTION BUDGET BRIEF 1 The budget allocation for LEAP will need to increase to GH₵ 270 million to achieve the goal of covering 450 000 households. The value of grants also needs to be adjusted for the impact of the high inflation since 2015. SDG 1.3 While this would be a substantial increase, LEAP is a critical social investment that has economic dividends both now and for the next generation. Rigorous evidence shows that LEAP contributes to the achievement of multiple SDG goals and ensures that all Ghanaians can contribute to economic development. LEAP households have increased their consumption by 67%, using the transfer to improve both quantity and quality of food. LEAP supports households to better access social services and make investments their children. For example, children in LEAP households were more likely to be enrolled in preschool when compared to similar households not in the programme. Both adults and children in LEAP households have increased access to NHIS. The programme has a number of positive impacts on maternal health, including increased likelihood of accessing antenatal care and improved rates of exclusive breastfeeding. LEAP also empowers households to invest in productive activities-livestock, fertiliser, improved seeds and small businesses. On a final note, the significant positive effects of LEAP in reducing vulnerability depend on the transfers being regular and predictable. There have been registered delays in disbursing funds to the tens of thousands of very poor households that count on the predictability of the transfer. These households have very limited financial resources to cope with these delays. Late and unpredictable payments can erode many positive impacts. They can also negatively affect programme credibility. LEAP coverage has been increasing substantially over the past years, helping over 320 000 households to combat extreme poverty, but government budget allocations do not provide for expanded coverage&quot;},&quot;isTemporary&quot;:false}],&quot;properties&quot;:{&quot;noteIndex&quot;:0},&quot;isEdited&quot;:false,&quot;manualOverride&quot;:{&quot;isManuallyOverridden&quot;:true,&quot;citeprocText&quot;:&quot;(UNICEF, 2016a)&quot;,&quot;manualOverrideText&quot;:&quot;UNICEF (2016a)&quot;},&quot;citationTag&quot;:&quot;MENDELEY_CITATION_v3_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&quot;},{&quot;citationID&quot;:&quot;MENDELEY_CITATION_2e3dd921-85d6-42db-a315-df732e63ce3e&quot;,&quot;citationItems&quot;:[{&quot;id&quot;:&quot;38673b2b-817e-385c-8e37-a1a00f8238b4&quot;,&quot;itemData&quot;:{&quot;type&quot;:&quot;report&quot;,&quot;id&quot;:&quot;38673b2b-817e-385c-8e37-a1a00f8238b4&quot;,&quot;title&quot;:&quot;Ghana: Social Protection Assessment and Public Expenditure Review Social Protection and Labor and Poverty and Equity Global Practices Africa Region&quot;,&quot;author&quot;:[{&quot;family&quot;:&quot;World Bank&quot;,&quot;given&quot;:&quot;&quot;,&quot;parse-names&quot;:false,&quot;dropping-particle&quot;:&quot;&quot;,&quot;non-dropping-particle&quot;:&quot;&quot;}],&quot;issued&quot;:{&quot;date-parts&quot;:[[2016]]}},&quot;isTemporary&quot;:false}],&quot;properties&quot;:{&quot;noteIndex&quot;:0},&quot;isEdited&quot;:false,&quot;manualOverride&quot;:{&quot;isManuallyOverridden&quot;:false,&quot;citeprocText&quot;:&quot;(World Bank, 2016)&quot;,&quot;manualOverrideText&quot;:&quot;&quot;},&quot;citationTag&quot;:&quot;MENDELEY_CITATION_v3_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mZhbHNlLCJjaXRlcHJvY1RleHQiOiIoV29ybGQgQmFuaywgMjAxNikiLCJtYW51YWxPdmVycmlkZVRleHQiOiIifX0=&quot;},{&quot;citationID&quot;:&quot;MENDELEY_CITATION_c27258fb-7ac3-4bce-8474-7b0369644415&quot;,&quot;citationItems&quot;:[{&quot;id&quot;:&quot;098513fb-0946-33d5-838a-3fa1e6890051&quot;,&quot;itemData&quot;:{&quot;type&quot;:&quot;report&quot;,&quot;id&quot;:&quot;098513fb-0946-33d5-838a-3fa1e6890051&quot;,&quot;title&quot;:&quot;Building a More Equal Ghana: A five-point action plan to close the gap between the rich and the rest&quot;,&quot;author&quot;:[{&quot;family&quot;:&quot;Oduro&quot;,&quot;given&quot;:&quot;Abena D&quot;,&quot;parse-names&quot;:false,&quot;dropping-particle&quot;:&quot;&quot;,&quot;non-dropping-particle&quot;:&quot;&quot;},{&quot;family&quot;:&quot;Arhin&quot;,&quot;given&quot;:&quot;Albert A&quot;,&quot;parse-names&quot;:false,&quot;dropping-particle&quot;:&quot;&quot;,&quot;non-dropping-particle&quot;:&quot;&quot;},{&quot;family&quot;:&quot;Domfe&quot;,&quot;given&quot;:&quot;George&quot;,&quot;parse-names&quot;:false,&quot;dropping-particle&quot;:&quot;&quot;,&quot;non-dropping-particle&quot;:&quot;&quot;},{&quot;family&quot;:&quot;Alidu&quot;,&quot;given&quot;:&quot;Seidu&quot;,&quot;parse-names&quot;:false,&quot;dropping-particle&quot;:&quot;&quot;,&quot;non-dropping-particle&quot;:&quot;&quot;},{&quot;family&quot;:&quot;Agyeman&quot;,&quot;given&quot;:&quot;Felix SK&quot;,&quot;parse-names&quot;:false,&quot;dropping-particle&quot;:&quot;&quot;,&quot;non-dropping-particle&quot;:&quot;&quot;},{&quot;family&quot;:&quot;Edem Asimadu&quot;,&quot;given&quot;:&quot;Doreen&quot;,&quot;parse-names&quot;:false,&quot;dropping-particle&quot;:&quot;&quot;,&quot;non-dropping-particle&quot;:&quot;&quot;},{&quot;family&quot;:&quot;Walker&quot;,&quot;given&quot;:&quot;Jo&quot;,&quot;parse-names&quot;:false,&quot;dropping-particle&quot;:&quot;&quot;,&quot;non-dropping-particle&quot;:&quot;&quot;},{&quot;family&quot;:&quot;Gibson&quot;,&quot;given&quot;:&quot;Luke&quot;,&quot;parse-names&quot;:false,&quot;dropping-particle&quot;:&quot;&quot;,&quot;non-dropping-particle&quot;:&quot;&quot;},{&quot;family&quot;:&quot;Mariotti&quot;,&quot;given&quot;:&quot;Chiara&quot;,&quot;parse-names&quot;:false,&quot;dropping-particle&quot;:&quot;&quot;,&quot;non-dropping-particle&quot;:&quot;&quot;},{&quot;family&quot;:&quot;Hall&quot;,&quot;given&quot;:&quot;Sarah&quot;,&quot;parse-names&quot;:false,&quot;dropping-particle&quot;:&quot;&quot;,&quot;non-dropping-particle&quot;:&quot;&quot;}],&quot;accessed&quot;:{&quot;date-parts&quot;:[[2021,10,26]]},&quot;URL&quot;:&quot;https://www.oxfam.org/en/research/building-more-equal-ghana#:~:text=Building%20a%20more%20equal%20Ghana%20Oxfam%20estimates%20that,reduction%2C%20hampering%20economic%20growth%20and%20threatening%20social%20cohesion.&quot;,&quot;issued&quot;:{&quot;date-parts&quot;:[[2018]]},&quot;abstract&quot;:&quot;A five-point action plan to close the gap between the rich and the rest A report by Oxfam, SEND Ghana and Ghana Anti-Corruption Coalition SEND Oxfam estimates that just one of the richest men in Ghana earns from his wealth more in a month than one of the poorest women could earn in 1,000 years. Inequality is slowing down poverty reduction, hampering economic growth and threatening social cohesion. Nearly 300,000 more men, women and children could have been lifted out of poverty between 2006 and 2013 had inequality not increased during this period. Inequality is not inevitable and can be addressed. In 2017, servicing public debt cost Ghana more than the annual amount the government would need to pay for free quality health care for all Ghanaians and to deliver on its globally agreed health goals by 2030. Meeting these goals could have saved the lives of more than 7,000 newborn babies and 1,000 mothers in one year alone. The government must: improve public financial management; use public spending to reduce inequality; create decent work with good wages; put women's economic empowerment at the heart of policy making; and make governance work for everyone.&quot;},&quot;isTemporary&quot;:false}],&quot;properties&quot;:{&quot;noteIndex&quot;:0},&quot;isEdited&quot;:false,&quot;manualOverride&quot;:{&quot;isManuallyOverridden&quot;:true,&quot;citeprocText&quot;:&quot;(Oduro et al., 2018)&quot;,&quot;manualOverrideText&quot;:&quot;(Davis et al., 2014; Oduro et al., 2018&quot;},&quot;citationTag&quot;:&quot;MENDELEY_CITATION_v3_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&quot;},{&quot;citationID&quot;:&quot;MENDELEY_CITATION_c0b9f67e-05f6-442f-80c4-c3f64c67e05b&quot;,&quot;citationItems&quot;:[{&quot;id&quot;:&quot;70c5f6e1-c9ce-3643-ab25-8f416cd77452&quot;,&quot;itemData&quot;:{&quot;type&quot;:&quot;article-journal&quot;,&quot;id&quot;:&quot;70c5f6e1-c9ce-3643-ab25-8f416cd77452&quot;,&quot;title&quot;:&quot;The Impact of Ghana's LEAP Programme&quot;,&quot;author&quot;:[{&quot;family&quot;:&quot;Davis&quot;,&quot;given&quot;:&quot;Benjamin&quot;,&quot;parse-names&quot;:false,&quot;dropping-particle&quot;:&quot;&quot;,&quot;non-dropping-particle&quot;:&quot;&quot;},{&quot;family&quot;:&quot;Daidone&quot;,&quot;given&quot;:&quot;Silvio&quot;,&quot;parse-names&quot;:false,&quot;dropping-particle&quot;:&quot;&quot;,&quot;non-dropping-particle&quot;:&quot;&quot;},{&quot;family&quot;:&quot;Handa&quot;,&quot;given&quot;:&quot;Sudhanshu&quot;,&quot;parse-names&quot;:false,&quot;dropping-particle&quot;:&quot;&quot;,&quot;non-dropping-particle&quot;:&quot;&quot;},{&quot;family&quot;:&quot;Park&quot;,&quot;given&quot;:&quot;Michael&quot;,&quot;parse-names&quot;:false,&quot;dropping-particle&quot;:&quot;&quot;,&quot;non-dropping-particle&quot;:&quot;&quot;},{&quot;family&quot;:&quot;Darko&quot;,&quot;given&quot;:&quot;Robert Osei&quot;,&quot;parse-names&quot;:false,&quot;dropping-particle&quot;:&quot;&quot;,&quot;non-dropping-particle&quot;:&quot;&quot;},{&quot;family&quot;:&quot;Osei-Akoto&quot;,&quot;given&quot;:&quot;Isaac&quot;,&quot;parse-names&quot;:false,&quot;dropping-particle&quot;:&quot;&quot;,&quot;non-dropping-particle&quot;:&quot;&quot;}],&quot;accessed&quot;:{&quot;date-parts&quot;:[[2021,10,27]]},&quot;ISSN&quot;:&quot;2318-9118&quot;,&quot;URL&quot;:&quot;https://ipcig.org/pub/eng/OP271_The_Impact_of_Ghana_s_LEAP_Programme.pdf&quot;,&quot;issued&quot;:{&quot;date-parts&quot;:[[2014]]}},&quot;isTemporary&quot;:false}],&quot;properties&quot;:{&quot;noteIndex&quot;:0},&quot;isEdited&quot;:false,&quot;manualOverride&quot;:{&quot;isManuallyOverridden&quot;:true,&quot;citeprocText&quot;:&quot;(Davis et al., 2014)&quot;,&quot;manualOverrideText&quot;:&quot;)&quot;},&quot;citationTag&quot;:&quot;MENDELEY_CITATION_v3_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&quot;},{&quot;citationID&quot;:&quot;MENDELEY_CITATION_abe59954-8bff-4a53-94ab-66f95b3a542e&quot;,&quot;citationItems&quot;:[{&quot;id&quot;:&quot;25bbc3fa-10bf-3b4e-920b-07b84e3f96cb&quot;,&quot;itemData&quot;:{&quot;type&quot;:&quot;report&quot;,&quot;id&quot;:&quot;25bbc3fa-10bf-3b4e-920b-07b84e3f96cb&quot;,&quot;title&quot;:&quot;Social Protection Budget Brief&quot;,&quot;author&quot;:[{&quot;family&quot;:&quot;UNICEF&quot;,&quot;given&quot;:&quot;&quot;,&quot;parse-names&quot;:false,&quot;dropping-particle&quot;:&quot;&quot;,&quot;non-dropping-particle&quot;:&quot;&quot;}],&quot;issued&quot;:{&quot;date-parts&quot;:[[2016]]},&quot;abstract&quot;:&quot;At the end of 2018, LEAP covered 324 000 households. The Medium-Term Development Policy Framework 2018-2019 sets a target for LEAP to cover at least 450 000 households by the end of 2021. This target would cover all 2.4 million people estimated to be extremely poor in the new GLSS7 data. However, budget allocations do not match these coverage targets-the GH₵ 168 million allocated in 2019 is the same amount as for 2018, despite the 2017 MTEF calling for a budget of GH₵ 338 million in 2019. This needs to be rectified if the stated targets are to be reached. To cover the target population of extremely poor households, it is estimated that the Government would need to allocate around GH₵ 270 million to LEAP. The allocated budgets also do not provide for the impact of inflation, which has been around 65% since 2015. Households covered by LEAP are hit particularly hard by price increases, which erode the purchasing power of LEAP and thus reduce its effectiveness. To ensure the continued effectiveness of LEAP, and similar cash-transfer programmes, it is important that the value of the cash transfers be regularly adjusted to inflation SOCIAL PROTECTION BUDGET BRIEF 1 The budget allocation for LEAP will need to increase to GH₵ 270 million to achieve the goal of covering 450 000 households. The value of grants also needs to be adjusted for the impact of the high inflation since 2015. SDG 1.3 While this would be a substantial increase, LEAP is a critical social investment that has economic dividends both now and for the next generation. Rigorous evidence shows that LEAP contributes to the achievement of multiple SDG goals and ensures that all Ghanaians can contribute to economic development. LEAP households have increased their consumption by 67%, using the transfer to improve both quantity and quality of food. LEAP supports households to better access social services and make investments their children. For example, children in LEAP households were more likely to be enrolled in preschool when compared to similar households not in the programme. Both adults and children in LEAP households have increased access to NHIS. The programme has a number of positive impacts on maternal health, including increased likelihood of accessing antenatal care and improved rates of exclusive breastfeeding. LEAP also empowers households to invest in productive activities-livestock, fertiliser, improved seeds and small businesses. On a final note, the significant positive effects of LEAP in reducing vulnerability depend on the transfers being regular and predictable. There have been registered delays in disbursing funds to the tens of thousands of very poor households that count on the predictability of the transfer. These households have very limited financial resources to cope with these delays. Late and unpredictable payments can erode many positive impacts. They can also negatively affect programme credibility. LEAP coverage has been increasing substantially over the past years, helping over 320 000 households to combat extreme poverty, but government budget allocations do not provide for expanded coverage&quot;},&quot;isTemporary&quot;:false}],&quot;properties&quot;:{&quot;noteIndex&quot;:0},&quot;isEdited&quot;:false,&quot;manualOverride&quot;:{&quot;isManuallyOverridden&quot;:false,&quot;citeprocText&quot;:&quot;(UNICEF, 2016a)&quot;,&quot;manualOverrideText&quot;:&quot;&quot;},&quot;citationTag&quot;:&quot;MENDELEY_CITATION_v3_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&quot;},{&quot;citationID&quot;:&quot;MENDELEY_CITATION_c392b165-0c9e-4c52-b2d4-d2cd2452fb01&quot;,&quot;citationItems&quot;:[{&quot;id&quot;:&quot;70c5f6e1-c9ce-3643-ab25-8f416cd77452&quot;,&quot;itemData&quot;:{&quot;type&quot;:&quot;article-journal&quot;,&quot;id&quot;:&quot;70c5f6e1-c9ce-3643-ab25-8f416cd77452&quot;,&quot;title&quot;:&quot;The Impact of Ghana's LEAP Programme&quot;,&quot;author&quot;:[{&quot;family&quot;:&quot;Davis&quot;,&quot;given&quot;:&quot;Benjamin&quot;,&quot;parse-names&quot;:false,&quot;dropping-particle&quot;:&quot;&quot;,&quot;non-dropping-particle&quot;:&quot;&quot;},{&quot;family&quot;:&quot;Daidone&quot;,&quot;given&quot;:&quot;Silvio&quot;,&quot;parse-names&quot;:false,&quot;dropping-particle&quot;:&quot;&quot;,&quot;non-dropping-particle&quot;:&quot;&quot;},{&quot;family&quot;:&quot;Handa&quot;,&quot;given&quot;:&quot;Sudhanshu&quot;,&quot;parse-names&quot;:false,&quot;dropping-particle&quot;:&quot;&quot;,&quot;non-dropping-particle&quot;:&quot;&quot;},{&quot;family&quot;:&quot;Park&quot;,&quot;given&quot;:&quot;Michael&quot;,&quot;parse-names&quot;:false,&quot;dropping-particle&quot;:&quot;&quot;,&quot;non-dropping-particle&quot;:&quot;&quot;},{&quot;family&quot;:&quot;Darko&quot;,&quot;given&quot;:&quot;Robert Osei&quot;,&quot;parse-names&quot;:false,&quot;dropping-particle&quot;:&quot;&quot;,&quot;non-dropping-particle&quot;:&quot;&quot;},{&quot;family&quot;:&quot;Osei-Akoto&quot;,&quot;given&quot;:&quot;Isaac&quot;,&quot;parse-names&quot;:false,&quot;dropping-particle&quot;:&quot;&quot;,&quot;non-dropping-particle&quot;:&quot;&quot;}],&quot;accessed&quot;:{&quot;date-parts&quot;:[[2021,10,27]]},&quot;ISSN&quot;:&quot;2318-9118&quot;,&quot;URL&quot;:&quot;https://ipcig.org/pub/eng/OP271_The_Impact_of_Ghana_s_LEAP_Programme.pdf&quot;,&quot;issued&quot;:{&quot;date-parts&quot;:[[2014]]}},&quot;isTemporary&quot;:false}],&quot;properties&quot;:{&quot;noteIndex&quot;:0},&quot;isEdited&quot;:false,&quot;manualOverride&quot;:{&quot;isManuallyOverridden&quot;:false,&quot;citeprocText&quot;:&quot;(Davis et al., 2014)&quot;,&quot;manualOverrideText&quot;:&quot;&quot;},&quot;citationTag&quot;:&quot;MENDELEY_CITATION_v3_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&quot;},{&quot;citationID&quot;:&quot;MENDELEY_CITATION_d86a8584-c40d-4af8-8294-7340ad54a84d&quot;,&quot;citationItems&quot;:[{&quot;id&quot;:&quot;25bbc3fa-10bf-3b4e-920b-07b84e3f96cb&quot;,&quot;itemData&quot;:{&quot;type&quot;:&quot;report&quot;,&quot;id&quot;:&quot;25bbc3fa-10bf-3b4e-920b-07b84e3f96cb&quot;,&quot;title&quot;:&quot;Social Protection Budget Brief&quot;,&quot;author&quot;:[{&quot;family&quot;:&quot;UNICEF&quot;,&quot;given&quot;:&quot;&quot;,&quot;parse-names&quot;:false,&quot;dropping-particle&quot;:&quot;&quot;,&quot;non-dropping-particle&quot;:&quot;&quot;}],&quot;issued&quot;:{&quot;date-parts&quot;:[[2016]]},&quot;abstract&quot;:&quot;At the end of 2018, LEAP covered 324 000 households. The Medium-Term Development Policy Framework 2018-2019 sets a target for LEAP to cover at least 450 000 households by the end of 2021. This target would cover all 2.4 million people estimated to be extremely poor in the new GLSS7 data. However, budget allocations do not match these coverage targets-the GH₵ 168 million allocated in 2019 is the same amount as for 2018, despite the 2017 MTEF calling for a budget of GH₵ 338 million in 2019. This needs to be rectified if the stated targets are to be reached. To cover the target population of extremely poor households, it is estimated that the Government would need to allocate around GH₵ 270 million to LEAP. The allocated budgets also do not provide for the impact of inflation, which has been around 65% since 2015. Households covered by LEAP are hit particularly hard by price increases, which erode the purchasing power of LEAP and thus reduce its effectiveness. To ensure the continued effectiveness of LEAP, and similar cash-transfer programmes, it is important that the value of the cash transfers be regularly adjusted to inflation SOCIAL PROTECTION BUDGET BRIEF 1 The budget allocation for LEAP will need to increase to GH₵ 270 million to achieve the goal of covering 450 000 households. The value of grants also needs to be adjusted for the impact of the high inflation since 2015. SDG 1.3 While this would be a substantial increase, LEAP is a critical social investment that has economic dividends both now and for the next generation. Rigorous evidence shows that LEAP contributes to the achievement of multiple SDG goals and ensures that all Ghanaians can contribute to economic development. LEAP households have increased their consumption by 67%, using the transfer to improve both quantity and quality of food. LEAP supports households to better access social services and make investments their children. For example, children in LEAP households were more likely to be enrolled in preschool when compared to similar households not in the programme. Both adults and children in LEAP households have increased access to NHIS. The programme has a number of positive impacts on maternal health, including increased likelihood of accessing antenatal care and improved rates of exclusive breastfeeding. LEAP also empowers households to invest in productive activities-livestock, fertiliser, improved seeds and small businesses. On a final note, the significant positive effects of LEAP in reducing vulnerability depend on the transfers being regular and predictable. There have been registered delays in disbursing funds to the tens of thousands of very poor households that count on the predictability of the transfer. These households have very limited financial resources to cope with these delays. Late and unpredictable payments can erode many positive impacts. They can also negatively affect programme credibility. LEAP coverage has been increasing substantially over the past years, helping over 320 000 households to combat extreme poverty, but government budget allocations do not provide for expanded coverage&quot;},&quot;isTemporary&quot;:false}],&quot;properties&quot;:{&quot;noteIndex&quot;:0},&quot;isEdited&quot;:false,&quot;manualOverride&quot;:{&quot;isManuallyOverridden&quot;:false,&quot;citeprocText&quot;:&quot;(UNICEF, 2016a)&quot;,&quot;manualOverrideText&quot;:&quot;&quot;},&quot;citationTag&quot;:&quot;MENDELEY_CITATION_v3_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&quot;},{&quot;citationID&quot;:&quot;MENDELEY_CITATION_f6a3b3ef-a859-499b-bdb7-3ccc4abfd80a&quot;,&quot;citationItems&quot;:[{&quot;id&quot;:&quot;098513fb-0946-33d5-838a-3fa1e6890051&quot;,&quot;itemData&quot;:{&quot;type&quot;:&quot;report&quot;,&quot;id&quot;:&quot;098513fb-0946-33d5-838a-3fa1e6890051&quot;,&quot;title&quot;:&quot;Building a More Equal Ghana: A five-point action plan to close the gap between the rich and the rest&quot;,&quot;author&quot;:[{&quot;family&quot;:&quot;Oduro&quot;,&quot;given&quot;:&quot;Abena D&quot;,&quot;parse-names&quot;:false,&quot;dropping-particle&quot;:&quot;&quot;,&quot;non-dropping-particle&quot;:&quot;&quot;},{&quot;family&quot;:&quot;Arhin&quot;,&quot;given&quot;:&quot;Albert A&quot;,&quot;parse-names&quot;:false,&quot;dropping-particle&quot;:&quot;&quot;,&quot;non-dropping-particle&quot;:&quot;&quot;},{&quot;family&quot;:&quot;Domfe&quot;,&quot;given&quot;:&quot;George&quot;,&quot;parse-names&quot;:false,&quot;dropping-particle&quot;:&quot;&quot;,&quot;non-dropping-particle&quot;:&quot;&quot;},{&quot;family&quot;:&quot;Alidu&quot;,&quot;given&quot;:&quot;Seidu&quot;,&quot;parse-names&quot;:false,&quot;dropping-particle&quot;:&quot;&quot;,&quot;non-dropping-particle&quot;:&quot;&quot;},{&quot;family&quot;:&quot;Agyeman&quot;,&quot;given&quot;:&quot;Felix SK&quot;,&quot;parse-names&quot;:false,&quot;dropping-particle&quot;:&quot;&quot;,&quot;non-dropping-particle&quot;:&quot;&quot;},{&quot;family&quot;:&quot;Edem Asimadu&quot;,&quot;given&quot;:&quot;Doreen&quot;,&quot;parse-names&quot;:false,&quot;dropping-particle&quot;:&quot;&quot;,&quot;non-dropping-particle&quot;:&quot;&quot;},{&quot;family&quot;:&quot;Walker&quot;,&quot;given&quot;:&quot;Jo&quot;,&quot;parse-names&quot;:false,&quot;dropping-particle&quot;:&quot;&quot;,&quot;non-dropping-particle&quot;:&quot;&quot;},{&quot;family&quot;:&quot;Gibson&quot;,&quot;given&quot;:&quot;Luke&quot;,&quot;parse-names&quot;:false,&quot;dropping-particle&quot;:&quot;&quot;,&quot;non-dropping-particle&quot;:&quot;&quot;},{&quot;family&quot;:&quot;Mariotti&quot;,&quot;given&quot;:&quot;Chiara&quot;,&quot;parse-names&quot;:false,&quot;dropping-particle&quot;:&quot;&quot;,&quot;non-dropping-particle&quot;:&quot;&quot;},{&quot;family&quot;:&quot;Hall&quot;,&quot;given&quot;:&quot;Sarah&quot;,&quot;parse-names&quot;:false,&quot;dropping-particle&quot;:&quot;&quot;,&quot;non-dropping-particle&quot;:&quot;&quot;}],&quot;accessed&quot;:{&quot;date-parts&quot;:[[2021,10,26]]},&quot;URL&quot;:&quot;https://www.oxfam.org/en/research/building-more-equal-ghana#:~:text=Building%20a%20more%20equal%20Ghana%20Oxfam%20estimates%20that,reduction%2C%20hampering%20economic%20growth%20and%20threatening%20social%20cohesion.&quot;,&quot;issued&quot;:{&quot;date-parts&quot;:[[2018]]},&quot;abstract&quot;:&quot;A five-point action plan to close the gap between the rich and the rest A report by Oxfam, SEND Ghana and Ghana Anti-Corruption Coalition SEND Oxfam estimates that just one of the richest men in Ghana earns from his wealth more in a month than one of the poorest women could earn in 1,000 years. Inequality is slowing down poverty reduction, hampering economic growth and threatening social cohesion. Nearly 300,000 more men, women and children could have been lifted out of poverty between 2006 and 2013 had inequality not increased during this period. Inequality is not inevitable and can be addressed. In 2017, servicing public debt cost Ghana more than the annual amount the government would need to pay for free quality health care for all Ghanaians and to deliver on its globally agreed health goals by 2030. Meeting these goals could have saved the lives of more than 7,000 newborn babies and 1,000 mothers in one year alone. The government must: improve public financial management; use public spending to reduce inequality; create decent work with good wages; put women's economic empowerment at the heart of policy making; and make governance work for everyone.&quot;},&quot;isTemporary&quot;:false}],&quot;properties&quot;:{&quot;noteIndex&quot;:0},&quot;isEdited&quot;:false,&quot;manualOverride&quot;:{&quot;isManuallyOverridden&quot;:false,&quot;citeprocText&quot;:&quot;(Oduro et al., 2018)&quot;,&quot;manualOverrideText&quot;:&quot;&quot;},&quot;citationTag&quot;:&quot;MENDELEY_CITATION_v3_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&quot;},{&quot;citationID&quot;:&quot;MENDELEY_CITATION_fd25a420-1257-48a3-933c-c58bdc285f56&quot;,&quot;citationItems&quot;:[{&quot;id&quot;:&quot;38673b2b-817e-385c-8e37-a1a00f8238b4&quot;,&quot;itemData&quot;:{&quot;type&quot;:&quot;report&quot;,&quot;id&quot;:&quot;38673b2b-817e-385c-8e37-a1a00f8238b4&quot;,&quot;title&quot;:&quot;Ghana: Social Protection Assessment and Public Expenditure Review Social Protection and Labor and Poverty and Equity Global Practices Africa Region&quot;,&quot;author&quot;:[{&quot;family&quot;:&quot;World Bank&quot;,&quot;given&quot;:&quot;&quot;,&quot;parse-names&quot;:false,&quot;dropping-particle&quot;:&quot;&quot;,&quot;non-dropping-particle&quot;:&quot;&quot;}],&quot;issued&quot;:{&quot;date-parts&quot;:[[2016]]}},&quot;isTemporary&quot;:false}],&quot;properties&quot;:{&quot;noteIndex&quot;:0},&quot;isEdited&quot;:false,&quot;manualOverride&quot;:{&quot;isManuallyOverridden&quot;:false,&quot;citeprocText&quot;:&quot;(World Bank, 2016)&quot;,&quot;manualOverrideText&quot;:&quot;&quot;},&quot;citationTag&quot;:&quot;MENDELEY_CITATION_v3_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mZhbHNlLCJjaXRlcHJvY1RleHQiOiIoV29ybGQgQmFuaywgMjAxNikiLCJtYW51YWxPdmVycmlkZVRleHQiOiIifX0=&quot;},{&quot;citationID&quot;:&quot;MENDELEY_CITATION_95ad95ed-3e88-48b3-ae4a-e5b78d832f0c&quot;,&quot;citationItems&quot;:[{&quot;id&quot;:&quot;d93cc624-2039-38d5-a10a-da70544853e5&quot;,&quot;itemData&quot;:{&quot;type&quot;:&quot;report&quot;,&quot;id&quot;:&quot;d93cc624-2039-38d5-a10a-da70544853e5&quot;,&quot;title&quot;:&quot;SOCIAL PROTECTION IN GHANA&quot;,&quot;author&quot;:[{&quot;family&quot;:&quot;Abdulai&quot;,&quot;given&quot;:&quot;Abdul-Gafaru&quot;,&quot;parse-names&quot;:false,&quot;dropping-particle&quot;:&quot;&quot;,&quot;non-dropping-particle&quot;:&quot;&quot;}],&quot;accessed&quot;:{&quot;date-parts&quot;:[[2021,10,26]]},&quot;URL&quot;:&quot;https://cddgh.org/social-protection-in-ghana/&quot;,&quot;issued&quot;:{&quot;date-parts&quot;:[[2021]]},&quot;issue&quot;:&quot;1&quot;,&quot;volume&quot;:&quot;18&quot;},&quot;isTemporary&quot;:false}],&quot;properties&quot;:{&quot;noteIndex&quot;:0},&quot;isEdited&quot;:false,&quot;manualOverride&quot;:{&quot;isManuallyOverridden&quot;:false,&quot;citeprocText&quot;:&quot;(Abdulai, 2021)&quot;,&quot;manualOverrideText&quot;:&quot;&quot;},&quot;citationTag&quot;:&quot;MENDELEY_CITATION_v3_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&quot;},{&quot;citationID&quot;:&quot;MENDELEY_CITATION_d1a62297-8e43-4187-b105-4c829f8f3d37&quot;,&quot;citationItems&quot;:[{&quot;id&quot;:&quot;70c5f6e1-c9ce-3643-ab25-8f416cd77452&quot;,&quot;itemData&quot;:{&quot;type&quot;:&quot;article-journal&quot;,&quot;id&quot;:&quot;70c5f6e1-c9ce-3643-ab25-8f416cd77452&quot;,&quot;title&quot;:&quot;The Impact of Ghana's LEAP Programme&quot;,&quot;author&quot;:[{&quot;family&quot;:&quot;Davis&quot;,&quot;given&quot;:&quot;Benjamin&quot;,&quot;parse-names&quot;:false,&quot;dropping-particle&quot;:&quot;&quot;,&quot;non-dropping-particle&quot;:&quot;&quot;},{&quot;family&quot;:&quot;Daidone&quot;,&quot;given&quot;:&quot;Silvio&quot;,&quot;parse-names&quot;:false,&quot;dropping-particle&quot;:&quot;&quot;,&quot;non-dropping-particle&quot;:&quot;&quot;},{&quot;family&quot;:&quot;Handa&quot;,&quot;given&quot;:&quot;Sudhanshu&quot;,&quot;parse-names&quot;:false,&quot;dropping-particle&quot;:&quot;&quot;,&quot;non-dropping-particle&quot;:&quot;&quot;},{&quot;family&quot;:&quot;Park&quot;,&quot;given&quot;:&quot;Michael&quot;,&quot;parse-names&quot;:false,&quot;dropping-particle&quot;:&quot;&quot;,&quot;non-dropping-particle&quot;:&quot;&quot;},{&quot;family&quot;:&quot;Darko&quot;,&quot;given&quot;:&quot;Robert Osei&quot;,&quot;parse-names&quot;:false,&quot;dropping-particle&quot;:&quot;&quot;,&quot;non-dropping-particle&quot;:&quot;&quot;},{&quot;family&quot;:&quot;Osei-Akoto&quot;,&quot;given&quot;:&quot;Isaac&quot;,&quot;parse-names&quot;:false,&quot;dropping-particle&quot;:&quot;&quot;,&quot;non-dropping-particle&quot;:&quot;&quot;}],&quot;accessed&quot;:{&quot;date-parts&quot;:[[2021,10,27]]},&quot;ISSN&quot;:&quot;2318-9118&quot;,&quot;URL&quot;:&quot;https://ipcig.org/pub/eng/OP271_The_Impact_of_Ghana_s_LEAP_Programme.pdf&quot;,&quot;issued&quot;:{&quot;date-parts&quot;:[[2014]]}},&quot;isTemporary&quot;:false}],&quot;properties&quot;:{&quot;noteIndex&quot;:0},&quot;isEdited&quot;:false,&quot;manualOverride&quot;:{&quot;isManuallyOverridden&quot;:false,&quot;citeprocText&quot;:&quot;(Davis et al., 2014)&quot;,&quot;manualOverrideText&quot;:&quot;&quot;},&quot;citationTag&quot;:&quot;MENDELEY_CITATION_v3_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&quot;},{&quot;citationID&quot;:&quot;MENDELEY_CITATION_5f170525-4219-4cdc-8a4c-d2be0501708b&quot;,&quot;citationItems&quot;:[{&quot;id&quot;:&quot;03956972-b1ff-3b10-898a-eefb496b3567&quot;,&quot;itemData&quot;:{&quot;type&quot;:&quot;report&quot;,&quot;id&quot;:&quot;03956972-b1ff-3b10-898a-eefb496b3567&quot;,&quot;title&quot;:&quot;Voluntary National Review Report on the Implementation of the 2030 Agenda for the Sustainable Development&quot;,&quot;author&quot;:[{&quot;family&quot;:&quot;Republic of Ghana&quot;,&quot;given&quot;:&quot;&quot;,&quot;parse-names&quot;:false,&quot;dropping-particle&quot;:&quot;&quot;,&quot;non-dropping-particle&quot;:&quot;&quot;}],&quot;accessed&quot;:{&quot;date-parts&quot;:[[2021,12,1]]},&quot;URL&quot;:&quot;https://ghana.un.org/en/19155-ghana-voluntary-national-review-report-implementation-2030-agenda-sustainable-development&quot;,&quot;issued&quot;:{&quot;date-parts&quot;:[[2019]]}},&quot;isTemporary&quot;:false}],&quot;properties&quot;:{&quot;noteIndex&quot;:0},&quot;isEdited&quot;:false,&quot;manualOverride&quot;:{&quot;isManuallyOverridden&quot;:true,&quot;citeprocText&quot;:&quot;(Republic of Ghana, 2019b)&quot;,&quot;manualOverrideText&quot;:&quot;(2019 &quot;},&quot;citationTag&quot;:&quot;MENDELEY_CITATION_v3_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&quot;},{&quot;citationID&quot;:&quot;MENDELEY_CITATION_8361a04f-68cf-4dd1-97a2-769767cb4ea7&quot;,&quot;properties&quot;:{&quot;noteIndex&quot;:0},&quot;isEdited&quot;:false,&quot;manualOverride&quot;:{&quot;isManuallyOverridden&quot;:true,&quot;citeprocText&quot;:&quot;(National Development Planning Commission, 2019)&quot;,&quot;manualOverrideText&quot;:&quot;(2019)&quot;},&quot;citationTag&quot;:&quot;MENDELEY_CITATION_v3_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&quot;,&quot;citationItems&quot;:[{&quot;id&quot;:&quot;2fe62f87-1c19-38f6-86b1-95e6a8b2f845&quot;,&quot;itemData&quot;:{&quot;type&quot;:&quot;report&quot;,&quot;id&quot;:&quot;2fe62f87-1c19-38f6-86b1-95e6a8b2f845&quot;,&quot;title&quot;:&quot;GHANA: Voluntary National Review Report on the Implementation of the 2030 Agenda for Sustainable Development&quot;,&quot;author&quot;:[{&quot;family&quot;:&quot;National Development Planning Commission&quot;,&quot;given&quot;:&quot;&quot;,&quot;parse-names&quot;:false,&quot;dropping-particle&quot;:&quot;&quot;,&quot;non-dropping-particle&quot;:&quot;&quot;}],&quot;issued&quot;:{&quot;date-parts&quot;:[[2019]]},&quot;publisher-place&quot;:&quot;Accra&quot;},&quot;isTemporary&quot;:false}]},{&quot;citationID&quot;:&quot;MENDELEY_CITATION_44350644-6d3d-44a1-be7f-4d9551b8d29c&quot;,&quot;citationItems&quot;:[{&quot;id&quot;:&quot;03956972-b1ff-3b10-898a-eefb496b3567&quot;,&quot;itemData&quot;:{&quot;type&quot;:&quot;report&quot;,&quot;id&quot;:&quot;03956972-b1ff-3b10-898a-eefb496b3567&quot;,&quot;title&quot;:&quot;Voluntary National Review Report on the Implementation of the 2030 Agenda for the Sustainable Development&quot;,&quot;author&quot;:[{&quot;family&quot;:&quot;Republic of Ghana&quot;,&quot;given&quot;:&quot;&quot;,&quot;parse-names&quot;:false,&quot;dropping-particle&quot;:&quot;&quot;,&quot;non-dropping-particle&quot;:&quot;&quot;}],&quot;accessed&quot;:{&quot;date-parts&quot;:[[2021,12,1]]},&quot;URL&quot;:&quot;https://ghana.un.org/en/19155-ghana-voluntary-national-review-report-implementation-2030-agenda-sustainable-development&quot;,&quot;issued&quot;:{&quot;date-parts&quot;:[[2019]]}},&quot;isTemporary&quot;:false}],&quot;properties&quot;:{&quot;noteIndex&quot;:0},&quot;isEdited&quot;:false,&quot;manualOverride&quot;:{&quot;isManuallyOverridden&quot;:false,&quot;citeprocText&quot;:&quot;(Republic of Ghana, 2019b)&quot;,&quot;manualOverrideText&quot;:&quot;&quot;},&quot;citationTag&quot;:&quot;MENDELEY_CITATION_v3_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&quot;},{&quot;citationID&quot;:&quot;MENDELEY_CITATION_bc6da1ae-87df-4638-a292-bdf3bdf08189&quot;,&quot;citationItems&quot;:[{&quot;id&quot;:&quot;55f5909c-1ce8-3869-ba96-1baf756673af&quot;,&quot;itemData&quot;:{&quot;type&quot;:&quot;report&quot;,&quot;id&quot;:&quot;55f5909c-1ce8-3869-ba96-1baf756673af&quot;,&quot;title&quot;:&quot;National Social Protection Policy&quot;,&quot;author&quot;:[{&quot;family&quot;:&quot;Government of Ghana&quot;,&quot;given&quot;:&quot;&quot;,&quot;parse-names&quot;:false,&quot;dropping-particle&quot;:&quot;&quot;,&quot;non-dropping-particle&quot;:&quot;&quot;}],&quot;accessed&quot;:{&quot;date-parts&quot;:[[2021,12,1]]},&quot;URL&quot;:&quot;https://www.mogcsp.gov.gh/mdocs-posts/ghana-national-social-protection-policy/&quot;,&quot;issued&quot;:{&quot;date-parts&quot;:[[2015]]}},&quot;isTemporary&quot;:false}],&quot;properties&quot;:{&quot;noteIndex&quot;:0},&quot;isEdited&quot;:false,&quot;manualOverride&quot;:{&quot;isManuallyOverridden&quot;:true,&quot;citeprocText&quot;:&quot;(Government of Ghana, 2015b)&quot;,&quot;manualOverrideText&quot;:&quot;(Government of Ghana, 2015b, p. 18)&quot;},&quot;citationTag&quot;:&quot;MENDELEY_CITATION_v3_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&quot;},{&quot;citationID&quot;:&quot;MENDELEY_CITATION_aa9f3b09-8602-46fa-8af0-02780e908aab&quot;,&quot;citationItems&quot;:[{&quot;id&quot;:&quot;13ae5515-39fa-3cf4-addf-4924272aee04&quot;,&quot;itemData&quot;:{&quot;type&quot;:&quot;report&quot;,&quot;id&quot;:&quot;13ae5515-39fa-3cf4-addf-4924272aee04&quot;,&quot;title&quot;:&quot;National Employment Policy&quot;,&quot;author&quot;:[{&quot;family&quot;:&quot;Government of Ghana&quot;,&quot;given&quot;:&quot;&quot;,&quot;parse-names&quot;:false,&quot;dropping-particle&quot;:&quot;&quot;,&quot;non-dropping-particle&quot;:&quot;&quot;}],&quot;accessed&quot;:{&quot;date-parts&quot;:[[2021,12,1]]},&quot;URL&quot;:&quot;https://www.ilo.org/wcmsp5/groups/public/---africa/---ro-abidjan/---ilo-abuja/documents/publication/wcms_373458.pdf&quot;,&quot;issued&quot;:{&quot;date-parts&quot;:[[2014]]}},&quot;isTemporary&quot;:false}],&quot;properties&quot;:{&quot;noteIndex&quot;:0},&quot;isEdited&quot;:false,&quot;manualOverride&quot;:{&quot;isManuallyOverridden&quot;:false,&quot;citeprocText&quot;:&quot;(Government of Ghana, 2014)&quot;,&quot;manualOverrideText&quot;:&quot;&quot;},&quot;citationTag&quot;:&quot;MENDELEY_CITATION_v3_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&quot;},{&quot;citationID&quot;:&quot;MENDELEY_CITATION_e40bc2fe-739d-47b6-8258-847e1304c944&quot;,&quot;citationItems&quot;:[{&quot;id&quot;:&quot;11e7514e-4ed4-3faa-843c-5fb30ffc7668&quot;,&quot;itemData&quot;:{&quot;type&quot;:&quot;report&quot;,&quot;id&quot;:&quot;11e7514e-4ed4-3faa-843c-5fb30ffc7668&quot;,&quot;title&quot;:&quot;National Gender Policy&quot;,&quot;author&quot;:[{&quot;family&quot;:&quot;Government of Ghana&quot;,&quot;given&quot;:&quot;&quot;,&quot;parse-names&quot;:false,&quot;dropping-particle&quot;:&quot;&quot;,&quot;non-dropping-particle&quot;:&quot;&quot;}],&quot;accessed&quot;:{&quot;date-parts&quot;:[[2021,12,1]]},&quot;URL&quot;:&quot;https://www.mogcsp.gov.gh/mdocs-posts/national-gender-policy/#:~:text=It%20is%20our%20belief%20that,at%20all%20levels%20and%20sectors.&quot;,&quot;issued&quot;:{&quot;date-parts&quot;:[[2015]]}},&quot;isTemporary&quot;:false}],&quot;properties&quot;:{&quot;noteIndex&quot;:0},&quot;isEdited&quot;:false,&quot;manualOverride&quot;:{&quot;isManuallyOverridden&quot;:false,&quot;citeprocText&quot;:&quot;(Government of Ghana, 2015a)&quot;,&quot;manualOverrideText&quot;:&quot;&quot;},&quot;citationTag&quot;:&quot;MENDELEY_CITATION_v3_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&quot;},{&quot;citationID&quot;:&quot;MENDELEY_CITATION_5995fc5b-8a8f-479d-be94-adb4660e0be6&quot;,&quot;citationItems&quot;:[{&quot;id&quot;:&quot;655a787e-888f-33aa-b187-aca49b863e79&quot;,&quot;itemData&quot;:{&quot;type&quot;:&quot;report&quot;,&quot;id&quot;:&quot;655a787e-888f-33aa-b187-aca49b863e79&quot;,&quot;title&quot;:&quot;The Coordinated Programme of Economic and Social Development Policies 2017-2024&quot;,&quot;author&quot;:[{&quot;family&quot;:&quot;Republic of Ghana&quot;,&quot;given&quot;:&quot;&quot;,&quot;parse-names&quot;:false,&quot;dropping-particle&quot;:&quot;&quot;,&quot;non-dropping-particle&quot;:&quot;&quot;}],&quot;accessed&quot;:{&quot;date-parts&quot;:[[2021,12,1]]},&quot;URL&quot;:&quot;https://www.worldcat.org/title/coordinated-programme-of-economic-and-social-development-policies-2017-2024-an-agenda-for-jobs-creating-prosperity-and-equal-opportunity-for-all/oclc/1032613577&quot;,&quot;issued&quot;:{&quot;date-parts&quot;:[[2017]]}},&quot;isTemporary&quot;:false}],&quot;properties&quot;:{&quot;noteIndex&quot;:0},&quot;isEdited&quot;:false,&quot;manualOverride&quot;:{&quot;isManuallyOverridden&quot;:true,&quot;citeprocText&quot;:&quot;(Republic of Ghana, 2017)&quot;,&quot;manualOverrideText&quot;:&quot;(2017)&quot;},&quot;citationTag&quot;:&quot;MENDELEY_CITATION_v3_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&quot;},{&quot;citationID&quot;:&quot;MENDELEY_CITATION_d500e4dd-ebf9-459a-b370-a4528cef4409&quot;,&quot;citationItems&quot;:[{&quot;id&quot;:&quot;655a787e-888f-33aa-b187-aca49b863e79&quot;,&quot;itemData&quot;:{&quot;type&quot;:&quot;report&quot;,&quot;id&quot;:&quot;655a787e-888f-33aa-b187-aca49b863e79&quot;,&quot;title&quot;:&quot;The Coordinated Programme of Economic and Social Development Policies 2017-2024&quot;,&quot;author&quot;:[{&quot;family&quot;:&quot;Republic of Ghana&quot;,&quot;given&quot;:&quot;&quot;,&quot;parse-names&quot;:false,&quot;dropping-particle&quot;:&quot;&quot;,&quot;non-dropping-particle&quot;:&quot;&quot;}],&quot;accessed&quot;:{&quot;date-parts&quot;:[[2021,12,1]]},&quot;URL&quot;:&quot;https://www.worldcat.org/title/coordinated-programme-of-economic-and-social-development-policies-2017-2024-an-agenda-for-jobs-creating-prosperity-and-equal-opportunity-for-all/oclc/1032613577&quot;,&quot;issued&quot;:{&quot;date-parts&quot;:[[2017]]}},&quot;isTemporary&quot;:false}],&quot;properties&quot;:{&quot;noteIndex&quot;:0},&quot;isEdited&quot;:false,&quot;manualOverride&quot;:{&quot;isManuallyOverridden&quot;:false,&quot;citeprocText&quot;:&quot;(Republic of Ghana, 2017)&quot;,&quot;manualOverrideText&quot;:&quot;&quot;},&quot;citationTag&quot;:&quot;MENDELEY_CITATION_v3_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&quot;},{&quot;citationID&quot;:&quot;MENDELEY_CITATION_a8d8c3fd-e275-48d8-ae11-d6e21c86387a&quot;,&quot;citationItems&quot;:[{&quot;id&quot;:&quot;655a787e-888f-33aa-b187-aca49b863e79&quot;,&quot;itemData&quot;:{&quot;type&quot;:&quot;report&quot;,&quot;id&quot;:&quot;655a787e-888f-33aa-b187-aca49b863e79&quot;,&quot;title&quot;:&quot;The Coordinated Programme of Economic and Social Development Policies 2017-2024&quot;,&quot;author&quot;:[{&quot;family&quot;:&quot;Republic of Ghana&quot;,&quot;given&quot;:&quot;&quot;,&quot;parse-names&quot;:false,&quot;dropping-particle&quot;:&quot;&quot;,&quot;non-dropping-particle&quot;:&quot;&quot;}],&quot;accessed&quot;:{&quot;date-parts&quot;:[[2021,12,1]]},&quot;URL&quot;:&quot;https://www.worldcat.org/title/coordinated-programme-of-economic-and-social-development-policies-2017-2024-an-agenda-for-jobs-creating-prosperity-and-equal-opportunity-for-all/oclc/1032613577&quot;,&quot;issued&quot;:{&quot;date-parts&quot;:[[2017]]}},&quot;isTemporary&quot;:false}],&quot;properties&quot;:{&quot;noteIndex&quot;:0},&quot;isEdited&quot;:false,&quot;manualOverride&quot;:{&quot;isManuallyOverridden&quot;:false,&quot;citeprocText&quot;:&quot;(Republic of Ghana, 2017)&quot;,&quot;manualOverrideText&quot;:&quot;&quot;},&quot;citationTag&quot;:&quot;MENDELEY_CITATION_v3_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&quot;},{&quot;citationID&quot;:&quot;MENDELEY_CITATION_3aa97bca-cdcf-4050-9a0f-9d5610ce9b40&quot;,&quot;citationItems&quot;:[{&quot;id&quot;:&quot;38c7b22a-1a9c-379d-b9f9-02ca6bdd6224&quot;,&quot;itemData&quot;:{&quot;type&quot;:&quot;report&quot;,&quot;id&quot;:&quot;38c7b22a-1a9c-379d-b9f9-02ca6bdd6224&quot;,&quot;title&quot;:&quot;Ghana Beyond Aid Charter and Strategy Document&quot;,&quot;author&quot;:[{&quot;family&quot;:&quot;Republic of Ghana&quot;,&quot;given&quot;:&quot;&quot;,&quot;parse-names&quot;:false,&quot;dropping-particle&quot;:&quot;&quot;,&quot;non-dropping-particle&quot;:&quot;&quot;}],&quot;accessed&quot;:{&quot;date-parts&quot;:[[2021,12,1]]},&quot;URL&quot;:&quot;http://osm.gov.gh/assets/downloads/ghana_beyond_aid_charter.pdf&quot;,&quot;issued&quot;:{&quot;date-parts&quot;:[[2019]]}},&quot;isTemporary&quot;:false}],&quot;properties&quot;:{&quot;noteIndex&quot;:0},&quot;isEdited&quot;:false,&quot;manualOverride&quot;:{&quot;isManuallyOverridden&quot;:true,&quot;citeprocText&quot;:&quot;(Republic of Ghana, 2019a)&quot;,&quot;manualOverrideText&quot;:&quot;(2019a, p. 26)&quot;},&quot;citationTag&quot;:&quot;MENDELEY_CITATION_v3_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&quot;},{&quot;citationID&quot;:&quot;MENDELEY_CITATION_54eb0885-cea1-49f6-a8cd-84db6953d5e1&quot;,&quot;citationItems&quot;:[{&quot;id&quot;:&quot;55f5909c-1ce8-3869-ba96-1baf756673af&quot;,&quot;itemData&quot;:{&quot;type&quot;:&quot;report&quot;,&quot;id&quot;:&quot;55f5909c-1ce8-3869-ba96-1baf756673af&quot;,&quot;title&quot;:&quot;National Social Protection Policy&quot;,&quot;author&quot;:[{&quot;family&quot;:&quot;Government of Ghana&quot;,&quot;given&quot;:&quot;&quot;,&quot;parse-names&quot;:false,&quot;dropping-particle&quot;:&quot;&quot;,&quot;non-dropping-particle&quot;:&quot;&quot;}],&quot;accessed&quot;:{&quot;date-parts&quot;:[[2021,12,1]]},&quot;URL&quot;:&quot;https://www.mogcsp.gov.gh/mdocs-posts/ghana-national-social-protection-policy/&quot;,&quot;issued&quot;:{&quot;date-parts&quot;:[[2015]]}},&quot;isTemporary&quot;:false}],&quot;properties&quot;:{&quot;noteIndex&quot;:0},&quot;isEdited&quot;:false,&quot;manualOverride&quot;:{&quot;isManuallyOverridden&quot;:true,&quot;citeprocText&quot;:&quot;(Government of Ghana, 2015b)&quot;,&quot;manualOverrideText&quot;:&quot;(2015b, p. 8)&quot;},&quot;citationTag&quot;:&quot;MENDELEY_CITATION_v3_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&quot;},{&quot;citationID&quot;:&quot;MENDELEY_CITATION_2d619de5-97d8-4b3b-b825-d39284b198c0&quot;,&quot;citationItems&quot;:[{&quot;id&quot;:&quot;55f5909c-1ce8-3869-ba96-1baf756673af&quot;,&quot;itemData&quot;:{&quot;type&quot;:&quot;report&quot;,&quot;id&quot;:&quot;55f5909c-1ce8-3869-ba96-1baf756673af&quot;,&quot;title&quot;:&quot;National Social Protection Policy&quot;,&quot;author&quot;:[{&quot;family&quot;:&quot;Government of Ghana&quot;,&quot;given&quot;:&quot;&quot;,&quot;parse-names&quot;:false,&quot;dropping-particle&quot;:&quot;&quot;,&quot;non-dropping-particle&quot;:&quot;&quot;}],&quot;accessed&quot;:{&quot;date-parts&quot;:[[2021,12,1]]},&quot;URL&quot;:&quot;https://www.mogcsp.gov.gh/mdocs-posts/ghana-national-social-protection-policy/&quot;,&quot;issued&quot;:{&quot;date-parts&quot;:[[2015]]}},&quot;isTemporary&quot;:false}],&quot;properties&quot;:{&quot;noteIndex&quot;:0},&quot;isEdited&quot;:false,&quot;manualOverride&quot;:{&quot;isManuallyOverridden&quot;:true,&quot;citeprocText&quot;:&quot;(Government of Ghana, 2015b)&quot;,&quot;manualOverrideText&quot;:&quot;Government of Ghana, 2015b, p. 19).&quot;},&quot;citationTag&quot;:&quot;MENDELEY_CITATION_v3_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&quot;},{&quot;citationID&quot;:&quot;MENDELEY_CITATION_987a4478-8e0a-460b-8ff8-e4f92f17c2e6&quot;,&quot;citationItems&quot;:[{&quot;id&quot;:&quot;7616ba4f-ec4a-3d0f-9850-806216858cd7&quot;,&quot;itemData&quot;:{&quot;type&quot;:&quot;report&quot;,&quot;id&quot;:&quot;7616ba4f-ec4a-3d0f-9850-806216858cd7&quot;,&quot;title&quot;:&quot;Citizens' Knowledge and Perceptions about Poverty, Vulnerability Rights and Social Protection in Ghana: A Baseline Study Report Commissioned&quot;,&quot;author&quot;:[{&quot;family&quot;:&quot;Abdulai&quot;,&quot;given&quot;:&quot;Abdul-Gafaru&quot;,&quot;parse-names&quot;:false,&quot;dropping-particle&quot;:&quot;&quot;,&quot;non-dropping-particle&quot;:&quot;&quot;},{&quot;family&quot;:&quot;Salifu&quot;,&quot;given&quot;:&quot;Adam&quot;,&quot;parse-names&quot;:false,&quot;dropping-particle&quot;:&quot;&quot;,&quot;non-dropping-particle&quot;:&quot;&quot;},{&quot;family&quot;:&quot;Ibrahim&quot;,&quot;given&quot;:&quot;Mohammed&quot;,&quot;parse-names&quot;:false,&quot;dropping-particle&quot;:&quot;&quot;,&quot;non-dropping-particle&quot;:&quot;&quot;},{&quot;family&quot;:&quot;Nunyonameh&quot;,&quot;given&quot;:&quot;Collins&quot;,&quot;parse-names&quot;:false,&quot;dropping-particle&quot;:&quot;&quot;,&quot;non-dropping-particle&quot;:&quot;&quot;},{&quot;family&quot;:&quot;Dankyi&quot;,&quot;given&quot;:&quot;Ernestina&quot;,&quot;parse-names&quot;:false,&quot;dropping-particle&quot;:&quot;&quot;,&quot;non-dropping-particle&quot;:&quot;&quot;},{&quot;family&quot;:&quot;Asuming&quot;,&quot;given&quot;:&quot;Patrick&quot;,&quot;parse-names&quot;:false,&quot;dropping-particle&quot;:&quot;&quot;,&quot;non-dropping-particle&quot;:&quot;&quot;}],&quot;accessed&quot;:{&quot;date-parts&quot;:[[2021,12,1]]},&quot;URL&quot;:&quot;https://www.unicef.org/ghana/reports/citizens-knowledge-and-perceptions-about-poverty-vulnerability-rights-and-social-protection&quot;,&quot;issued&quot;:{&quot;date-parts&quot;:[[2021]]}},&quot;isTemporary&quot;:false}],&quot;properties&quot;:{&quot;noteIndex&quot;:0},&quot;isEdited&quot;:false,&quot;manualOverride&quot;:{&quot;isManuallyOverridden&quot;:false,&quot;citeprocText&quot;:&quot;(Abdulai et al., 2021)&quot;,&quot;manualOverrideText&quot;:&quot;&quot;},&quot;citationTag&quot;:&quot;MENDELEY_CITATION_v3_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&quot;},{&quot;citationID&quot;:&quot;MENDELEY_CITATION_ab049607-2923-4b3a-b0f0-9ce84522d35d&quot;,&quot;citationItems&quot;:[{&quot;id&quot;:&quot;6543d28b-7370-3b77-a863-d640ab3c9422&quot;,&quot;itemData&quot;:{&quot;type&quot;:&quot;article-journal&quot;,&quot;id&quot;:&quot;6543d28b-7370-3b77-a863-d640ab3c9422&quot;,&quot;title&quot;:&quot;Policy Responses to fight covid-19; the case of Ghana&quot;,&quot;author&quot;:[{&quot;family&quot;:&quot;Antwi-Boasiako&quot;,&quot;given&quot;:&quot;Joseph&quot;,&quot;parse-names&quot;:false,&quot;dropping-particle&quot;:&quot;&quot;,&quot;non-dropping-particle&quot;:&quot;&quot;},{&quot;family&quot;:&quot;Abbey&quot;,&quot;given&quot;:&quot;Charles Othniel A.&quot;,&quot;parse-names&quot;:false,&quot;dropping-particle&quot;:&quot;&quot;,&quot;non-dropping-particle&quot;:&quot;&quot;},{&quot;family&quot;:&quot;Ogbey&quot;,&quot;given&quot;:&quot;Patrick&quot;,&quot;parse-names&quot;:false,&quot;dropping-particle&quot;:&quot;&quot;,&quot;non-dropping-particle&quot;:&quot;&quot;},{&quot;family&quot;:&quot;Ofori&quot;,&quot;given&quot;:&quot;Rita Amponsah&quot;,&quot;parse-names&quot;:false,&quot;dropping-particle&quot;:&quot;&quot;,&quot;non-dropping-particle&quot;:&quot;&quot;}],&quot;container-title&quot;:&quot;Revista de Administracao Publica&quot;,&quot;accessed&quot;:{&quot;date-parts&quot;:[[2021,12,1]]},&quot;DOI&quot;:&quot;10.1590/0034-761220200507&quot;,&quot;ISSN&quot;:&quot;19823134&quot;,&quot;URL&quot;:&quot;https://www.scielo.br/j/rap/a/vmHQHYxm9ptNV8QG7rxC8Ln/?lang=en&quot;,&quot;issued&quot;:{&quot;date-parts&quot;:[[2021]]},&quot;page&quot;:&quot;122-139&quot;,&quot;publisher&quot;:&quot;Fundacao Getulio Vargas&quot;,&quot;issue&quot;:&quot;1&quot;,&quot;volume&quot;:&quot;55&quot;},&quot;isTemporary&quot;:false}],&quot;properties&quot;:{&quot;noteIndex&quot;:0},&quot;isEdited&quot;:false,&quot;manualOverride&quot;:{&quot;isManuallyOverridden&quot;:false,&quot;citeprocText&quot;:&quot;(Antwi-Boasiako et al., 2021)&quot;,&quot;manualOverrideText&quot;:&quot;&quot;},&quot;citationTag&quot;:&quot;MENDELEY_CITATION_v3_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&quot;},{&quot;citationID&quot;:&quot;MENDELEY_CITATION_4cbda943-be2a-4945-a733-026432778365&quot;,&quot;citationItems&quot;:[{&quot;id&quot;:&quot;b839d8b2-31a3-30b8-a4d6-2cabb6e83b18&quot;,&quot;itemData&quot;:{&quot;type&quot;:&quot;report&quot;,&quot;id&quot;:&quot;b839d8b2-31a3-30b8-a4d6-2cabb6e83b18&quot;,&quot;title&quot;:&quot;No Longer Poor: Ghana's New Income Status and Implications of Graduation from IDA&quot;,&quot;author&quot;:[{&quot;family&quot;:&quot;Majerowicz&quot;,&quot;given&quot;:&quot;Stephanie&quot;,&quot;parse-names&quot;:false,&quot;dropping-particle&quot;:&quot;&quot;,&quot;non-dropping-particle&quot;:&quot;&quot;},{&quot;family&quot;:&quot;Mos&quot;,&quot;given&quot;:&quot;s Todd&quot;,&quot;parse-names&quot;:false,&quot;dropping-particle&quot;:&quot;&quot;,&quot;non-dropping-particle&quot;:&quot;&quot;}],&quot;URL&quot;:&quot;www.cgdev.orghttp://www.cgdev.org/content/publications/detail/1426321www.cgdev.org&quot;,&quot;issued&quot;:{&quot;date-parts&quot;:[[2012]]},&quot;abstract&quot;:&quot;Ghana's largest and most important creditor for the past three decades has been the International Development Association (IDA), the soft loan window of the World Bank. That will soon come to an end. The combination of Ghana's rapid economic growth and the recent GDP rebasing exercise means that Ghana suddenly finds itself above the income limit for IDA eligibility. Formal graduation is imminent and comes with significant implications for access to concessional finance, debt, and relations with other creditors. This paper considers the specific questions related to Ghana's relationship with the World Bank, as well as the broader questions about the country's new middle-income status.&quot;},&quot;isTemporary&quot;:false}],&quot;properties&quot;:{&quot;noteIndex&quot;:0},&quot;isEdited&quot;:false,&quot;manualOverride&quot;:{&quot;isManuallyOverridden&quot;:false,&quot;citeprocText&quot;:&quot;(Majerowicz &amp;#38; Mos, 2012)&quot;,&quot;manualOverrideText&quot;:&quot;&quot;},&quot;citationTag&quot;:&quot;MENDELEY_CITATION_v3_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&quot;},{&quot;citationID&quot;:&quot;MENDELEY_CITATION_cb33e063-81a7-4f51-9cb0-e0065b30008b&quot;,&quot;properties&quot;:{&quot;noteIndex&quot;:0},&quot;isEdited&quot;:false,&quot;manualOverride&quot;:{&quot;isManuallyOverridden&quot;:true,&quot;citeprocText&quot;:&quot;(ILO, 2017; Klasen et al., 2016; UNRISD, 2010)&quot;,&quot;manualOverrideText&quot;:&quot;(UNRISD 2010; Klasen et al. 2016; ILO 2017)&quot;},&quot;citationItems&quot;:[{&quot;id&quot;:&quot;c699b03a-3a07-3dcd-bf50-ba5814459d75&quot;,&quot;itemData&quot;:{&quot;type&quot;:&quot;report&quot;,&quot;id&quot;:&quot;c699b03a-3a07-3dcd-bf50-ba5814459d75&quot;,&quot;title&quot;:&quot;Combating Poverty and Inequality. Structural Change, Social Policies and Politics&quot;,&quot;author&quot;:[{&quot;family&quot;:&quot;UNRISD&quot;,&quot;given&quot;:&quot;&quot;,&quot;parse-names&quot;:false,&quot;dropping-particle&quot;:&quot;&quot;,&quot;non-dropping-particle&quot;:&quot;&quot;}],&quot;issued&quot;:{&quot;date-parts&quot;:[[2010]]},&quot;publisher-place&quot;:&quot;Geneva&quot;},&quot;isTemporary&quot;:false},{&quot;id&quot;:&quot;cc72847b-4427-37b5-81d7-ab68799987c9&quot;,&quot;itemData&quot;:{&quot;type&quot;:&quot;article-journal&quot;,&quot;id&quot;:&quot;cc72847b-4427-37b5-81d7-ab68799987c9&quot;,&quot;title&quot;:&quot;Inequality - worldwide trends and current debates&quot;,&quot;author&quot;:[{&quot;family&quot;:&quot;Klasen&quot;,&quot;given&quot;:&quot;Stephan&quot;,&quot;parse-names&quot;:false,&quot;dropping-particle&quot;:&quot;&quot;,&quot;non-dropping-particle&quot;:&quot;&quot;},{&quot;family&quot;:&quot;Scholl&quot;,&quot;given&quot;:&quot;Nathalie&quot;,&quot;parse-names&quot;:false,&quot;dropping-particle&quot;:&quot;&quot;,&quot;non-dropping-particle&quot;:&quot;&quot;},{&quot;family&quot;:&quot;Lahoti&quot;,&quot;given&quot;:&quot;Rahul&quot;,&quot;parse-names&quot;:false,&quot;dropping-particle&quot;:&quot;&quot;,&quot;non-dropping-particle&quot;:&quot;&quot;},{&quot;family&quot;:&quot;Ochmann&quot;,&quot;given&quot;:&quot;Sophie&quot;,&quot;parse-names&quot;:false,&quot;dropping-particle&quot;:&quot;&quot;,&quot;non-dropping-particle&quot;:&quot;&quot;},{&quot;family&quot;:&quot;Vollmer&quot;,&quot;given&quot;:&quot;Sebastian&quot;,&quot;parse-names&quot;:false,&quot;dropping-particle&quot;:&quot;&quot;,&quot;non-dropping-particle&quot;:&quot;&quot;}],&quot;container-title&quot;:&quot;Courant Research Centre: Poverty, Equity and Growth. Discussion Papers No. 209&quot;,&quot;issued&quot;:{&quot;date-parts&quot;:[[2016]]}},&quot;isTemporary&quot;:false},{&quot;id&quot;:&quot;7ee3b197-4119-3324-a3b2-11a42ac1f1f1&quot;,&quot;itemData&quot;:{&quot;type&quot;:&quot;report&quot;,&quot;id&quot;:&quot;7ee3b197-4119-3324-a3b2-11a42ac1f1f1&quot;,&quot;title&quot;:&quot;World Social Protection Report 2017-19. Universal Social Protection to Achieve the Sustainable Development Goals.&quot;,&quot;author&quot;:[{&quot;family&quot;:&quot;ILO&quot;,&quot;given&quot;:&quot;&quot;,&quot;parse-names&quot;:false,&quot;dropping-particle&quot;:&quot;&quot;,&quot;non-dropping-particle&quot;:&quot;&quot;}],&quot;issued&quot;:{&quot;date-parts&quot;:[[2017]]},&quot;publisher-place&quot;:&quot;Geneva&quot;},&quot;isTemporary&quot;:false}],&quot;citationTag&quot;:&quot;MENDELEY_CITATION_v3_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&quot;},{&quot;citationID&quot;:&quot;MENDELEY_CITATION_3fc49fee-917c-4ff9-a5fb-a451918b43c9&quot;,&quot;properties&quot;:{&quot;noteIndex&quot;:0},&quot;isEdited&quot;:false,&quot;manualOverride&quot;:{&quot;isManuallyOverridden&quot;:true,&quot;citeprocText&quot;:&quot;(Akitoby, 2014)&quot;,&quot;manualOverrideText&quot;:&quot;Akitoby (2014)&quot;},&quot;citationItems&quot;:[{&quot;id&quot;:&quot;74f7fecb-a670-3129-85ee-eb14a92e0e2d&quot;,&quot;itemData&quot;:{&quot;type&quot;:&quot;article&quot;,&quot;id&quot;:&quot;74f7fecb-a670-3129-85ee-eb14a92e0e2d&quot;,&quot;title&quot;:&quot;Five country cases illustrate how best to improve tax collection&quot;,&quot;author&quot;:[{&quot;family&quot;:&quot;Akitoby&quot;,&quot;given&quot;:&quot;Bernardin&quot;,&quot;parse-names&quot;:false,&quot;dropping-particle&quot;:&quot;&quot;,&quot;non-dropping-particle&quot;:&quot;&quot;}],&quot;container-title&quot;:&quot;Finance &amp; Development&quot;,&quot;DOI&quot;:&quot;https://doi.org/10.5089/9781484343418.022&quot;,&quot;issued&quot;:{&quot;date-parts&quot;:[[2014]]},&quot;abstract&quot;:&quot;A typical developing economy collects just 15 percent of GDP in taxes, compared with the 40 percent collected by a typical advanced economy. The ability to collect taxes is central to a country's capacity to finance social services such as health and education, critical infrastructure such as electricity and roads, and other public goods. Considering the vast needs of poor countries, this low level of tax collection is putting economic development at risk. How can policymakers tackle this challenge? A look at successful reforms between 2004 and 2015 in five low-income and emerging market economies-which achieved some of the largest revenue gains after tax reform-offers some answers. The experiences of this diverse set of countries-Cambodia, Georgia, Guyana, Liberia, and Ukraine-show that, regardless of the constraints they face, countries can strengthen their capacity to collect tax revenue by pursuing reform strategies with certain distinct features. We focus here mainly on Georgia. By analyzing what worked in that country we can draw lessons for what strategies other countries should consider. Georgia offers a striking example of successful tax revenue reform. Following the collapse of the Soviet 18 FINANCE &amp; DEVELOPMENT | March 2018 RAISING REVENUE Tbilisi, Georgia, where reform helped broaden the tax base.&quot;,&quot;publisher&quot;:&quot;International Monetary Fund&quot;,&quot;issue&quot;:&quot;001&quot;,&quot;volume&quot;:&quot;0055&quot;},&quot;isTemporary&quot;:false}],&quot;citationTag&quot;:&quot;MENDELEY_CITATION_v3_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&quot;},{&quot;citationID&quot;:&quot;MENDELEY_CITATION_9232d2bf-2dc7-4ef4-8070-90b87623c46f&quot;,&quot;properties&quot;:{&quot;noteIndex&quot;:0},&quot;isEdited&quot;:false,&quot;manualOverride&quot;:{&quot;isManuallyOverridden&quot;:false,&quot;citeprocText&quot;:&quot;(Stewart &amp;#38; Yermo, 2009)&quot;,&quot;manualOverrideText&quot;:&quot;&quot;},&quot;citationItems&quot;:[{&quot;id&quot;:&quot;5d67aa14-4858-3780-90e3-cbb37601b2ea&quot;,&quot;itemData&quot;:{&quot;type&quot;:&quot;article&quot;,&quot;id&quot;:&quot;5d67aa14-4858-3780-90e3-cbb37601b2ea&quot;,&quot;title&quot;:&quot;Pensions in Africa&quot;,&quot;author&quot;:[{&quot;family&quot;:&quot;Stewart&quot;,&quot;given&quot;:&quot;Fiona&quot;,&quot;parse-names&quot;:false,&quot;dropping-particle&quot;:&quot;&quot;,&quot;non-dropping-particle&quot;:&quot;&quot;},{&quot;family&quot;:&quot;Yermo&quot;,&quot;given&quot;:&quot;Juan&quot;,&quot;parse-names&quot;:false,&quot;dropping-particle&quot;:&quot;&quot;,&quot;non-dropping-particle&quot;:&quot;&quot;}],&quot;container-title&quot;:&quot;OECD Working Papers on Insurance and Private Pensions&quot;,&quot;issued&quot;:{&quot;date-parts&quot;:[[2009]]},&quot;publisher-place&quot;:&quot;Paris&quot;,&quot;publisher&quot;:&quot;OECD Publishing&quot;,&quot;volume&quot;:&quot;N.30&quot;},&quot;isTemporary&quot;:false}],&quot;citationTag&quot;:&quot;MENDELEY_CITATION_v3_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&quot;},{&quot;citationID&quot;:&quot;MENDELEY_CITATION_dd09f9ea-1cd5-4c1d-921c-c85240d61df4&quot;,&quot;citationItems&quot;:[{&quot;id&quot;:&quot;72c5db0d-4795-3fd7-8521-d89ad98c2b2e&quot;,&quot;itemData&quot;:{&quot;type&quot;:&quot;webpage&quot;,&quot;id&quot;:&quot;72c5db0d-4795-3fd7-8521-d89ad98c2b2e&quot;,&quot;title&quot;:&quot;World Bank Country and Lending Groups – World Bank Data Help Desk&quot;,&quot;author&quot;:[{&quot;family&quot;:&quot;World Bank&quot;,&quot;given&quot;:&quot;&quot;,&quot;parse-names&quot;:false,&quot;dropping-particle&quot;:&quot;&quot;,&quot;non-dropping-particle&quot;:&quot;&quot;}],&quot;accessed&quot;:{&quot;date-parts&quot;:[[2021,9,21]]},&quot;URL&quot;:&quot;https://datahelpdesk.worldbank.org/knowledgebase/articles/906519-world-bank-country-and-lending-groups&quot;},&quot;isTemporary&quot;:false}],&quot;properties&quot;:{&quot;noteIndex&quot;:0},&quot;isEdited&quot;:false,&quot;manualOverride&quot;:{&quot;isManuallyOverridden&quot;:false,&quot;citeprocText&quot;:&quot;(World Bank, n.d.)&quot;,&quot;manualOverrideText&quot;:&quot;&quot;},&quot;citationTag&quot;:&quot;MENDELEY_CITATION_v3_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&quot;},{&quot;citationID&quot;:&quot;MENDELEY_CITATION_4f7dd17c-e674-417c-9ae8-507a49479334&quot;,&quot;citationItems&quot;:[{&quot;id&quot;:&quot;7a4032ad-f013-3c80-9dab-f9e876be0198&quot;,&quot;itemData&quot;:{&quot;type&quot;:&quot;report&quot;,&quot;id&quot;:&quot;7a4032ad-f013-3c80-9dab-f9e876be0198&quot;,&quot;title&quot;:&quot;Systematic Country Diagnostic (SCD): Priorities for ending pverty and boosting shared prosperity&quot;,&quot;author&quot;:[{&quot;family&quot;:&quot;World Bank&quot;,&quot;given&quot;:&quot;&quot;,&quot;parse-names&quot;:false,&quot;dropping-particle&quot;:&quot;&quot;,&quot;non-dropping-particle&quot;:&quot;&quot;}],&quot;issued&quot;:{&quot;date-parts&quot;:[[2018]]},&quot;issue&quot;:&quot;132010&quot;},&quot;isTemporary&quot;:false},{&quot;id&quot;:&quot;e02940f0-60d0-3f11-9e7c-02852a2d928c&quot;,&quot;itemData&quot;:{&quot;type&quot;:&quot;webpage&quot;,&quot;id&quot;:&quot;e02940f0-60d0-3f11-9e7c-02852a2d928c&quot;,&quot;title&quot;:&quot;World Bank Blogs&quot;,&quot;author&quot;:[{&quot;family&quot;:&quot;Geiger&quot;,&quot;given&quot;:&quot;Michael&quot;,&quot;parse-names&quot;:false,&quot;dropping-particle&quot;:&quot;&quot;,&quot;non-dropping-particle&quot;:&quot;&quot;},{&quot;family&quot;:&quot;Mendes&quot;,&quot;given&quot;:&quot;Arthur&quot;,&quot;parse-names&quot;:false,&quot;dropping-particle&quot;:&quot;&quot;,&quot;non-dropping-particle&quot;:&quot;&quot;}],&quot;container-title&quot;:&quot;Will procyclicality override Ghana’s new fiscal responsibility law?&quot;,&quot;accessed&quot;:{&quot;date-parts&quot;:[[2021,10,28]]},&quot;URL&quot;:&quot;https://blogs.worldbank.org/africacan/will-procyclicality-override-ghanas-new-fiscal-responsibility-law&quot;,&quot;issued&quot;:{&quot;date-parts&quot;:[[2019,3,26]]}},&quot;isTemporary&quot;:false}],&quot;properties&quot;:{&quot;noteIndex&quot;:0},&quot;isEdited&quot;:false,&quot;manualOverride&quot;:{&quot;isManuallyOverridden&quot;:false,&quot;citeprocText&quot;:&quot;(Geiger &amp;#38; Mendes, 2019; World Bank, 2018)&quot;,&quot;manualOverrideText&quot;:&quot;&quot;},&quot;citationTag&quot;:&quot;MENDELEY_CITATION_v3_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&quot;},{&quot;citationID&quot;:&quot;MENDELEY_CITATION_b4332531-f346-43b1-b5a7-57b4cbc0b3f8&quot;,&quot;citationItems&quot;:[{&quot;id&quot;:&quot;2769589b-9f9f-3fa8-a66b-2e2b64f3a6fa&quot;,&quot;itemData&quot;:{&quot;type&quot;:&quot;webpage&quot;,&quot;id&quot;:&quot;2769589b-9f9f-3fa8-a66b-2e2b64f3a6fa&quot;,&quot;title&quot;:&quot;We can End Poverty - Millennium Development Goals and Beyond 2015&quot;,&quot;author&quot;:[{&quot;family&quot;:&quot;UN&quot;,&quot;given&quot;:&quot;&quot;,&quot;parse-names&quot;:false,&quot;dropping-particle&quot;:&quot;&quot;,&quot;non-dropping-particle&quot;:&quot;&quot;}],&quot;accessed&quot;:{&quot;date-parts&quot;:[[2021,11,10]]},&quot;URL&quot;:&quot;https://www.un.org/millenniumgoals/&quot;,&quot;issued&quot;:{&quot;date-parts&quot;:[[2015]]}},&quot;isTemporary&quot;:false}],&quot;properties&quot;:{&quot;noteIndex&quot;:0},&quot;isEdited&quot;:false,&quot;manualOverride&quot;:{&quot;isManuallyOverridden&quot;:false,&quot;citeprocText&quot;:&quot;(UN, 2015)&quot;,&quot;manualOverrideText&quot;:&quot;&quot;},&quot;citationTag&quot;:&quot;MENDELEY_CITATION_v3_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&quot;},{&quot;citationID&quot;:&quot;MENDELEY_CITATION_eed29daa-4c55-4b68-8d3c-fc1b827388ff&quot;,&quot;properties&quot;:{&quot;noteIndex&quot;:0},&quot;isEdited&quot;:false,&quot;manualOverride&quot;:{&quot;isManuallyOverridden&quot;:false,&quot;citeprocText&quot;:&quot;(Atta-Ankomah et al., 2020)&quot;,&quot;manualOverrideText&quot;:&quot;&quot;},&quot;citationItems&quot;:[{&quot;id&quot;:&quot;b7ab6902-0cba-3b69-90f8-e62cc3b28113&quot;,&quot;itemData&quot;:{&quot;type&quot;:&quot;article&quot;,&quot;id&quot;:&quot;b7ab6902-0cba-3b69-90f8-e62cc3b28113&quot;,&quot;title&quot;:&quot;Inequality Diagnostics for Ghana&quot;,&quot;author&quot;:[{&quot;family&quot;:&quot;Atta-Ankomah&quot;,&quot;given&quot;:&quot;Richmond&quot;,&quot;parse-names&quot;:false,&quot;dropping-particle&quot;:&quot;&quot;,&quot;non-dropping-particle&quot;:&quot;&quot;},{&quot;family&quot;:&quot;Osei&quot;,&quot;given&quot;:&quot;Robert Darko&quot;,&quot;parse-names&quot;:false,&quot;dropping-particle&quot;:&quot;&quot;,&quot;non-dropping-particle&quot;:&quot;&quot;},{&quot;family&quot;:&quot;Osei-akoto&quot;,&quot;given&quot;:&quot;Isaac&quot;,&quot;parse-names&quot;:false,&quot;dropping-particle&quot;:&quot;&quot;,&quot;non-dropping-particle&quot;:&quot;&quot;},{&quot;family&quot;:&quot;Asante&quot;,&quot;given&quot;:&quot;Felix Ankomah&quot;,&quot;parse-names&quot;:false,&quot;dropping-particle&quot;:&quot;&quot;,&quot;non-dropping-particle&quot;:&quot;&quot;},{&quot;family&quot;:&quot;Oduro&quot;,&quot;given&quot;:&quot;Abena D&quot;,&quot;parse-names&quot;:false,&quot;dropping-particle&quot;:&quot;&quot;,&quot;non-dropping-particle&quot;:&quot;&quot;},{&quot;family&quot;:&quot;Owoo&quot;,&quot;given&quot;:&quot;Nkechi&quot;,&quot;parse-names&quot;:false,&quot;dropping-particle&quot;:&quot;&quot;,&quot;non-dropping-particle&quot;:&quot;&quot;},{&quot;family&quot;:&quot;Lambon-quayefio&quot;,&quot;given&quot;:&quot;Monica&quot;,&quot;parse-names&quot;:false,&quot;dropping-particle&quot;:&quot;&quot;,&quot;non-dropping-particle&quot;:&quot;&quot;},{&quot;family&quot;:&quot;Afranie&quot;,&quot;given&quot;:&quot;Stephen&quot;,&quot;parse-names&quot;:false,&quot;dropping-particle&quot;:&quot;&quot;,&quot;non-dropping-particle&quot;:&quot;&quot;}],&quot;issued&quot;:{&quot;date-parts&quot;:[[2020]]},&quot;abstract&quot;:&quot;Many African countries have recorded significant economic progress over the last two de- cades, but the continent has not been able to reduce its poverty rates in commensurate pro- portions. In large part, this may be attributed to high levels of inequality or the role income distribution plays in poverty reduction. Hence, it is important for countries to better under- stand the nature of inequality and how it is changing over time. This report seeks to document the nature of inequality in Ghana and its dynamics over time. It does this by describing the different types of inequality and the various factors that drive these respective types over time. Ultimately, the motivation is to draw policy attention to the issues bordering on inequality and how it weakens the growth and poverty nexus in Ghana.&quot;},&quot;isTemporary&quot;:false}],&quot;citationTag&quot;:&quot;MENDELEY_CITATION_v3_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&quot;},{&quot;citationID&quot;:&quot;MENDELEY_CITATION_b587e840-8964-4e9a-881d-788477c0e39f&quot;,&quot;citationItems&quot;:[{&quot;id&quot;:&quot;778dd209-2230-3063-a34a-1f0d3637b634&quot;,&quot;itemData&quot;:{&quot;type&quot;:&quot;thesis&quot;,&quot;id&quot;:&quot;778dd209-2230-3063-a34a-1f0d3637b634&quot;,&quot;title&quot;:&quot;Socioeconomic correlates of poverty in Ghana using Ghana Living Standards Survey round 6 and 7 Kwabena Aboagye-Attah&quot;,&quot;author&quot;:[{&quot;family&quot;:&quot;Aboagaye-Attah&quot;,&quot;given&quot;:&quot;Kwabena&quot;,&quot;parse-names&quot;:false,&quot;dropping-particle&quot;:&quot;&quot;,&quot;non-dropping-particle&quot;:&quot;&quot;}],&quot;accessed&quot;:{&quot;date-parts&quot;:[[2021,10,27]]},&quot;URL&quot;:&quot;https://nmbu.brage.unit.no/nmbu-xmlui/bitstream/handle/11250/2609325/Socioeconomic%20correlates%20of%20poverty%20in%20Ghana%20using%20Ghana%20Living%20Standards%20Survey%20rounds%206%20and%207.pdf?isAllowed=y&amp;sequence=1&quot;,&quot;issued&quot;:{&quot;date-parts&quot;:[[2019]]}},&quot;isTemporary&quot;:false}],&quot;properties&quot;:{&quot;noteIndex&quot;:0},&quot;isEdited&quot;:false,&quot;manualOverride&quot;:{&quot;isManuallyOverridden&quot;:true,&quot;citeprocText&quot;:&quot;(Aboagaye-Attah, 2019)&quot;,&quot;manualOverrideText&quot;:&quot;(Aboagaye-Attah, 2019).&quot;},&quot;citationTag&quot;:&quot;MENDELEY_CITATION_v3_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&quot;},{&quot;citationID&quot;:&quot;MENDELEY_CITATION_b8302e45-793a-4524-bacc-b0366c7c7a2c&quot;,&quot;citationItems&quot;:[{&quot;id&quot;:&quot;1471dcfe-ad94-332b-beb0-02aee64ecfc9&quot;,&quot;itemData&quot;:{&quot;type&quot;:&quot;chapter&quot;,&quot;id&quot;:&quot;1471dcfe-ad94-332b-beb0-02aee64ecfc9&quot;,&quot;title&quot;:&quot;Youth Employment and Labor Market\nVulnerability in Ghana: Aggregate Trends\nand Determinants&quot;,&quot;author&quot;:[{&quot;family&quot;:&quot;Adeniran&quot;,&quot;given&quot;:&quot;Adedeji&quot;,&quot;parse-names&quot;:false,&quot;dropping-particle&quot;:&quot;&quot;,&quot;non-dropping-particle&quot;:&quot;&quot;},{&quot;family&quot;:&quot;Ishaku&quot;,&quot;given&quot;:&quot;Joseph&quot;,&quot;parse-names&quot;:false,&quot;dropping-particle&quot;:&quot;&quot;,&quot;non-dropping-particle&quot;:&quot;&quot;},{&quot;family&quot;:&quot;Yusuf&quot;,&quot;given&quot;:&quot;Adekunle&quot;,&quot;parse-names&quot;:false,&quot;dropping-particle&quot;:&quot;&quot;,&quot;non-dropping-particle&quot;:&quot;&quot;}],&quot;container-title&quot;:&quot;West African Youth Challenges and Opportunity Pathways&quot;,&quot;URL&quot;:&quot;http://www.palgrave.com/gp/series/14996&quot;,&quot;issued&quot;:{&quot;date-parts&quot;:[[2020]]},&quot;page&quot;:&quot;187-211&quot;},&quot;isTemporary&quot;:false}],&quot;properties&quot;:{&quot;noteIndex&quot;:0},&quot;isEdited&quot;:false,&quot;manualOverride&quot;:{&quot;isManuallyOverridden&quot;:true,&quot;citeprocText&quot;:&quot;(Adeniran et al., 2020)&quot;,&quot;manualOverrideText&quot;:&quot;(Adeniran et al., 2020).&quot;},&quot;citationTag&quot;:&quot;MENDELEY_CITATION_v3_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&quot;},{&quot;citationID&quot;:&quot;MENDELEY_CITATION_16984ae2-ce13-48f8-af6d-f7bf2492f7d3&quot;,&quot;citationItems&quot;:[{&quot;id&quot;:&quot;2af0a1e5-b167-309d-ba38-7e8976633ee7&quot;,&quot;itemData&quot;:{&quot;type&quot;:&quot;report&quot;,&quot;id&quot;:&quot;2af0a1e5-b167-309d-ba38-7e8976633ee7&quot;,&quot;title&quot;:&quot;MINIMUM WAGE FIXING IN GHANA&quot;,&quot;author&quot;:[{&quot;family&quot;:&quot;Otto&quot;,&quot;given&quot;:&quot;Kwabena Nyarko&quot;,&quot;parse-names&quot;:false,&quot;dropping-particle&quot;:&quot;&quot;,&quot;non-dropping-particle&quot;:&quot;&quot;}],&quot;accessed&quot;:{&quot;date-parts&quot;:[[2021,10,20]]},&quot;URL&quot;:&quot;http://library.fes.de/pdf-files/bueros/ghana/16590.pdf&quot;,&quot;issued&quot;:{&quot;date-parts&quot;:[[2018]]}},&quot;isTemporary&quot;:false}],&quot;properties&quot;:{&quot;noteIndex&quot;:0},&quot;isEdited&quot;:false,&quot;manualOverride&quot;:{&quot;isManuallyOverridden&quot;:false,&quot;citeprocText&quot;:&quot;(Otto, 2018)&quot;,&quot;manualOverrideText&quot;:&quot;&quot;},&quot;citationTag&quot;:&quot;MENDELEY_CITATION_v3_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&quot;},{&quot;citationID&quot;:&quot;MENDELEY_CITATION_7815f299-4422-4d4a-969a-6f01b36f8f75&quot;,&quot;citationItems&quot;:[{&quot;id&quot;:&quot;225549a5-56df-30d2-a9ef-c336d567354e&quot;,&quot;itemData&quot;:{&quot;type&quot;:&quot;webpage&quot;,&quot;id&quot;:&quot;225549a5-56df-30d2-a9ef-c336d567354e&quot;,&quot;title&quot;:&quot;Pay as You Earn (PAYE)&quot;,&quot;author&quot;:[{&quot;family&quot;:&quot;Ghana Revenue Authority&quot;,&quot;given&quot;:&quot;&quot;,&quot;parse-names&quot;:false,&quot;dropping-particle&quot;:&quot;&quot;,&quot;non-dropping-particle&quot;:&quot;&quot;}],&quot;accessed&quot;:{&quot;date-parts&quot;:[[2021,10,28]]},&quot;URL&quot;:&quot;https://gra.gov.gh/domestic-tax/tax-types/paye/&quot;,&quot;issued&quot;:{&quot;date-parts&quot;:[[2021]]}},&quot;isTemporary&quot;:false}],&quot;properties&quot;:{&quot;noteIndex&quot;:0},&quot;isEdited&quot;:false,&quot;manualOverride&quot;:{&quot;isManuallyOverridden&quot;:false,&quot;citeprocText&quot;:&quot;(Ghana Revenue Authority, 2021)&quot;,&quot;manualOverrideText&quot;:&quot;&quot;},&quot;citationTag&quot;:&quot;MENDELEY_CITATION_v3_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&quot;},{&quot;citationID&quot;:&quot;MENDELEY_CITATION_ac0e7460-972e-450e-9743-412cbb2edf71&quot;,&quot;citationItems&quot;:[{&quot;id&quot;:&quot;e531e4bb-1c38-3c94-a349-fbf931da474d&quot;,&quot;itemData&quot;:{&quot;type&quot;:&quot;report&quot;,&quot;id&quot;:&quot;e531e4bb-1c38-3c94-a349-fbf931da474d&quot;,&quot;title&quot;:&quot;A survey of the Ghanaian tax system&quot;,&quot;author&quot;:[{&quot;family&quot;:&quot;Iddrisu&quot;,&quot;given&quot;:&quot;Abdul Malik&quot;,&quot;parse-names&quot;:false,&quot;dropping-particle&quot;:&quot;&quot;,&quot;non-dropping-particle&quot;:&quot;&quot;},{&quot;family&quot;:&quot;Warwick&quot;,&quot;given&quot;:&quot;Ross&quot;,&quot;parse-names&quot;:false,&quot;dropping-particle&quot;:&quot;&quot;,&quot;non-dropping-particle&quot;:&quot;&quot;},{&quot;family&quot;:&quot;Abrokwah&quot;,&quot;given&quot;:&quot;Edward&quot;,&quot;parse-names&quot;:false,&quot;dropping-particle&quot;:&quot;&quot;,&quot;non-dropping-particle&quot;:&quot;&quot;},{&quot;family&quot;:&quot;Conron&quot;,&quot;given&quot;:&quot;Harriet&quot;,&quot;parse-names&quot;:false,&quot;dropping-particle&quot;:&quot;&quot;,&quot;non-dropping-particle&quot;:&quot;&quot;},{&quot;family&quot;:&quot;Kamara&quot;,&quot;given&quot;:&quot;Andara&quot;,&quot;parse-names&quot;:false,&quot;dropping-particle&quot;:&quot;&quot;,&quot;non-dropping-particle&quot;:&quot;&quot;},{&quot;family&quot;:&quot;Nuer&quot;,&quot;given&quot;:&quot;Daniel&quot;,&quot;parse-names&quot;:false,&quot;dropping-particle&quot;:&quot;&quot;,&quot;non-dropping-particle&quot;:&quot;&quot;}],&quot;ISBN&quot;:&quot;9781801030403&quot;,&quot;issued&quot;:{&quot;date-parts&quot;:[[2021]]},&quot;abstract&quot;:&quot;In its 2020 Ghana CARES 'Obaatanpa' programme, the Government of Ghana emphasised the need to improve domestic revenue mobilisation in order to ensure the realisation of its medium-term fiscal policy and development objectives. In the context of ambitious revenue mobilisation goals and a challenging fiscal outlook, the design of the country's tax system is a crucial issue for policymakers. In this report, we provide a comprehensive overview of Ghana's tax system. This is intended as a repository of key information for researchers, policymakers and the public, as well as highlighting aggregate patterns of note as a first step for identifying challenges and areas for reform.&quot;},&quot;isTemporary&quot;:false}],&quot;properties&quot;:{&quot;noteIndex&quot;:0},&quot;isEdited&quot;:false,&quot;manualOverride&quot;:{&quot;isManuallyOverridden&quot;:false,&quot;citeprocText&quot;:&quot;(Iddrisu et al., 2021)&quot;,&quot;manualOverrideText&quot;:&quot;&quot;},&quot;citationTag&quot;:&quot;MENDELEY_CITATION_v3_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84c8c59-755d-4516-b8d2-1621b38262b4" xsi:nil="true"/>
    <lcf76f155ced4ddcb4097134ff3c332f xmlns="3b4ddbec-3349-4c85-93f9-32bd5c8d2b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Agy18</b:Tag>
    <b:SourceType>Report</b:SourceType>
    <b:Guid>{1B371581-639B-4093-AD7C-18D9970B5D74}</b:Guid>
    <b:Author>
      <b:Author>
        <b:NameList>
          <b:Person>
            <b:Last>Agyeman</b:Last>
            <b:First>Felix</b:First>
          </b:Person>
          <b:Person>
            <b:Last>Alidum Seifu</b:Last>
            <b:First>Arhin,</b:First>
            <b:Middle>Albert</b:Middle>
          </b:Person>
          <b:Person>
            <b:Last>Domfe</b:Last>
            <b:First>George,</b:First>
            <b:Middle>Edem Asimadu, Doreen</b:Middle>
          </b:Person>
          <b:Person>
            <b:Last>Gibson</b:Last>
            <b:First>Luke,</b:First>
            <b:Middle>Hall, Sarah</b:Middle>
          </b:Person>
          <b:Person>
            <b:Last>Mariotti</b:Last>
            <b:First>Chiara</b:First>
          </b:Person>
          <b:Person>
            <b:Last>Oduro</b:Last>
            <b:First>Abena</b:First>
          </b:Person>
          <b:Person>
            <b:Last>Walker</b:Last>
            <b:First>Jo</b:First>
          </b:Person>
        </b:NameList>
      </b:Author>
    </b:Author>
    <b:Title>Building a More Equal Ghana: A 5-point action plan to close the gap between the rich and the rest</b:Title>
    <b:Year>2018</b:Year>
    <b:Publisher>Ghana Anti-Corruption Coalition, Oxfam, SEND Ghana</b:Publisher>
    <b:DOI>10.21201/2018.2982</b:DOI>
    <b:RefOrder>1</b:RefOrder>
  </b:Source>
  <b:Source>
    <b:Tag>Aki</b:Tag>
    <b:SourceType>JournalArticle</b:SourceType>
    <b:Guid>{082965E6-92B5-4119-98F3-F052E72EBDC3}</b:Guid>
    <b:Author>
      <b:Author>
        <b:NameList>
          <b:Person>
            <b:Last>Akitoby</b:Last>
            <b:First>Bernardin</b:First>
          </b:Person>
        </b:NameList>
      </b:Author>
    </b:Author>
    <b:Title>Raising Revenue: Five country cases ilustrative how best to improve tax collection</b:Title>
    <b:Publisher>Finance &amp; Development</b:Publisher>
    <b:URL>https://www.elibrary.imf.org/view/journals/022/0055/001/article-A006-en.xml</b:URL>
    <b:Volume>0055(001)</b:Volume>
    <b:Issue>A006</b:Issue>
    <b:Year>2018</b:Year>
    <b:RefOrder>2</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9F754FA02DCA72488A894E436BA3344B" ma:contentTypeVersion="16" ma:contentTypeDescription="Ein neues Dokument erstellen." ma:contentTypeScope="" ma:versionID="dde2e05224c87c1229a195cb9b735ff5">
  <xsd:schema xmlns:xsd="http://www.w3.org/2001/XMLSchema" xmlns:xs="http://www.w3.org/2001/XMLSchema" xmlns:p="http://schemas.microsoft.com/office/2006/metadata/properties" xmlns:ns2="3b4ddbec-3349-4c85-93f9-32bd5c8d2b43" xmlns:ns3="d48a697e-fd98-49a0-85bc-f2587ce56d60" xmlns:ns4="484c8c59-755d-4516-b8d2-1621b38262b4" targetNamespace="http://schemas.microsoft.com/office/2006/metadata/properties" ma:root="true" ma:fieldsID="7034517e9b8734703877b66217dd341f" ns2:_="" ns3:_="" ns4:_="">
    <xsd:import namespace="3b4ddbec-3349-4c85-93f9-32bd5c8d2b43"/>
    <xsd:import namespace="d48a697e-fd98-49a0-85bc-f2587ce56d60"/>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AutoKeyPoints" minOccurs="0"/>
                <xsd:element ref="ns2:MediaServiceKeyPoints" minOccurs="0"/>
                <xsd:element ref="ns2:MediaServiceOCR"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ddbec-3349-4c85-93f9-32bd5c8d2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8a697e-fd98-49a0-85bc-f2587ce56d60"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3a1d7c9-1314-45b1-b531-bfc2ad883283}" ma:internalName="TaxCatchAll" ma:showField="CatchAllData" ma:web="d48a697e-fd98-49a0-85bc-f2587ce56d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F5F5D-7EF8-4B73-9CB6-95D317E475AB}">
  <ds:schemaRefs>
    <ds:schemaRef ds:uri="http://schemas.microsoft.com/sharepoint/v3/contenttype/forms"/>
  </ds:schemaRefs>
</ds:datastoreItem>
</file>

<file path=customXml/itemProps2.xml><?xml version="1.0" encoding="utf-8"?>
<ds:datastoreItem xmlns:ds="http://schemas.openxmlformats.org/officeDocument/2006/customXml" ds:itemID="{6BCDDCAC-7859-42D2-9597-4551988EA96F}">
  <ds:schemaRefs>
    <ds:schemaRef ds:uri="http://schemas.microsoft.com/office/2006/metadata/properties"/>
    <ds:schemaRef ds:uri="http://schemas.microsoft.com/office/infopath/2007/PartnerControls"/>
    <ds:schemaRef ds:uri="484c8c59-755d-4516-b8d2-1621b38262b4"/>
    <ds:schemaRef ds:uri="3b4ddbec-3349-4c85-93f9-32bd5c8d2b43"/>
  </ds:schemaRefs>
</ds:datastoreItem>
</file>

<file path=customXml/itemProps3.xml><?xml version="1.0" encoding="utf-8"?>
<ds:datastoreItem xmlns:ds="http://schemas.openxmlformats.org/officeDocument/2006/customXml" ds:itemID="{24C1B672-224B-4A94-AFA7-5412CC81FB7B}">
  <ds:schemaRefs>
    <ds:schemaRef ds:uri="http://schemas.openxmlformats.org/officeDocument/2006/bibliography"/>
  </ds:schemaRefs>
</ds:datastoreItem>
</file>

<file path=customXml/itemProps4.xml><?xml version="1.0" encoding="utf-8"?>
<ds:datastoreItem xmlns:ds="http://schemas.openxmlformats.org/officeDocument/2006/customXml" ds:itemID="{F569CE6E-BF29-4544-837D-88B3039C1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ddbec-3349-4c85-93f9-32bd5c8d2b43"/>
    <ds:schemaRef ds:uri="d48a697e-fd98-49a0-85bc-f2587ce56d60"/>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22368</Words>
  <Characters>127498</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149567</CharactersWithSpaces>
  <SharedDoc>false</SharedDoc>
  <HLinks>
    <vt:vector size="258" baseType="variant">
      <vt:variant>
        <vt:i4>1048597</vt:i4>
      </vt:variant>
      <vt:variant>
        <vt:i4>309</vt:i4>
      </vt:variant>
      <vt:variant>
        <vt:i4>0</vt:i4>
      </vt:variant>
      <vt:variant>
        <vt:i4>5</vt:i4>
      </vt:variant>
      <vt:variant>
        <vt:lpwstr>https://www.oxfam.org/en/kenya-extreme-inequality-numbers</vt:lpwstr>
      </vt:variant>
      <vt:variant>
        <vt:lpwstr/>
      </vt:variant>
      <vt:variant>
        <vt:i4>4784197</vt:i4>
      </vt:variant>
      <vt:variant>
        <vt:i4>306</vt:i4>
      </vt:variant>
      <vt:variant>
        <vt:i4>0</vt:i4>
      </vt:variant>
      <vt:variant>
        <vt:i4>5</vt:i4>
      </vt:variant>
      <vt:variant>
        <vt:lpwstr>https://www.oecd.org/countries/kenya/1825372.pdf</vt:lpwstr>
      </vt:variant>
      <vt:variant>
        <vt:lpwstr/>
      </vt:variant>
      <vt:variant>
        <vt:i4>4980754</vt:i4>
      </vt:variant>
      <vt:variant>
        <vt:i4>303</vt:i4>
      </vt:variant>
      <vt:variant>
        <vt:i4>0</vt:i4>
      </vt:variant>
      <vt:variant>
        <vt:i4>5</vt:i4>
      </vt:variant>
      <vt:variant>
        <vt:lpwstr>https://www.afd.fr/en/ressources/fiscal-incidence-inequality-and-poverty-kenya-ceq-assessment</vt:lpwstr>
      </vt:variant>
      <vt:variant>
        <vt:lpwstr/>
      </vt:variant>
      <vt:variant>
        <vt:i4>5701655</vt:i4>
      </vt:variant>
      <vt:variant>
        <vt:i4>300</vt:i4>
      </vt:variant>
      <vt:variant>
        <vt:i4>0</vt:i4>
      </vt:variant>
      <vt:variant>
        <vt:i4>5</vt:i4>
      </vt:variant>
      <vt:variant>
        <vt:lpwstr>https://www.brookings.edu/opinions/how-much-do-we-really-know-about-inequality-within-countries-around-the-world/</vt:lpwstr>
      </vt:variant>
      <vt:variant>
        <vt:lpwstr/>
      </vt:variant>
      <vt:variant>
        <vt:i4>5374021</vt:i4>
      </vt:variant>
      <vt:variant>
        <vt:i4>297</vt:i4>
      </vt:variant>
      <vt:variant>
        <vt:i4>0</vt:i4>
      </vt:variant>
      <vt:variant>
        <vt:i4>5</vt:i4>
      </vt:variant>
      <vt:variant>
        <vt:lpwstr>https://doi.org/10.1093/acprof:oso/9780198744795.001.0001</vt:lpwstr>
      </vt:variant>
      <vt:variant>
        <vt:lpwstr/>
      </vt:variant>
      <vt:variant>
        <vt:i4>5308492</vt:i4>
      </vt:variant>
      <vt:variant>
        <vt:i4>240</vt:i4>
      </vt:variant>
      <vt:variant>
        <vt:i4>0</vt:i4>
      </vt:variant>
      <vt:variant>
        <vt:i4>5</vt:i4>
      </vt:variant>
      <vt:variant>
        <vt:lpwstr>https://labourmarket.go.ke/demand/indicator/</vt:lpwstr>
      </vt:variant>
      <vt:variant>
        <vt:lpwstr/>
      </vt:variant>
      <vt:variant>
        <vt:i4>1245243</vt:i4>
      </vt:variant>
      <vt:variant>
        <vt:i4>197</vt:i4>
      </vt:variant>
      <vt:variant>
        <vt:i4>0</vt:i4>
      </vt:variant>
      <vt:variant>
        <vt:i4>5</vt:i4>
      </vt:variant>
      <vt:variant>
        <vt:lpwstr/>
      </vt:variant>
      <vt:variant>
        <vt:lpwstr>_Toc120230940</vt:lpwstr>
      </vt:variant>
      <vt:variant>
        <vt:i4>1310779</vt:i4>
      </vt:variant>
      <vt:variant>
        <vt:i4>191</vt:i4>
      </vt:variant>
      <vt:variant>
        <vt:i4>0</vt:i4>
      </vt:variant>
      <vt:variant>
        <vt:i4>5</vt:i4>
      </vt:variant>
      <vt:variant>
        <vt:lpwstr/>
      </vt:variant>
      <vt:variant>
        <vt:lpwstr>_Toc120230939</vt:lpwstr>
      </vt:variant>
      <vt:variant>
        <vt:i4>1310779</vt:i4>
      </vt:variant>
      <vt:variant>
        <vt:i4>185</vt:i4>
      </vt:variant>
      <vt:variant>
        <vt:i4>0</vt:i4>
      </vt:variant>
      <vt:variant>
        <vt:i4>5</vt:i4>
      </vt:variant>
      <vt:variant>
        <vt:lpwstr/>
      </vt:variant>
      <vt:variant>
        <vt:lpwstr>_Toc120230938</vt:lpwstr>
      </vt:variant>
      <vt:variant>
        <vt:i4>1310779</vt:i4>
      </vt:variant>
      <vt:variant>
        <vt:i4>179</vt:i4>
      </vt:variant>
      <vt:variant>
        <vt:i4>0</vt:i4>
      </vt:variant>
      <vt:variant>
        <vt:i4>5</vt:i4>
      </vt:variant>
      <vt:variant>
        <vt:lpwstr/>
      </vt:variant>
      <vt:variant>
        <vt:lpwstr>_Toc120230937</vt:lpwstr>
      </vt:variant>
      <vt:variant>
        <vt:i4>1310779</vt:i4>
      </vt:variant>
      <vt:variant>
        <vt:i4>173</vt:i4>
      </vt:variant>
      <vt:variant>
        <vt:i4>0</vt:i4>
      </vt:variant>
      <vt:variant>
        <vt:i4>5</vt:i4>
      </vt:variant>
      <vt:variant>
        <vt:lpwstr/>
      </vt:variant>
      <vt:variant>
        <vt:lpwstr>_Toc120230936</vt:lpwstr>
      </vt:variant>
      <vt:variant>
        <vt:i4>1835059</vt:i4>
      </vt:variant>
      <vt:variant>
        <vt:i4>164</vt:i4>
      </vt:variant>
      <vt:variant>
        <vt:i4>0</vt:i4>
      </vt:variant>
      <vt:variant>
        <vt:i4>5</vt:i4>
      </vt:variant>
      <vt:variant>
        <vt:lpwstr/>
      </vt:variant>
      <vt:variant>
        <vt:lpwstr>_Toc120273580</vt:lpwstr>
      </vt:variant>
      <vt:variant>
        <vt:i4>1245235</vt:i4>
      </vt:variant>
      <vt:variant>
        <vt:i4>158</vt:i4>
      </vt:variant>
      <vt:variant>
        <vt:i4>0</vt:i4>
      </vt:variant>
      <vt:variant>
        <vt:i4>5</vt:i4>
      </vt:variant>
      <vt:variant>
        <vt:lpwstr/>
      </vt:variant>
      <vt:variant>
        <vt:lpwstr>_Toc120273579</vt:lpwstr>
      </vt:variant>
      <vt:variant>
        <vt:i4>1245235</vt:i4>
      </vt:variant>
      <vt:variant>
        <vt:i4>152</vt:i4>
      </vt:variant>
      <vt:variant>
        <vt:i4>0</vt:i4>
      </vt:variant>
      <vt:variant>
        <vt:i4>5</vt:i4>
      </vt:variant>
      <vt:variant>
        <vt:lpwstr/>
      </vt:variant>
      <vt:variant>
        <vt:lpwstr>_Toc120273578</vt:lpwstr>
      </vt:variant>
      <vt:variant>
        <vt:i4>1245235</vt:i4>
      </vt:variant>
      <vt:variant>
        <vt:i4>146</vt:i4>
      </vt:variant>
      <vt:variant>
        <vt:i4>0</vt:i4>
      </vt:variant>
      <vt:variant>
        <vt:i4>5</vt:i4>
      </vt:variant>
      <vt:variant>
        <vt:lpwstr/>
      </vt:variant>
      <vt:variant>
        <vt:lpwstr>_Toc120273577</vt:lpwstr>
      </vt:variant>
      <vt:variant>
        <vt:i4>1245235</vt:i4>
      </vt:variant>
      <vt:variant>
        <vt:i4>140</vt:i4>
      </vt:variant>
      <vt:variant>
        <vt:i4>0</vt:i4>
      </vt:variant>
      <vt:variant>
        <vt:i4>5</vt:i4>
      </vt:variant>
      <vt:variant>
        <vt:lpwstr/>
      </vt:variant>
      <vt:variant>
        <vt:lpwstr>_Toc120273576</vt:lpwstr>
      </vt:variant>
      <vt:variant>
        <vt:i4>1245235</vt:i4>
      </vt:variant>
      <vt:variant>
        <vt:i4>134</vt:i4>
      </vt:variant>
      <vt:variant>
        <vt:i4>0</vt:i4>
      </vt:variant>
      <vt:variant>
        <vt:i4>5</vt:i4>
      </vt:variant>
      <vt:variant>
        <vt:lpwstr/>
      </vt:variant>
      <vt:variant>
        <vt:lpwstr>_Toc120273575</vt:lpwstr>
      </vt:variant>
      <vt:variant>
        <vt:i4>1245235</vt:i4>
      </vt:variant>
      <vt:variant>
        <vt:i4>128</vt:i4>
      </vt:variant>
      <vt:variant>
        <vt:i4>0</vt:i4>
      </vt:variant>
      <vt:variant>
        <vt:i4>5</vt:i4>
      </vt:variant>
      <vt:variant>
        <vt:lpwstr/>
      </vt:variant>
      <vt:variant>
        <vt:lpwstr>_Toc120273574</vt:lpwstr>
      </vt:variant>
      <vt:variant>
        <vt:i4>1769520</vt:i4>
      </vt:variant>
      <vt:variant>
        <vt:i4>119</vt:i4>
      </vt:variant>
      <vt:variant>
        <vt:i4>0</vt:i4>
      </vt:variant>
      <vt:variant>
        <vt:i4>5</vt:i4>
      </vt:variant>
      <vt:variant>
        <vt:lpwstr/>
      </vt:variant>
      <vt:variant>
        <vt:lpwstr>_Toc120894825</vt:lpwstr>
      </vt:variant>
      <vt:variant>
        <vt:i4>1769520</vt:i4>
      </vt:variant>
      <vt:variant>
        <vt:i4>113</vt:i4>
      </vt:variant>
      <vt:variant>
        <vt:i4>0</vt:i4>
      </vt:variant>
      <vt:variant>
        <vt:i4>5</vt:i4>
      </vt:variant>
      <vt:variant>
        <vt:lpwstr/>
      </vt:variant>
      <vt:variant>
        <vt:lpwstr>_Toc120894824</vt:lpwstr>
      </vt:variant>
      <vt:variant>
        <vt:i4>1769520</vt:i4>
      </vt:variant>
      <vt:variant>
        <vt:i4>107</vt:i4>
      </vt:variant>
      <vt:variant>
        <vt:i4>0</vt:i4>
      </vt:variant>
      <vt:variant>
        <vt:i4>5</vt:i4>
      </vt:variant>
      <vt:variant>
        <vt:lpwstr/>
      </vt:variant>
      <vt:variant>
        <vt:lpwstr>_Toc120894823</vt:lpwstr>
      </vt:variant>
      <vt:variant>
        <vt:i4>6160386</vt:i4>
      </vt:variant>
      <vt:variant>
        <vt:i4>101</vt:i4>
      </vt:variant>
      <vt:variant>
        <vt:i4>0</vt:i4>
      </vt:variant>
      <vt:variant>
        <vt:i4>5</vt:i4>
      </vt:variant>
      <vt:variant>
        <vt:lpwstr>https://liveeur-my.sharepoint.com/personal/13096ndj_eur_nl/Documents/554.518 GIZ Inequality Diagnostics 2022-2024/4. Implementation/Kenya/20221202 Kenya Inequality Diagnostic_DRAFT.docx</vt:lpwstr>
      </vt:variant>
      <vt:variant>
        <vt:lpwstr>_Toc120894822</vt:lpwstr>
      </vt:variant>
      <vt:variant>
        <vt:i4>1769520</vt:i4>
      </vt:variant>
      <vt:variant>
        <vt:i4>95</vt:i4>
      </vt:variant>
      <vt:variant>
        <vt:i4>0</vt:i4>
      </vt:variant>
      <vt:variant>
        <vt:i4>5</vt:i4>
      </vt:variant>
      <vt:variant>
        <vt:lpwstr/>
      </vt:variant>
      <vt:variant>
        <vt:lpwstr>_Toc120894821</vt:lpwstr>
      </vt:variant>
      <vt:variant>
        <vt:i4>1769520</vt:i4>
      </vt:variant>
      <vt:variant>
        <vt:i4>86</vt:i4>
      </vt:variant>
      <vt:variant>
        <vt:i4>0</vt:i4>
      </vt:variant>
      <vt:variant>
        <vt:i4>5</vt:i4>
      </vt:variant>
      <vt:variant>
        <vt:lpwstr/>
      </vt:variant>
      <vt:variant>
        <vt:lpwstr>_Toc120894820</vt:lpwstr>
      </vt:variant>
      <vt:variant>
        <vt:i4>1572912</vt:i4>
      </vt:variant>
      <vt:variant>
        <vt:i4>80</vt:i4>
      </vt:variant>
      <vt:variant>
        <vt:i4>0</vt:i4>
      </vt:variant>
      <vt:variant>
        <vt:i4>5</vt:i4>
      </vt:variant>
      <vt:variant>
        <vt:lpwstr/>
      </vt:variant>
      <vt:variant>
        <vt:lpwstr>_Toc120894819</vt:lpwstr>
      </vt:variant>
      <vt:variant>
        <vt:i4>1572912</vt:i4>
      </vt:variant>
      <vt:variant>
        <vt:i4>74</vt:i4>
      </vt:variant>
      <vt:variant>
        <vt:i4>0</vt:i4>
      </vt:variant>
      <vt:variant>
        <vt:i4>5</vt:i4>
      </vt:variant>
      <vt:variant>
        <vt:lpwstr/>
      </vt:variant>
      <vt:variant>
        <vt:lpwstr>_Toc120894818</vt:lpwstr>
      </vt:variant>
      <vt:variant>
        <vt:i4>1572912</vt:i4>
      </vt:variant>
      <vt:variant>
        <vt:i4>68</vt:i4>
      </vt:variant>
      <vt:variant>
        <vt:i4>0</vt:i4>
      </vt:variant>
      <vt:variant>
        <vt:i4>5</vt:i4>
      </vt:variant>
      <vt:variant>
        <vt:lpwstr/>
      </vt:variant>
      <vt:variant>
        <vt:lpwstr>_Toc120894817</vt:lpwstr>
      </vt:variant>
      <vt:variant>
        <vt:i4>1572912</vt:i4>
      </vt:variant>
      <vt:variant>
        <vt:i4>62</vt:i4>
      </vt:variant>
      <vt:variant>
        <vt:i4>0</vt:i4>
      </vt:variant>
      <vt:variant>
        <vt:i4>5</vt:i4>
      </vt:variant>
      <vt:variant>
        <vt:lpwstr/>
      </vt:variant>
      <vt:variant>
        <vt:lpwstr>_Toc120894816</vt:lpwstr>
      </vt:variant>
      <vt:variant>
        <vt:i4>1572912</vt:i4>
      </vt:variant>
      <vt:variant>
        <vt:i4>56</vt:i4>
      </vt:variant>
      <vt:variant>
        <vt:i4>0</vt:i4>
      </vt:variant>
      <vt:variant>
        <vt:i4>5</vt:i4>
      </vt:variant>
      <vt:variant>
        <vt:lpwstr/>
      </vt:variant>
      <vt:variant>
        <vt:lpwstr>_Toc120894815</vt:lpwstr>
      </vt:variant>
      <vt:variant>
        <vt:i4>1572912</vt:i4>
      </vt:variant>
      <vt:variant>
        <vt:i4>50</vt:i4>
      </vt:variant>
      <vt:variant>
        <vt:i4>0</vt:i4>
      </vt:variant>
      <vt:variant>
        <vt:i4>5</vt:i4>
      </vt:variant>
      <vt:variant>
        <vt:lpwstr/>
      </vt:variant>
      <vt:variant>
        <vt:lpwstr>_Toc120894814</vt:lpwstr>
      </vt:variant>
      <vt:variant>
        <vt:i4>1572912</vt:i4>
      </vt:variant>
      <vt:variant>
        <vt:i4>44</vt:i4>
      </vt:variant>
      <vt:variant>
        <vt:i4>0</vt:i4>
      </vt:variant>
      <vt:variant>
        <vt:i4>5</vt:i4>
      </vt:variant>
      <vt:variant>
        <vt:lpwstr/>
      </vt:variant>
      <vt:variant>
        <vt:lpwstr>_Toc120894813</vt:lpwstr>
      </vt:variant>
      <vt:variant>
        <vt:i4>1572912</vt:i4>
      </vt:variant>
      <vt:variant>
        <vt:i4>38</vt:i4>
      </vt:variant>
      <vt:variant>
        <vt:i4>0</vt:i4>
      </vt:variant>
      <vt:variant>
        <vt:i4>5</vt:i4>
      </vt:variant>
      <vt:variant>
        <vt:lpwstr/>
      </vt:variant>
      <vt:variant>
        <vt:lpwstr>_Toc120894812</vt:lpwstr>
      </vt:variant>
      <vt:variant>
        <vt:i4>1572912</vt:i4>
      </vt:variant>
      <vt:variant>
        <vt:i4>32</vt:i4>
      </vt:variant>
      <vt:variant>
        <vt:i4>0</vt:i4>
      </vt:variant>
      <vt:variant>
        <vt:i4>5</vt:i4>
      </vt:variant>
      <vt:variant>
        <vt:lpwstr/>
      </vt:variant>
      <vt:variant>
        <vt:lpwstr>_Toc120894811</vt:lpwstr>
      </vt:variant>
      <vt:variant>
        <vt:i4>1572912</vt:i4>
      </vt:variant>
      <vt:variant>
        <vt:i4>26</vt:i4>
      </vt:variant>
      <vt:variant>
        <vt:i4>0</vt:i4>
      </vt:variant>
      <vt:variant>
        <vt:i4>5</vt:i4>
      </vt:variant>
      <vt:variant>
        <vt:lpwstr/>
      </vt:variant>
      <vt:variant>
        <vt:lpwstr>_Toc120894810</vt:lpwstr>
      </vt:variant>
      <vt:variant>
        <vt:i4>1638448</vt:i4>
      </vt:variant>
      <vt:variant>
        <vt:i4>20</vt:i4>
      </vt:variant>
      <vt:variant>
        <vt:i4>0</vt:i4>
      </vt:variant>
      <vt:variant>
        <vt:i4>5</vt:i4>
      </vt:variant>
      <vt:variant>
        <vt:lpwstr/>
      </vt:variant>
      <vt:variant>
        <vt:lpwstr>_Toc120894809</vt:lpwstr>
      </vt:variant>
      <vt:variant>
        <vt:i4>1638448</vt:i4>
      </vt:variant>
      <vt:variant>
        <vt:i4>14</vt:i4>
      </vt:variant>
      <vt:variant>
        <vt:i4>0</vt:i4>
      </vt:variant>
      <vt:variant>
        <vt:i4>5</vt:i4>
      </vt:variant>
      <vt:variant>
        <vt:lpwstr/>
      </vt:variant>
      <vt:variant>
        <vt:lpwstr>_Toc120894808</vt:lpwstr>
      </vt:variant>
      <vt:variant>
        <vt:i4>1638448</vt:i4>
      </vt:variant>
      <vt:variant>
        <vt:i4>8</vt:i4>
      </vt:variant>
      <vt:variant>
        <vt:i4>0</vt:i4>
      </vt:variant>
      <vt:variant>
        <vt:i4>5</vt:i4>
      </vt:variant>
      <vt:variant>
        <vt:lpwstr/>
      </vt:variant>
      <vt:variant>
        <vt:lpwstr>_Toc120894807</vt:lpwstr>
      </vt:variant>
      <vt:variant>
        <vt:i4>1638448</vt:i4>
      </vt:variant>
      <vt:variant>
        <vt:i4>2</vt:i4>
      </vt:variant>
      <vt:variant>
        <vt:i4>0</vt:i4>
      </vt:variant>
      <vt:variant>
        <vt:i4>5</vt:i4>
      </vt:variant>
      <vt:variant>
        <vt:lpwstr/>
      </vt:variant>
      <vt:variant>
        <vt:lpwstr>_Toc120894806</vt:lpwstr>
      </vt:variant>
      <vt:variant>
        <vt:i4>1572884</vt:i4>
      </vt:variant>
      <vt:variant>
        <vt:i4>12</vt:i4>
      </vt:variant>
      <vt:variant>
        <vt:i4>0</vt:i4>
      </vt:variant>
      <vt:variant>
        <vt:i4>5</vt:i4>
      </vt:variant>
      <vt:variant>
        <vt:lpwstr>https://www.giz.de/en/worldwide/317.html</vt:lpwstr>
      </vt:variant>
      <vt:variant>
        <vt:lpwstr/>
      </vt:variant>
      <vt:variant>
        <vt:i4>8323177</vt:i4>
      </vt:variant>
      <vt:variant>
        <vt:i4>9</vt:i4>
      </vt:variant>
      <vt:variant>
        <vt:i4>0</vt:i4>
      </vt:variant>
      <vt:variant>
        <vt:i4>5</vt:i4>
      </vt:variant>
      <vt:variant>
        <vt:lpwstr>https://vision2030.go.ke/towards-2030/</vt:lpwstr>
      </vt:variant>
      <vt:variant>
        <vt:lpwstr/>
      </vt:variant>
      <vt:variant>
        <vt:i4>196612</vt:i4>
      </vt:variant>
      <vt:variant>
        <vt:i4>6</vt:i4>
      </vt:variant>
      <vt:variant>
        <vt:i4>0</vt:i4>
      </vt:variant>
      <vt:variant>
        <vt:i4>5</vt:i4>
      </vt:variant>
      <vt:variant>
        <vt:lpwstr>https://www.treasury.go.ke/kenya-economy/</vt:lpwstr>
      </vt:variant>
      <vt:variant>
        <vt:lpwstr/>
      </vt:variant>
      <vt:variant>
        <vt:i4>6881290</vt:i4>
      </vt:variant>
      <vt:variant>
        <vt:i4>3</vt:i4>
      </vt:variant>
      <vt:variant>
        <vt:i4>0</vt:i4>
      </vt:variant>
      <vt:variant>
        <vt:i4>5</vt:i4>
      </vt:variant>
      <vt:variant>
        <vt:lpwstr>https://www.ohchr.org/sites/default/files/Documents/Countries/KE/Human_Rights-Based-Analysis-Kenya-Budget-2021-2022.pdf</vt:lpwstr>
      </vt:variant>
      <vt:variant>
        <vt:lpwstr/>
      </vt:variant>
      <vt:variant>
        <vt:i4>1048597</vt:i4>
      </vt:variant>
      <vt:variant>
        <vt:i4>0</vt:i4>
      </vt:variant>
      <vt:variant>
        <vt:i4>0</vt:i4>
      </vt:variant>
      <vt:variant>
        <vt:i4>5</vt:i4>
      </vt:variant>
      <vt:variant>
        <vt:lpwstr>https://www.oxfam.org/en/kenya-extreme-inequality-numbers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dc:description/>
  <cp:lastModifiedBy>John Munene</cp:lastModifiedBy>
  <cp:revision>2</cp:revision>
  <cp:lastPrinted>2023-06-15T16:39:00Z</cp:lastPrinted>
  <dcterms:created xsi:type="dcterms:W3CDTF">2023-09-21T08:33:00Z</dcterms:created>
  <dcterms:modified xsi:type="dcterms:W3CDTF">2023-09-21T08:33:00Z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0x0101009F754FA02DCA72488A894E436BA3344B</vt:lpwstr>
  </property>
  <property fmtid="{D5CDD505-2E9C-101B-9397-08002B2CF9AE}" pid="3" name="MediaServiceImageTags">
    <vt:lpwstr/>
  </property>
  <property fmtid="{D5CDD505-2E9C-101B-9397-08002B2CF9AE}" pid="4" name="GrammarlyDocumentId">
    <vt:lpwstr>99415f45f187aaf275505d252590594dac07ae849178c28a378662bcea85d572</vt:lpwstr>
  </property>
  <property fmtid="{D5CDD505-2E9C-101B-9397-08002B2CF9AE}" pid="5" name="ClassificationContentMarkingFooterShapeIds">
    <vt:lpwstr>16,17,18,19,1a,1b,1c,1d,1e</vt:lpwstr>
  </property>
  <property fmtid="{D5CDD505-2E9C-101B-9397-08002B2CF9AE}" pid="6" name="ClassificationContentMarkingFooterFontProps">
    <vt:lpwstr>#000000,10,Calibri</vt:lpwstr>
  </property>
  <property fmtid="{D5CDD505-2E9C-101B-9397-08002B2CF9AE}" pid="7" name="ClassificationContentMarkingFooterText">
    <vt:lpwstr>Classification: Internal</vt:lpwstr>
  </property>
  <property fmtid="{D5CDD505-2E9C-101B-9397-08002B2CF9AE}" pid="8" name="MSIP_Label_8772ba27-cab8-4042-a351-a31f6e4eacdc_Enabled">
    <vt:lpwstr>true</vt:lpwstr>
  </property>
  <property fmtid="{D5CDD505-2E9C-101B-9397-08002B2CF9AE}" pid="9" name="MSIP_Label_8772ba27-cab8-4042-a351-a31f6e4eacdc_SetDate">
    <vt:lpwstr>2023-06-13T14:09:08Z</vt:lpwstr>
  </property>
  <property fmtid="{D5CDD505-2E9C-101B-9397-08002B2CF9AE}" pid="10" name="MSIP_Label_8772ba27-cab8-4042-a351-a31f6e4eacdc_Method">
    <vt:lpwstr>Standard</vt:lpwstr>
  </property>
  <property fmtid="{D5CDD505-2E9C-101B-9397-08002B2CF9AE}" pid="11" name="MSIP_Label_8772ba27-cab8-4042-a351-a31f6e4eacdc_Name">
    <vt:lpwstr>Internal</vt:lpwstr>
  </property>
  <property fmtid="{D5CDD505-2E9C-101B-9397-08002B2CF9AE}" pid="12" name="MSIP_Label_8772ba27-cab8-4042-a351-a31f6e4eacdc_SiteId">
    <vt:lpwstr>715902d6-f63e-4b8d-929b-4bb170bad492</vt:lpwstr>
  </property>
  <property fmtid="{D5CDD505-2E9C-101B-9397-08002B2CF9AE}" pid="13" name="MSIP_Label_8772ba27-cab8-4042-a351-a31f6e4eacdc_ActionId">
    <vt:lpwstr>b175f8bb-1427-48e9-8307-20147a6b2b26</vt:lpwstr>
  </property>
  <property fmtid="{D5CDD505-2E9C-101B-9397-08002B2CF9AE}" pid="14" name="MSIP_Label_8772ba27-cab8-4042-a351-a31f6e4eacdc_ContentBits">
    <vt:lpwstr>2</vt:lpwstr>
  </property>
</Properties>
</file>